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2B84D">
      <w:pPr>
        <w:spacing w:line="576" w:lineRule="exact"/>
        <w:jc w:val="center"/>
        <w:rPr>
          <w:rFonts w:ascii="仿宋_GB2312" w:eastAsia="仿宋_GB2312" w:cs="Times New Roman"/>
          <w:b/>
          <w:bCs/>
        </w:rPr>
      </w:pPr>
      <w:bookmarkStart w:id="0" w:name="_GoBack"/>
      <w:bookmarkEnd w:id="0"/>
      <w:r>
        <w:rPr>
          <w:rFonts w:hint="eastAsia" w:ascii="仿宋_GB2312" w:eastAsia="仿宋_GB2312" w:cs="Times New Roman"/>
          <w:b/>
          <w:bCs/>
        </w:rPr>
        <w:t>表</w:t>
      </w:r>
      <w:r>
        <w:rPr>
          <w:rFonts w:hint="eastAsia" w:ascii="仿宋_GB2312" w:cs="Times New Roman"/>
          <w:b/>
          <w:bCs/>
          <w:lang w:val="en-US" w:eastAsia="zh-CN"/>
        </w:rPr>
        <w:t>1</w:t>
      </w:r>
      <w:r>
        <w:rPr>
          <w:rFonts w:hint="eastAsia" w:ascii="仿宋_GB2312" w:eastAsia="仿宋_GB2312" w:cs="Times New Roman"/>
          <w:b/>
          <w:bCs/>
        </w:rPr>
        <w:t xml:space="preserve"> 北京市加氢站建设补贴核定金额表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889"/>
        <w:gridCol w:w="1417"/>
        <w:gridCol w:w="1134"/>
        <w:gridCol w:w="2127"/>
        <w:gridCol w:w="1204"/>
      </w:tblGrid>
      <w:tr w14:paraId="433E7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tblHeader/>
        </w:trPr>
        <w:tc>
          <w:tcPr>
            <w:tcW w:w="0" w:type="auto"/>
            <w:shd w:val="clear" w:color="000000" w:fill="FFFFFF"/>
            <w:noWrap w:val="0"/>
            <w:vAlign w:val="center"/>
          </w:tcPr>
          <w:p w14:paraId="16E8496D">
            <w:pPr>
              <w:widowControl/>
              <w:spacing w:line="240" w:lineRule="auto"/>
              <w:jc w:val="center"/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89" w:type="dxa"/>
            <w:shd w:val="clear" w:color="000000" w:fill="FFFFFF"/>
            <w:noWrap w:val="0"/>
            <w:vAlign w:val="center"/>
          </w:tcPr>
          <w:p w14:paraId="595BAA73">
            <w:pPr>
              <w:widowControl/>
              <w:spacing w:line="240" w:lineRule="auto"/>
              <w:jc w:val="center"/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  <w:t>申报企业</w:t>
            </w:r>
          </w:p>
        </w:tc>
        <w:tc>
          <w:tcPr>
            <w:tcW w:w="1417" w:type="dxa"/>
            <w:shd w:val="clear" w:color="000000" w:fill="FFFFFF"/>
            <w:noWrap w:val="0"/>
            <w:vAlign w:val="center"/>
          </w:tcPr>
          <w:p w14:paraId="6D05896E">
            <w:pPr>
              <w:widowControl/>
              <w:spacing w:line="240" w:lineRule="auto"/>
              <w:jc w:val="center"/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  <w:t>加氢站名称</w:t>
            </w: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26ED8145">
            <w:pPr>
              <w:widowControl/>
              <w:spacing w:line="240" w:lineRule="auto"/>
              <w:jc w:val="center"/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  <w:t>所属区域</w:t>
            </w:r>
          </w:p>
        </w:tc>
        <w:tc>
          <w:tcPr>
            <w:tcW w:w="2127" w:type="dxa"/>
            <w:shd w:val="clear" w:color="000000" w:fill="FFFFFF"/>
            <w:noWrap w:val="0"/>
            <w:vAlign w:val="center"/>
          </w:tcPr>
          <w:p w14:paraId="2A38B4CD">
            <w:pPr>
              <w:widowControl/>
              <w:spacing w:line="240" w:lineRule="auto"/>
              <w:jc w:val="center"/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  <w:t>压缩机12小时的额定工作能力</w:t>
            </w:r>
          </w:p>
          <w:p w14:paraId="55E22D5A">
            <w:pPr>
              <w:widowControl/>
              <w:spacing w:line="240" w:lineRule="auto"/>
              <w:jc w:val="center"/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  <w:t>（公斤）</w:t>
            </w:r>
          </w:p>
        </w:tc>
        <w:tc>
          <w:tcPr>
            <w:tcW w:w="1204" w:type="dxa"/>
            <w:shd w:val="clear" w:color="000000" w:fill="FFFFFF"/>
            <w:noWrap w:val="0"/>
            <w:vAlign w:val="center"/>
          </w:tcPr>
          <w:p w14:paraId="0AD80B9A">
            <w:pPr>
              <w:widowControl/>
              <w:spacing w:line="240" w:lineRule="auto"/>
              <w:jc w:val="center"/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  <w:t>核定补贴金额</w:t>
            </w:r>
          </w:p>
          <w:p w14:paraId="060D466E">
            <w:pPr>
              <w:widowControl/>
              <w:spacing w:line="240" w:lineRule="auto"/>
              <w:jc w:val="center"/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000000"/>
                <w:kern w:val="0"/>
                <w:sz w:val="22"/>
              </w:rPr>
              <w:t>（万元）</w:t>
            </w:r>
          </w:p>
        </w:tc>
      </w:tr>
      <w:tr w14:paraId="5DBBE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0" w:type="auto"/>
            <w:shd w:val="clear" w:color="000000" w:fill="FFFFFF"/>
            <w:noWrap w:val="0"/>
            <w:vAlign w:val="center"/>
          </w:tcPr>
          <w:p w14:paraId="47F243DF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889" w:type="dxa"/>
            <w:shd w:val="clear" w:color="000000" w:fill="FFFFFF"/>
            <w:noWrap w:val="0"/>
            <w:vAlign w:val="center"/>
          </w:tcPr>
          <w:p w14:paraId="3875489E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中国石化销售股份有限公司北京石油分公司</w:t>
            </w:r>
          </w:p>
        </w:tc>
        <w:tc>
          <w:tcPr>
            <w:tcW w:w="1417" w:type="dxa"/>
            <w:shd w:val="clear" w:color="000000" w:fill="FFFFFF"/>
            <w:noWrap w:val="0"/>
            <w:vAlign w:val="center"/>
          </w:tcPr>
          <w:p w14:paraId="311EF5C9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西关加氢站</w:t>
            </w: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3CAE4491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昌平区</w:t>
            </w:r>
          </w:p>
        </w:tc>
        <w:tc>
          <w:tcPr>
            <w:tcW w:w="2127" w:type="dxa"/>
            <w:shd w:val="clear" w:color="000000" w:fill="FFFFFF"/>
            <w:noWrap w:val="0"/>
            <w:vAlign w:val="center"/>
          </w:tcPr>
          <w:p w14:paraId="2DEC802F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1204" w:type="dxa"/>
            <w:shd w:val="clear" w:color="000000" w:fill="FFFFFF"/>
            <w:noWrap w:val="0"/>
            <w:vAlign w:val="center"/>
          </w:tcPr>
          <w:p w14:paraId="48DD1712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500</w:t>
            </w:r>
          </w:p>
        </w:tc>
      </w:tr>
      <w:tr w14:paraId="6417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shd w:val="clear" w:color="000000" w:fill="FFFFFF"/>
            <w:noWrap w:val="0"/>
            <w:vAlign w:val="center"/>
          </w:tcPr>
          <w:p w14:paraId="5521BD37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889" w:type="dxa"/>
            <w:shd w:val="clear" w:color="000000" w:fill="FFFFFF"/>
            <w:noWrap w:val="0"/>
            <w:vAlign w:val="center"/>
          </w:tcPr>
          <w:p w14:paraId="3508D9A2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中国石化销售股份有限公司北京石油分公司</w:t>
            </w:r>
          </w:p>
        </w:tc>
        <w:tc>
          <w:tcPr>
            <w:tcW w:w="1417" w:type="dxa"/>
            <w:shd w:val="clear" w:color="000000" w:fill="FFFFFF"/>
            <w:noWrap w:val="0"/>
            <w:vAlign w:val="center"/>
          </w:tcPr>
          <w:p w14:paraId="424646E3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腾达加氢站</w:t>
            </w: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3F7E3533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通州区</w:t>
            </w:r>
          </w:p>
        </w:tc>
        <w:tc>
          <w:tcPr>
            <w:tcW w:w="2127" w:type="dxa"/>
            <w:shd w:val="clear" w:color="000000" w:fill="FFFFFF"/>
            <w:noWrap w:val="0"/>
            <w:vAlign w:val="center"/>
          </w:tcPr>
          <w:p w14:paraId="7E7529EF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1122</w:t>
            </w:r>
          </w:p>
        </w:tc>
        <w:tc>
          <w:tcPr>
            <w:tcW w:w="1204" w:type="dxa"/>
            <w:shd w:val="clear" w:color="000000" w:fill="FFFFFF"/>
            <w:noWrap w:val="0"/>
            <w:vAlign w:val="center"/>
          </w:tcPr>
          <w:p w14:paraId="2A19F71C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500</w:t>
            </w:r>
          </w:p>
        </w:tc>
      </w:tr>
      <w:tr w14:paraId="0887D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shd w:val="clear" w:color="000000" w:fill="FFFFFF"/>
            <w:noWrap w:val="0"/>
            <w:vAlign w:val="center"/>
          </w:tcPr>
          <w:p w14:paraId="1509B260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889" w:type="dxa"/>
            <w:shd w:val="clear" w:color="000000" w:fill="FFFFFF"/>
            <w:noWrap w:val="0"/>
            <w:vAlign w:val="center"/>
          </w:tcPr>
          <w:p w14:paraId="5C5890D0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中国石化销售股份有限公司北京石油分公司</w:t>
            </w:r>
          </w:p>
        </w:tc>
        <w:tc>
          <w:tcPr>
            <w:tcW w:w="1417" w:type="dxa"/>
            <w:shd w:val="clear" w:color="000000" w:fill="FFFFFF"/>
            <w:noWrap w:val="0"/>
            <w:vAlign w:val="center"/>
          </w:tcPr>
          <w:p w14:paraId="1129DC8C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储运油氢合建站</w:t>
            </w: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454B3BCF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房山区</w:t>
            </w:r>
          </w:p>
        </w:tc>
        <w:tc>
          <w:tcPr>
            <w:tcW w:w="2127" w:type="dxa"/>
            <w:shd w:val="clear" w:color="000000" w:fill="FFFFFF"/>
            <w:noWrap w:val="0"/>
            <w:vAlign w:val="center"/>
          </w:tcPr>
          <w:p w14:paraId="0D798A88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1204" w:type="dxa"/>
            <w:shd w:val="clear" w:color="000000" w:fill="FFFFFF"/>
            <w:noWrap w:val="0"/>
            <w:vAlign w:val="center"/>
          </w:tcPr>
          <w:p w14:paraId="4EB77188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500</w:t>
            </w:r>
          </w:p>
        </w:tc>
      </w:tr>
      <w:tr w14:paraId="6262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shd w:val="clear" w:color="000000" w:fill="FFFFFF"/>
            <w:noWrap w:val="0"/>
            <w:vAlign w:val="center"/>
          </w:tcPr>
          <w:p w14:paraId="0E897488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889" w:type="dxa"/>
            <w:shd w:val="clear" w:color="000000" w:fill="FFFFFF"/>
            <w:noWrap w:val="0"/>
            <w:vAlign w:val="center"/>
          </w:tcPr>
          <w:p w14:paraId="0BF524A8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中国石油天然气股份有限公司北京销售分公司</w:t>
            </w:r>
          </w:p>
        </w:tc>
        <w:tc>
          <w:tcPr>
            <w:tcW w:w="1417" w:type="dxa"/>
            <w:shd w:val="clear" w:color="000000" w:fill="FFFFFF"/>
            <w:noWrap w:val="0"/>
            <w:vAlign w:val="center"/>
          </w:tcPr>
          <w:p w14:paraId="13610E53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鑫世恒通油氢合建站</w:t>
            </w: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190BEEDB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大兴区</w:t>
            </w:r>
          </w:p>
        </w:tc>
        <w:tc>
          <w:tcPr>
            <w:tcW w:w="2127" w:type="dxa"/>
            <w:shd w:val="clear" w:color="000000" w:fill="FFFFFF"/>
            <w:noWrap w:val="0"/>
            <w:vAlign w:val="center"/>
          </w:tcPr>
          <w:p w14:paraId="37320A23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1204" w:type="dxa"/>
            <w:shd w:val="clear" w:color="000000" w:fill="FFFFFF"/>
            <w:noWrap w:val="0"/>
            <w:vAlign w:val="center"/>
          </w:tcPr>
          <w:p w14:paraId="07A9B391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500</w:t>
            </w:r>
          </w:p>
        </w:tc>
      </w:tr>
      <w:tr w14:paraId="1F5D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shd w:val="clear" w:color="000000" w:fill="FFFFFF"/>
            <w:noWrap w:val="0"/>
            <w:vAlign w:val="center"/>
          </w:tcPr>
          <w:p w14:paraId="2A95012C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889" w:type="dxa"/>
            <w:shd w:val="clear" w:color="000000" w:fill="FFFFFF"/>
            <w:noWrap w:val="0"/>
            <w:vAlign w:val="center"/>
          </w:tcPr>
          <w:p w14:paraId="4F5368EA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中国石油天然气股份有限公司北京销售分公司</w:t>
            </w:r>
          </w:p>
        </w:tc>
        <w:tc>
          <w:tcPr>
            <w:tcW w:w="1417" w:type="dxa"/>
            <w:shd w:val="clear" w:color="000000" w:fill="FFFFFF"/>
            <w:noWrap w:val="0"/>
            <w:vAlign w:val="center"/>
          </w:tcPr>
          <w:p w14:paraId="097BF1CA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通宫加氢站</w:t>
            </w: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2095CC31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通州区</w:t>
            </w:r>
          </w:p>
        </w:tc>
        <w:tc>
          <w:tcPr>
            <w:tcW w:w="2127" w:type="dxa"/>
            <w:shd w:val="clear" w:color="000000" w:fill="FFFFFF"/>
            <w:noWrap w:val="0"/>
            <w:vAlign w:val="center"/>
          </w:tcPr>
          <w:p w14:paraId="5C9B0806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1204" w:type="dxa"/>
            <w:shd w:val="clear" w:color="000000" w:fill="FFFFFF"/>
            <w:noWrap w:val="0"/>
            <w:vAlign w:val="center"/>
          </w:tcPr>
          <w:p w14:paraId="0E740AD5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500</w:t>
            </w:r>
          </w:p>
        </w:tc>
      </w:tr>
      <w:tr w14:paraId="4E4FD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shd w:val="clear" w:color="000000" w:fill="FFFFFF"/>
            <w:noWrap w:val="0"/>
            <w:vAlign w:val="center"/>
          </w:tcPr>
          <w:p w14:paraId="684F81E2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889" w:type="dxa"/>
            <w:shd w:val="clear" w:color="000000" w:fill="FFFFFF"/>
            <w:noWrap w:val="0"/>
            <w:vAlign w:val="center"/>
          </w:tcPr>
          <w:p w14:paraId="321383EA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北京燃气绿源达清洁燃料有限公司</w:t>
            </w:r>
          </w:p>
        </w:tc>
        <w:tc>
          <w:tcPr>
            <w:tcW w:w="1417" w:type="dxa"/>
            <w:shd w:val="clear" w:color="000000" w:fill="FFFFFF"/>
            <w:noWrap w:val="0"/>
            <w:vAlign w:val="center"/>
          </w:tcPr>
          <w:p w14:paraId="6BAC82A8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王四营气氢合建示范站</w:t>
            </w: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02A20457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朝阳区</w:t>
            </w:r>
          </w:p>
        </w:tc>
        <w:tc>
          <w:tcPr>
            <w:tcW w:w="2127" w:type="dxa"/>
            <w:shd w:val="clear" w:color="000000" w:fill="FFFFFF"/>
            <w:noWrap w:val="0"/>
            <w:vAlign w:val="center"/>
          </w:tcPr>
          <w:p w14:paraId="30666596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1204" w:type="dxa"/>
            <w:shd w:val="clear" w:color="000000" w:fill="FFFFFF"/>
            <w:noWrap w:val="0"/>
            <w:vAlign w:val="center"/>
          </w:tcPr>
          <w:p w14:paraId="215D7C29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500</w:t>
            </w:r>
          </w:p>
        </w:tc>
      </w:tr>
      <w:tr w14:paraId="2B980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shd w:val="clear" w:color="000000" w:fill="FFFFFF"/>
            <w:noWrap w:val="0"/>
            <w:vAlign w:val="center"/>
          </w:tcPr>
          <w:p w14:paraId="261E83F5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889" w:type="dxa"/>
            <w:shd w:val="clear" w:color="000000" w:fill="FFFFFF"/>
            <w:noWrap w:val="0"/>
            <w:vAlign w:val="center"/>
          </w:tcPr>
          <w:p w14:paraId="378E158C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北京首发工贸有限责任公司</w:t>
            </w:r>
          </w:p>
        </w:tc>
        <w:tc>
          <w:tcPr>
            <w:tcW w:w="1417" w:type="dxa"/>
            <w:shd w:val="clear" w:color="000000" w:fill="FFFFFF"/>
            <w:noWrap w:val="0"/>
            <w:vAlign w:val="center"/>
          </w:tcPr>
          <w:p w14:paraId="067D73BA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马驹桥服务区加氢站</w:t>
            </w: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49717FD5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通州区</w:t>
            </w:r>
          </w:p>
        </w:tc>
        <w:tc>
          <w:tcPr>
            <w:tcW w:w="2127" w:type="dxa"/>
            <w:shd w:val="clear" w:color="000000" w:fill="FFFFFF"/>
            <w:noWrap w:val="0"/>
            <w:vAlign w:val="center"/>
          </w:tcPr>
          <w:p w14:paraId="1576BED7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1204" w:type="dxa"/>
            <w:shd w:val="clear" w:color="000000" w:fill="FFFFFF"/>
            <w:noWrap w:val="0"/>
            <w:vAlign w:val="center"/>
          </w:tcPr>
          <w:p w14:paraId="04BBD937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500</w:t>
            </w:r>
          </w:p>
        </w:tc>
      </w:tr>
      <w:tr w14:paraId="37DBE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5098" w:type="dxa"/>
            <w:gridSpan w:val="4"/>
            <w:shd w:val="clear" w:color="000000" w:fill="FFFFFF"/>
            <w:noWrap w:val="0"/>
            <w:vAlign w:val="center"/>
          </w:tcPr>
          <w:p w14:paraId="71A12ABA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2127" w:type="dxa"/>
            <w:shd w:val="clear" w:color="000000" w:fill="FFFFFF"/>
            <w:noWrap w:val="0"/>
            <w:vAlign w:val="center"/>
          </w:tcPr>
          <w:p w14:paraId="20897306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2"/>
              </w:rPr>
              <w:t>——</w:t>
            </w:r>
          </w:p>
        </w:tc>
        <w:tc>
          <w:tcPr>
            <w:tcW w:w="1204" w:type="dxa"/>
            <w:shd w:val="clear" w:color="000000" w:fill="FFFFFF"/>
            <w:noWrap w:val="0"/>
            <w:vAlign w:val="center"/>
          </w:tcPr>
          <w:p w14:paraId="32C9A96B">
            <w:pPr>
              <w:widowControl/>
              <w:spacing w:line="240" w:lineRule="auto"/>
              <w:jc w:val="center"/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</w:tr>
    </w:tbl>
    <w:p w14:paraId="20C9EF2C">
      <w:pPr>
        <w:spacing w:line="576" w:lineRule="exact"/>
        <w:jc w:val="center"/>
        <w:rPr>
          <w:rFonts w:ascii="仿宋_GB2312" w:eastAsia="仿宋_GB2312" w:cs="Times New Roman"/>
          <w:b/>
          <w:bCs/>
        </w:rPr>
      </w:pPr>
      <w:r>
        <w:rPr>
          <w:rFonts w:hint="eastAsia" w:ascii="方正黑体_GBK" w:hAnsi="方正黑体_GBK" w:eastAsia="方正黑体_GBK" w:cs="方正黑体_GBK"/>
          <w:kern w:val="2"/>
        </w:rPr>
        <w:br w:type="page"/>
      </w:r>
      <w:r>
        <w:rPr>
          <w:rFonts w:hint="eastAsia" w:ascii="仿宋_GB2312" w:eastAsia="仿宋_GB2312" w:cs="Times New Roman"/>
          <w:b/>
          <w:bCs/>
        </w:rPr>
        <w:t>表</w:t>
      </w:r>
      <w:r>
        <w:rPr>
          <w:rFonts w:hint="eastAsia" w:ascii="仿宋_GB2312" w:cs="Times New Roman"/>
          <w:b/>
          <w:bCs/>
          <w:lang w:val="en-US" w:eastAsia="zh-CN"/>
        </w:rPr>
        <w:t>2</w:t>
      </w:r>
      <w:r>
        <w:rPr>
          <w:rFonts w:hint="eastAsia" w:ascii="仿宋_GB2312" w:eastAsia="仿宋_GB2312" w:cs="Times New Roman"/>
          <w:b/>
          <w:bCs/>
        </w:rPr>
        <w:t xml:space="preserve"> 北京市加氢站运营补贴核定金额表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997"/>
        <w:gridCol w:w="2409"/>
        <w:gridCol w:w="1560"/>
        <w:gridCol w:w="1638"/>
      </w:tblGrid>
      <w:tr w14:paraId="04D0A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692" w:type="dxa"/>
            <w:noWrap w:val="0"/>
            <w:vAlign w:val="center"/>
          </w:tcPr>
          <w:p w14:paraId="1C105C3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97" w:type="dxa"/>
            <w:noWrap w:val="0"/>
            <w:vAlign w:val="center"/>
          </w:tcPr>
          <w:p w14:paraId="3BC65CF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申报企业</w:t>
            </w:r>
          </w:p>
        </w:tc>
        <w:tc>
          <w:tcPr>
            <w:tcW w:w="2409" w:type="dxa"/>
            <w:noWrap w:val="0"/>
            <w:vAlign w:val="center"/>
          </w:tcPr>
          <w:p w14:paraId="409988D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加氢站名称</w:t>
            </w:r>
          </w:p>
        </w:tc>
        <w:tc>
          <w:tcPr>
            <w:tcW w:w="1560" w:type="dxa"/>
            <w:noWrap w:val="0"/>
            <w:vAlign w:val="center"/>
          </w:tcPr>
          <w:p w14:paraId="736B36AA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核定总量</w:t>
            </w:r>
          </w:p>
          <w:p w14:paraId="6497D21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（公斤）</w:t>
            </w:r>
          </w:p>
        </w:tc>
        <w:tc>
          <w:tcPr>
            <w:tcW w:w="1638" w:type="dxa"/>
            <w:noWrap w:val="0"/>
            <w:vAlign w:val="center"/>
          </w:tcPr>
          <w:p w14:paraId="562D513A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核定补贴金额</w:t>
            </w:r>
          </w:p>
          <w:p w14:paraId="46553BD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>（万元）</w:t>
            </w:r>
          </w:p>
        </w:tc>
      </w:tr>
      <w:tr w14:paraId="7F81D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2E8EAE4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1</w:t>
            </w:r>
          </w:p>
        </w:tc>
        <w:tc>
          <w:tcPr>
            <w:tcW w:w="1997" w:type="dxa"/>
            <w:noWrap w:val="0"/>
            <w:vAlign w:val="center"/>
          </w:tcPr>
          <w:p w14:paraId="1F617CB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中国石化销售股份有限公司北京石油分公司</w:t>
            </w:r>
          </w:p>
        </w:tc>
        <w:tc>
          <w:tcPr>
            <w:tcW w:w="2409" w:type="dxa"/>
            <w:noWrap w:val="0"/>
            <w:vAlign w:val="center"/>
          </w:tcPr>
          <w:p w14:paraId="323FF2E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西关加氢站</w:t>
            </w:r>
          </w:p>
        </w:tc>
        <w:tc>
          <w:tcPr>
            <w:tcW w:w="1560" w:type="dxa"/>
            <w:noWrap w:val="0"/>
            <w:vAlign w:val="center"/>
          </w:tcPr>
          <w:p w14:paraId="1EE2A79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114932.7800 </w:t>
            </w:r>
          </w:p>
        </w:tc>
        <w:tc>
          <w:tcPr>
            <w:tcW w:w="1638" w:type="dxa"/>
            <w:noWrap/>
            <w:vAlign w:val="center"/>
          </w:tcPr>
          <w:p w14:paraId="0E3DEDD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114.932780 </w:t>
            </w:r>
          </w:p>
        </w:tc>
      </w:tr>
      <w:tr w14:paraId="57340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11D764D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2</w:t>
            </w:r>
          </w:p>
        </w:tc>
        <w:tc>
          <w:tcPr>
            <w:tcW w:w="1997" w:type="dxa"/>
            <w:noWrap w:val="0"/>
            <w:vAlign w:val="center"/>
          </w:tcPr>
          <w:p w14:paraId="2DA5004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中国石化销售股份有限公司北京石油分公司</w:t>
            </w:r>
          </w:p>
        </w:tc>
        <w:tc>
          <w:tcPr>
            <w:tcW w:w="2409" w:type="dxa"/>
            <w:noWrap w:val="0"/>
            <w:vAlign w:val="center"/>
          </w:tcPr>
          <w:p w14:paraId="17AD996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腾达加氢站</w:t>
            </w:r>
          </w:p>
        </w:tc>
        <w:tc>
          <w:tcPr>
            <w:tcW w:w="1560" w:type="dxa"/>
            <w:noWrap w:val="0"/>
            <w:vAlign w:val="center"/>
          </w:tcPr>
          <w:p w14:paraId="27615C9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161395.5100 </w:t>
            </w:r>
          </w:p>
        </w:tc>
        <w:tc>
          <w:tcPr>
            <w:tcW w:w="1638" w:type="dxa"/>
            <w:noWrap/>
            <w:vAlign w:val="center"/>
          </w:tcPr>
          <w:p w14:paraId="0480094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161.395510 </w:t>
            </w:r>
          </w:p>
        </w:tc>
      </w:tr>
      <w:tr w14:paraId="3878C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4D1F4E5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3</w:t>
            </w:r>
          </w:p>
        </w:tc>
        <w:tc>
          <w:tcPr>
            <w:tcW w:w="1997" w:type="dxa"/>
            <w:noWrap w:val="0"/>
            <w:vAlign w:val="center"/>
          </w:tcPr>
          <w:p w14:paraId="511166E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中国石化销售股份有限公司北京石油分公司</w:t>
            </w:r>
          </w:p>
        </w:tc>
        <w:tc>
          <w:tcPr>
            <w:tcW w:w="2409" w:type="dxa"/>
            <w:noWrap w:val="0"/>
            <w:vAlign w:val="center"/>
          </w:tcPr>
          <w:p w14:paraId="208B7D8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储运油氢合建站</w:t>
            </w:r>
          </w:p>
        </w:tc>
        <w:tc>
          <w:tcPr>
            <w:tcW w:w="1560" w:type="dxa"/>
            <w:noWrap w:val="0"/>
            <w:vAlign w:val="center"/>
          </w:tcPr>
          <w:p w14:paraId="009823D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392.8900 </w:t>
            </w:r>
          </w:p>
        </w:tc>
        <w:tc>
          <w:tcPr>
            <w:tcW w:w="1638" w:type="dxa"/>
            <w:noWrap/>
            <w:vAlign w:val="center"/>
          </w:tcPr>
          <w:p w14:paraId="6147012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0.392890 </w:t>
            </w:r>
          </w:p>
        </w:tc>
      </w:tr>
      <w:tr w14:paraId="5BC19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67E88D12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4</w:t>
            </w:r>
          </w:p>
        </w:tc>
        <w:tc>
          <w:tcPr>
            <w:tcW w:w="1997" w:type="dxa"/>
            <w:noWrap w:val="0"/>
            <w:vAlign w:val="center"/>
          </w:tcPr>
          <w:p w14:paraId="1EB5D51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中国石化销售股份有限公司北京石油分公司</w:t>
            </w:r>
          </w:p>
        </w:tc>
        <w:tc>
          <w:tcPr>
            <w:tcW w:w="2409" w:type="dxa"/>
            <w:noWrap w:val="0"/>
            <w:vAlign w:val="center"/>
          </w:tcPr>
          <w:p w14:paraId="51879C2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中国石化销售股份有限公司北京大兴安固加油站</w:t>
            </w:r>
          </w:p>
        </w:tc>
        <w:tc>
          <w:tcPr>
            <w:tcW w:w="1560" w:type="dxa"/>
            <w:noWrap w:val="0"/>
            <w:vAlign w:val="center"/>
          </w:tcPr>
          <w:p w14:paraId="63D0063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192368.2800 </w:t>
            </w:r>
          </w:p>
        </w:tc>
        <w:tc>
          <w:tcPr>
            <w:tcW w:w="1638" w:type="dxa"/>
            <w:noWrap/>
            <w:vAlign w:val="center"/>
          </w:tcPr>
          <w:p w14:paraId="769FFC3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192.368280 </w:t>
            </w:r>
          </w:p>
        </w:tc>
      </w:tr>
      <w:tr w14:paraId="49E22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5CACB09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5</w:t>
            </w:r>
          </w:p>
        </w:tc>
        <w:tc>
          <w:tcPr>
            <w:tcW w:w="1997" w:type="dxa"/>
            <w:noWrap w:val="0"/>
            <w:vAlign w:val="center"/>
          </w:tcPr>
          <w:p w14:paraId="30743FF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  <w:t>中国石化销售股份有限公司北京石油分公司</w:t>
            </w:r>
          </w:p>
        </w:tc>
        <w:tc>
          <w:tcPr>
            <w:tcW w:w="2409" w:type="dxa"/>
            <w:noWrap w:val="0"/>
            <w:vAlign w:val="center"/>
          </w:tcPr>
          <w:p w14:paraId="5D66355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中国石化销售股份有限公司北京大兴青云店加油站</w:t>
            </w:r>
          </w:p>
        </w:tc>
        <w:tc>
          <w:tcPr>
            <w:tcW w:w="1560" w:type="dxa"/>
            <w:noWrap w:val="0"/>
            <w:vAlign w:val="center"/>
          </w:tcPr>
          <w:p w14:paraId="0298B4D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224920.0904 </w:t>
            </w:r>
          </w:p>
        </w:tc>
        <w:tc>
          <w:tcPr>
            <w:tcW w:w="1638" w:type="dxa"/>
            <w:noWrap/>
            <w:vAlign w:val="center"/>
          </w:tcPr>
          <w:p w14:paraId="33F3DE7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224.920090 </w:t>
            </w:r>
          </w:p>
        </w:tc>
      </w:tr>
      <w:tr w14:paraId="0A598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16695BC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6</w:t>
            </w:r>
          </w:p>
        </w:tc>
        <w:tc>
          <w:tcPr>
            <w:tcW w:w="1997" w:type="dxa"/>
            <w:noWrap w:val="0"/>
            <w:vAlign w:val="center"/>
          </w:tcPr>
          <w:p w14:paraId="525BB9E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ascii="仿宋_GB2312" w:hAnsi="黑体" w:eastAsia="仿宋_GB2312"/>
                <w:color w:val="000000"/>
                <w:sz w:val="22"/>
              </w:rPr>
              <w:t>北京海珀尔能源管理有限公司大兴黄村分公司</w:t>
            </w:r>
          </w:p>
        </w:tc>
        <w:tc>
          <w:tcPr>
            <w:tcW w:w="2409" w:type="dxa"/>
            <w:noWrap w:val="0"/>
            <w:vAlign w:val="center"/>
          </w:tcPr>
          <w:p w14:paraId="6A0C14A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大兴氢能示范区加氢示范站</w:t>
            </w:r>
          </w:p>
        </w:tc>
        <w:tc>
          <w:tcPr>
            <w:tcW w:w="1560" w:type="dxa"/>
            <w:noWrap w:val="0"/>
            <w:vAlign w:val="center"/>
          </w:tcPr>
          <w:p w14:paraId="7036624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1531249.4100 </w:t>
            </w:r>
          </w:p>
        </w:tc>
        <w:tc>
          <w:tcPr>
            <w:tcW w:w="1638" w:type="dxa"/>
            <w:noWrap/>
            <w:vAlign w:val="center"/>
          </w:tcPr>
          <w:p w14:paraId="03C3F5B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1531.249410 </w:t>
            </w:r>
          </w:p>
        </w:tc>
      </w:tr>
      <w:tr w14:paraId="18B09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4F57779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7</w:t>
            </w:r>
          </w:p>
        </w:tc>
        <w:tc>
          <w:tcPr>
            <w:tcW w:w="1997" w:type="dxa"/>
            <w:noWrap w:val="0"/>
            <w:vAlign w:val="center"/>
          </w:tcPr>
          <w:p w14:paraId="3F36F87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ascii="仿宋_GB2312" w:hAnsi="黑体" w:eastAsia="仿宋_GB2312"/>
                <w:color w:val="000000"/>
                <w:sz w:val="22"/>
              </w:rPr>
              <w:t>北京中石化公交能源科技有限责任公司</w:t>
            </w:r>
          </w:p>
        </w:tc>
        <w:tc>
          <w:tcPr>
            <w:tcW w:w="2409" w:type="dxa"/>
            <w:noWrap w:val="0"/>
            <w:vAlign w:val="center"/>
          </w:tcPr>
          <w:p w14:paraId="2C3B336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庆园街加氢加气合建站</w:t>
            </w:r>
          </w:p>
        </w:tc>
        <w:tc>
          <w:tcPr>
            <w:tcW w:w="1560" w:type="dxa"/>
            <w:noWrap w:val="0"/>
            <w:vAlign w:val="center"/>
          </w:tcPr>
          <w:p w14:paraId="50126B1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608952.0200 </w:t>
            </w:r>
          </w:p>
        </w:tc>
        <w:tc>
          <w:tcPr>
            <w:tcW w:w="1638" w:type="dxa"/>
            <w:noWrap/>
            <w:vAlign w:val="center"/>
          </w:tcPr>
          <w:p w14:paraId="17038CA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608.952020 </w:t>
            </w:r>
          </w:p>
        </w:tc>
      </w:tr>
      <w:tr w14:paraId="6E22B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25A9E33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8</w:t>
            </w:r>
          </w:p>
        </w:tc>
        <w:tc>
          <w:tcPr>
            <w:tcW w:w="1997" w:type="dxa"/>
            <w:noWrap w:val="0"/>
            <w:vAlign w:val="center"/>
          </w:tcPr>
          <w:p w14:paraId="19181BD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ascii="仿宋_GB2312" w:hAnsi="黑体" w:eastAsia="仿宋_GB2312"/>
                <w:color w:val="000000"/>
                <w:sz w:val="22"/>
              </w:rPr>
              <w:t>北京中石化公交能源科技有限责任公司</w:t>
            </w:r>
          </w:p>
        </w:tc>
        <w:tc>
          <w:tcPr>
            <w:tcW w:w="2409" w:type="dxa"/>
            <w:noWrap w:val="0"/>
            <w:vAlign w:val="center"/>
          </w:tcPr>
          <w:p w14:paraId="4777D322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王泉营加氢站</w:t>
            </w:r>
          </w:p>
        </w:tc>
        <w:tc>
          <w:tcPr>
            <w:tcW w:w="1560" w:type="dxa"/>
            <w:noWrap w:val="0"/>
            <w:vAlign w:val="center"/>
          </w:tcPr>
          <w:p w14:paraId="431F65D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302376.4700 </w:t>
            </w:r>
          </w:p>
        </w:tc>
        <w:tc>
          <w:tcPr>
            <w:tcW w:w="1638" w:type="dxa"/>
            <w:noWrap/>
            <w:vAlign w:val="center"/>
          </w:tcPr>
          <w:p w14:paraId="6A32F42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302.376470 </w:t>
            </w:r>
          </w:p>
        </w:tc>
      </w:tr>
      <w:tr w14:paraId="2483B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7555570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9</w:t>
            </w:r>
          </w:p>
        </w:tc>
        <w:tc>
          <w:tcPr>
            <w:tcW w:w="1997" w:type="dxa"/>
            <w:noWrap w:val="0"/>
            <w:vAlign w:val="center"/>
          </w:tcPr>
          <w:p w14:paraId="460C949A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ascii="仿宋_GB2312" w:hAnsi="黑体" w:eastAsia="仿宋_GB2312"/>
                <w:color w:val="000000"/>
                <w:sz w:val="22"/>
              </w:rPr>
              <w:t>北京亿华通科技股份有限公司</w:t>
            </w:r>
          </w:p>
        </w:tc>
        <w:tc>
          <w:tcPr>
            <w:tcW w:w="2409" w:type="dxa"/>
            <w:noWrap w:val="0"/>
            <w:vAlign w:val="center"/>
          </w:tcPr>
          <w:p w14:paraId="79F14F1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亿华通永丰加氢站</w:t>
            </w:r>
          </w:p>
        </w:tc>
        <w:tc>
          <w:tcPr>
            <w:tcW w:w="1560" w:type="dxa"/>
            <w:noWrap w:val="0"/>
            <w:vAlign w:val="center"/>
          </w:tcPr>
          <w:p w14:paraId="771534F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75500.7700 </w:t>
            </w:r>
          </w:p>
        </w:tc>
        <w:tc>
          <w:tcPr>
            <w:tcW w:w="1638" w:type="dxa"/>
            <w:noWrap/>
            <w:vAlign w:val="center"/>
          </w:tcPr>
          <w:p w14:paraId="20EADD2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75.500770 </w:t>
            </w:r>
          </w:p>
        </w:tc>
      </w:tr>
      <w:tr w14:paraId="04E16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3D4CD48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10</w:t>
            </w:r>
          </w:p>
        </w:tc>
        <w:tc>
          <w:tcPr>
            <w:tcW w:w="1997" w:type="dxa"/>
            <w:noWrap w:val="0"/>
            <w:vAlign w:val="center"/>
          </w:tcPr>
          <w:p w14:paraId="078B076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ascii="仿宋_GB2312" w:hAnsi="黑体" w:eastAsia="仿宋_GB2312"/>
                <w:color w:val="000000"/>
                <w:sz w:val="22"/>
              </w:rPr>
              <w:t>中油新能源（北京）有限公司</w:t>
            </w:r>
          </w:p>
        </w:tc>
        <w:tc>
          <w:tcPr>
            <w:tcW w:w="2409" w:type="dxa"/>
            <w:noWrap w:val="0"/>
            <w:vAlign w:val="center"/>
          </w:tcPr>
          <w:p w14:paraId="4707AC5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时顺苑加氢站</w:t>
            </w:r>
          </w:p>
        </w:tc>
        <w:tc>
          <w:tcPr>
            <w:tcW w:w="1560" w:type="dxa"/>
            <w:noWrap w:val="0"/>
            <w:vAlign w:val="center"/>
          </w:tcPr>
          <w:p w14:paraId="0EE88DF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628460.8600 </w:t>
            </w:r>
          </w:p>
        </w:tc>
        <w:tc>
          <w:tcPr>
            <w:tcW w:w="1638" w:type="dxa"/>
            <w:noWrap/>
            <w:vAlign w:val="center"/>
          </w:tcPr>
          <w:p w14:paraId="26A35AA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628.460860 </w:t>
            </w:r>
          </w:p>
        </w:tc>
      </w:tr>
      <w:tr w14:paraId="0CBFA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1D58E12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11</w:t>
            </w:r>
          </w:p>
        </w:tc>
        <w:tc>
          <w:tcPr>
            <w:tcW w:w="1997" w:type="dxa"/>
            <w:noWrap w:val="0"/>
            <w:vAlign w:val="center"/>
          </w:tcPr>
          <w:p w14:paraId="7DEF89C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ascii="仿宋_GB2312" w:hAnsi="黑体" w:eastAsia="仿宋_GB2312"/>
                <w:color w:val="000000"/>
                <w:sz w:val="22"/>
              </w:rPr>
              <w:t>中油新能源（北京）有限公司</w:t>
            </w:r>
          </w:p>
        </w:tc>
        <w:tc>
          <w:tcPr>
            <w:tcW w:w="2409" w:type="dxa"/>
            <w:noWrap w:val="0"/>
            <w:vAlign w:val="center"/>
          </w:tcPr>
          <w:p w14:paraId="50A6232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福田加氢站</w:t>
            </w:r>
          </w:p>
        </w:tc>
        <w:tc>
          <w:tcPr>
            <w:tcW w:w="1560" w:type="dxa"/>
            <w:noWrap w:val="0"/>
            <w:vAlign w:val="center"/>
          </w:tcPr>
          <w:p w14:paraId="4DC3359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321521.3800 </w:t>
            </w:r>
          </w:p>
        </w:tc>
        <w:tc>
          <w:tcPr>
            <w:tcW w:w="1638" w:type="dxa"/>
            <w:noWrap/>
            <w:vAlign w:val="center"/>
          </w:tcPr>
          <w:p w14:paraId="1925DB7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321.521380 </w:t>
            </w:r>
          </w:p>
        </w:tc>
      </w:tr>
      <w:tr w14:paraId="0D024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6526DD1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12</w:t>
            </w:r>
          </w:p>
        </w:tc>
        <w:tc>
          <w:tcPr>
            <w:tcW w:w="1997" w:type="dxa"/>
            <w:noWrap w:val="0"/>
            <w:vAlign w:val="center"/>
          </w:tcPr>
          <w:p w14:paraId="124B277A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ascii="仿宋_GB2312" w:hAnsi="黑体" w:eastAsia="仿宋_GB2312"/>
                <w:color w:val="000000"/>
                <w:sz w:val="22"/>
              </w:rPr>
              <w:t>中国石油天然气股份有限公司北京销售分公司</w:t>
            </w:r>
          </w:p>
        </w:tc>
        <w:tc>
          <w:tcPr>
            <w:tcW w:w="2409" w:type="dxa"/>
            <w:noWrap w:val="0"/>
            <w:vAlign w:val="center"/>
          </w:tcPr>
          <w:p w14:paraId="2353185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鑫世恒通油氢合建站</w:t>
            </w:r>
          </w:p>
        </w:tc>
        <w:tc>
          <w:tcPr>
            <w:tcW w:w="1560" w:type="dxa"/>
            <w:noWrap w:val="0"/>
            <w:vAlign w:val="center"/>
          </w:tcPr>
          <w:p w14:paraId="1D66F5C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2557.1100 </w:t>
            </w:r>
          </w:p>
        </w:tc>
        <w:tc>
          <w:tcPr>
            <w:tcW w:w="1638" w:type="dxa"/>
            <w:noWrap/>
            <w:vAlign w:val="center"/>
          </w:tcPr>
          <w:p w14:paraId="546B2BE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2.557110 </w:t>
            </w:r>
          </w:p>
        </w:tc>
      </w:tr>
      <w:tr w14:paraId="049C1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46573D6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13</w:t>
            </w:r>
          </w:p>
        </w:tc>
        <w:tc>
          <w:tcPr>
            <w:tcW w:w="1997" w:type="dxa"/>
            <w:noWrap w:val="0"/>
            <w:vAlign w:val="center"/>
          </w:tcPr>
          <w:p w14:paraId="52BE625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ascii="仿宋_GB2312" w:hAnsi="黑体" w:eastAsia="仿宋_GB2312"/>
                <w:color w:val="000000"/>
                <w:sz w:val="22"/>
              </w:rPr>
              <w:t>北京燃气绿源达清洁燃料有限公司</w:t>
            </w:r>
          </w:p>
        </w:tc>
        <w:tc>
          <w:tcPr>
            <w:tcW w:w="2409" w:type="dxa"/>
            <w:noWrap w:val="0"/>
            <w:vAlign w:val="center"/>
          </w:tcPr>
          <w:p w14:paraId="034102E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王四营气氢合建示范站</w:t>
            </w:r>
          </w:p>
        </w:tc>
        <w:tc>
          <w:tcPr>
            <w:tcW w:w="1560" w:type="dxa"/>
            <w:noWrap w:val="0"/>
            <w:vAlign w:val="center"/>
          </w:tcPr>
          <w:p w14:paraId="440A513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55386.0900 </w:t>
            </w:r>
          </w:p>
        </w:tc>
        <w:tc>
          <w:tcPr>
            <w:tcW w:w="1638" w:type="dxa"/>
            <w:noWrap/>
            <w:vAlign w:val="center"/>
          </w:tcPr>
          <w:p w14:paraId="72D62BE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55.386090 </w:t>
            </w:r>
          </w:p>
        </w:tc>
      </w:tr>
      <w:tr w14:paraId="77F0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92" w:type="dxa"/>
            <w:noWrap w:val="0"/>
            <w:vAlign w:val="center"/>
          </w:tcPr>
          <w:p w14:paraId="47625D7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14</w:t>
            </w:r>
          </w:p>
        </w:tc>
        <w:tc>
          <w:tcPr>
            <w:tcW w:w="1997" w:type="dxa"/>
            <w:noWrap w:val="0"/>
            <w:vAlign w:val="center"/>
          </w:tcPr>
          <w:p w14:paraId="322063A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</w:rPr>
            </w:pPr>
            <w:r>
              <w:rPr>
                <w:rFonts w:ascii="仿宋_GB2312" w:hAnsi="黑体" w:eastAsia="仿宋_GB2312"/>
                <w:color w:val="000000"/>
                <w:sz w:val="22"/>
              </w:rPr>
              <w:t>北京首发路网京津塘高速公路加油站有限公司</w:t>
            </w:r>
          </w:p>
        </w:tc>
        <w:tc>
          <w:tcPr>
            <w:tcW w:w="2409" w:type="dxa"/>
            <w:noWrap w:val="0"/>
            <w:vAlign w:val="center"/>
          </w:tcPr>
          <w:p w14:paraId="0B730F2B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马驹桥服务区加氢站</w:t>
            </w:r>
          </w:p>
        </w:tc>
        <w:tc>
          <w:tcPr>
            <w:tcW w:w="1560" w:type="dxa"/>
            <w:noWrap w:val="0"/>
            <w:vAlign w:val="center"/>
          </w:tcPr>
          <w:p w14:paraId="4E437BD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  <w:t xml:space="preserve">76007.6600 </w:t>
            </w:r>
          </w:p>
        </w:tc>
        <w:tc>
          <w:tcPr>
            <w:tcW w:w="1638" w:type="dxa"/>
            <w:noWrap/>
            <w:vAlign w:val="center"/>
          </w:tcPr>
          <w:p w14:paraId="129D2E7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 xml:space="preserve">76.007660 </w:t>
            </w:r>
          </w:p>
        </w:tc>
      </w:tr>
      <w:tr w14:paraId="2063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98" w:type="dxa"/>
            <w:gridSpan w:val="3"/>
            <w:noWrap w:val="0"/>
            <w:vAlign w:val="center"/>
          </w:tcPr>
          <w:p w14:paraId="01EE6292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bCs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1560" w:type="dxa"/>
            <w:noWrap w:val="0"/>
            <w:vAlign w:val="center"/>
          </w:tcPr>
          <w:p w14:paraId="1560C66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2"/>
              </w:rPr>
              <w:t xml:space="preserve">4296021.3204 </w:t>
            </w:r>
          </w:p>
        </w:tc>
        <w:tc>
          <w:tcPr>
            <w:tcW w:w="1638" w:type="dxa"/>
            <w:noWrap/>
            <w:vAlign w:val="center"/>
          </w:tcPr>
          <w:p w14:paraId="119434C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黑体" w:eastAsia="仿宋_GB2312"/>
                <w:color w:val="000000"/>
                <w:sz w:val="22"/>
                <w:szCs w:val="24"/>
              </w:rPr>
            </w:pPr>
            <w:r>
              <w:rPr>
                <w:rFonts w:ascii="仿宋_GB2312" w:hAnsi="等线" w:eastAsia="仿宋_GB2312"/>
                <w:b/>
                <w:bCs/>
                <w:color w:val="000000"/>
                <w:sz w:val="22"/>
              </w:rPr>
              <w:t>4296.021320</w:t>
            </w:r>
          </w:p>
        </w:tc>
      </w:tr>
    </w:tbl>
    <w:p w14:paraId="3FAFA0D0">
      <w:pPr>
        <w:pStyle w:val="33"/>
        <w:adjustRightInd/>
        <w:snapToGrid/>
        <w:spacing w:line="576" w:lineRule="exact"/>
        <w:ind w:firstLine="0" w:firstLineChars="0"/>
        <w:rPr>
          <w:rFonts w:hint="eastAsia" w:ascii="方正黑体_GBK" w:hAnsi="方正黑体_GBK" w:eastAsia="方正黑体_GBK" w:cs="方正黑体_GBK"/>
          <w:kern w:val="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34E11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74D5F6">
                          <w:pPr>
                            <w:snapToGrid w:val="0"/>
                            <w:rPr>
                              <w:rFonts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C1+H4a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74D5F6">
                    <w:pPr>
                      <w:snapToGrid w:val="0"/>
                      <w:rPr>
                        <w:rFonts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6E4"/>
    <w:rsid w:val="00002EE7"/>
    <w:rsid w:val="00083117"/>
    <w:rsid w:val="00144883"/>
    <w:rsid w:val="00153298"/>
    <w:rsid w:val="001B387B"/>
    <w:rsid w:val="00225305"/>
    <w:rsid w:val="00260256"/>
    <w:rsid w:val="002A6323"/>
    <w:rsid w:val="002F6E96"/>
    <w:rsid w:val="00330E72"/>
    <w:rsid w:val="00356D4A"/>
    <w:rsid w:val="003A5960"/>
    <w:rsid w:val="003E36E4"/>
    <w:rsid w:val="00422D98"/>
    <w:rsid w:val="00452801"/>
    <w:rsid w:val="004838D3"/>
    <w:rsid w:val="00484C68"/>
    <w:rsid w:val="0049456D"/>
    <w:rsid w:val="004E41BF"/>
    <w:rsid w:val="004E71DF"/>
    <w:rsid w:val="004F0971"/>
    <w:rsid w:val="004F65EE"/>
    <w:rsid w:val="00504057"/>
    <w:rsid w:val="005527B1"/>
    <w:rsid w:val="0056098E"/>
    <w:rsid w:val="00565AEC"/>
    <w:rsid w:val="005A23E4"/>
    <w:rsid w:val="005D0961"/>
    <w:rsid w:val="005D4CE6"/>
    <w:rsid w:val="00630A75"/>
    <w:rsid w:val="00635931"/>
    <w:rsid w:val="00677955"/>
    <w:rsid w:val="00685A28"/>
    <w:rsid w:val="006923C2"/>
    <w:rsid w:val="00692998"/>
    <w:rsid w:val="00697DA8"/>
    <w:rsid w:val="006A65DA"/>
    <w:rsid w:val="006C0BE0"/>
    <w:rsid w:val="006D7664"/>
    <w:rsid w:val="006F4669"/>
    <w:rsid w:val="00702F67"/>
    <w:rsid w:val="00716FEB"/>
    <w:rsid w:val="007C1B72"/>
    <w:rsid w:val="007D5236"/>
    <w:rsid w:val="007D7291"/>
    <w:rsid w:val="007E6B69"/>
    <w:rsid w:val="007F3557"/>
    <w:rsid w:val="008006CE"/>
    <w:rsid w:val="00847E84"/>
    <w:rsid w:val="008732F9"/>
    <w:rsid w:val="00895749"/>
    <w:rsid w:val="008E0BC7"/>
    <w:rsid w:val="008F4B9A"/>
    <w:rsid w:val="00920898"/>
    <w:rsid w:val="00963C5B"/>
    <w:rsid w:val="00980206"/>
    <w:rsid w:val="009A1315"/>
    <w:rsid w:val="00A500A9"/>
    <w:rsid w:val="00A51486"/>
    <w:rsid w:val="00A561A6"/>
    <w:rsid w:val="00AE60F5"/>
    <w:rsid w:val="00AF69BB"/>
    <w:rsid w:val="00B5095D"/>
    <w:rsid w:val="00B55F90"/>
    <w:rsid w:val="00B6289C"/>
    <w:rsid w:val="00B82594"/>
    <w:rsid w:val="00B9249C"/>
    <w:rsid w:val="00B935D5"/>
    <w:rsid w:val="00B96ABE"/>
    <w:rsid w:val="00BB0073"/>
    <w:rsid w:val="00BD0DCC"/>
    <w:rsid w:val="00BE0AD9"/>
    <w:rsid w:val="00BF7341"/>
    <w:rsid w:val="00C52470"/>
    <w:rsid w:val="00C82272"/>
    <w:rsid w:val="00C86C56"/>
    <w:rsid w:val="00CC2DED"/>
    <w:rsid w:val="00CD6E91"/>
    <w:rsid w:val="00CE5150"/>
    <w:rsid w:val="00D632B9"/>
    <w:rsid w:val="00D817C2"/>
    <w:rsid w:val="00D85F74"/>
    <w:rsid w:val="00D92725"/>
    <w:rsid w:val="00DB0A1A"/>
    <w:rsid w:val="00DD6CA7"/>
    <w:rsid w:val="00DD7F41"/>
    <w:rsid w:val="00DF7AED"/>
    <w:rsid w:val="00E02DDF"/>
    <w:rsid w:val="00E24D01"/>
    <w:rsid w:val="00E30CDC"/>
    <w:rsid w:val="00E90A1B"/>
    <w:rsid w:val="00F016E7"/>
    <w:rsid w:val="00F1516F"/>
    <w:rsid w:val="00F4151B"/>
    <w:rsid w:val="00F45408"/>
    <w:rsid w:val="00F515AA"/>
    <w:rsid w:val="00F65C13"/>
    <w:rsid w:val="00FA23BA"/>
    <w:rsid w:val="00FB6403"/>
    <w:rsid w:val="00FF5A7B"/>
    <w:rsid w:val="025C1DFF"/>
    <w:rsid w:val="02B80E34"/>
    <w:rsid w:val="04554C1C"/>
    <w:rsid w:val="05575AC4"/>
    <w:rsid w:val="05C42CB4"/>
    <w:rsid w:val="060442C5"/>
    <w:rsid w:val="06AEF0D1"/>
    <w:rsid w:val="06EFF4E4"/>
    <w:rsid w:val="0AF60009"/>
    <w:rsid w:val="0AF7C8E9"/>
    <w:rsid w:val="0AFC10F7"/>
    <w:rsid w:val="0B8D4EC4"/>
    <w:rsid w:val="0E180361"/>
    <w:rsid w:val="0F9DE6DC"/>
    <w:rsid w:val="0FCE958D"/>
    <w:rsid w:val="11173AE5"/>
    <w:rsid w:val="13DF0B70"/>
    <w:rsid w:val="13FBD852"/>
    <w:rsid w:val="1505517F"/>
    <w:rsid w:val="15BCBD35"/>
    <w:rsid w:val="15E81547"/>
    <w:rsid w:val="177F88EA"/>
    <w:rsid w:val="179D3D7D"/>
    <w:rsid w:val="17BF85C0"/>
    <w:rsid w:val="189B1C31"/>
    <w:rsid w:val="19B46A39"/>
    <w:rsid w:val="19FC1D18"/>
    <w:rsid w:val="1A0C0D84"/>
    <w:rsid w:val="1AB25AD6"/>
    <w:rsid w:val="1B140D13"/>
    <w:rsid w:val="1B3C6630"/>
    <w:rsid w:val="1BE8210C"/>
    <w:rsid w:val="1C3E80F6"/>
    <w:rsid w:val="1DDE5F31"/>
    <w:rsid w:val="1DFDE0AE"/>
    <w:rsid w:val="1E124F76"/>
    <w:rsid w:val="1EA47CA0"/>
    <w:rsid w:val="1EFD5D3F"/>
    <w:rsid w:val="1F8E2B8C"/>
    <w:rsid w:val="1FB2E171"/>
    <w:rsid w:val="1FD2D4C5"/>
    <w:rsid w:val="1FF76245"/>
    <w:rsid w:val="20160A7D"/>
    <w:rsid w:val="221672F7"/>
    <w:rsid w:val="2221348A"/>
    <w:rsid w:val="22736443"/>
    <w:rsid w:val="227573FE"/>
    <w:rsid w:val="249122DC"/>
    <w:rsid w:val="24B344A4"/>
    <w:rsid w:val="25A02B98"/>
    <w:rsid w:val="267B3D07"/>
    <w:rsid w:val="269CC043"/>
    <w:rsid w:val="26BFC3D0"/>
    <w:rsid w:val="26EF1CD9"/>
    <w:rsid w:val="26FB8CBE"/>
    <w:rsid w:val="276F5DAB"/>
    <w:rsid w:val="27A00DEC"/>
    <w:rsid w:val="28100A89"/>
    <w:rsid w:val="2A553EBA"/>
    <w:rsid w:val="2B0A6CC8"/>
    <w:rsid w:val="2B7D08C3"/>
    <w:rsid w:val="2BEBAC6A"/>
    <w:rsid w:val="2BF54C72"/>
    <w:rsid w:val="2BFC7485"/>
    <w:rsid w:val="2D706452"/>
    <w:rsid w:val="2DBE7F36"/>
    <w:rsid w:val="2DF49EAB"/>
    <w:rsid w:val="2E460602"/>
    <w:rsid w:val="2F9E6DDD"/>
    <w:rsid w:val="2FEF7C11"/>
    <w:rsid w:val="2FF5581C"/>
    <w:rsid w:val="2FFDDFD1"/>
    <w:rsid w:val="30952A70"/>
    <w:rsid w:val="31E3004C"/>
    <w:rsid w:val="32577148"/>
    <w:rsid w:val="331A13DB"/>
    <w:rsid w:val="33262032"/>
    <w:rsid w:val="339D0FE2"/>
    <w:rsid w:val="33FA08EC"/>
    <w:rsid w:val="34AF49FB"/>
    <w:rsid w:val="34C14A78"/>
    <w:rsid w:val="35FF2D21"/>
    <w:rsid w:val="36A24216"/>
    <w:rsid w:val="36AC7D62"/>
    <w:rsid w:val="36EF2056"/>
    <w:rsid w:val="37A7EF33"/>
    <w:rsid w:val="37EDF2CC"/>
    <w:rsid w:val="3897AD3B"/>
    <w:rsid w:val="39704BE9"/>
    <w:rsid w:val="39ACBA33"/>
    <w:rsid w:val="3BA47ACD"/>
    <w:rsid w:val="3BB569C6"/>
    <w:rsid w:val="3BD33561"/>
    <w:rsid w:val="3BE34CF1"/>
    <w:rsid w:val="3BF3EE0C"/>
    <w:rsid w:val="3BFE51F5"/>
    <w:rsid w:val="3BFF4A04"/>
    <w:rsid w:val="3D0F3673"/>
    <w:rsid w:val="3D4D4AFD"/>
    <w:rsid w:val="3D92200E"/>
    <w:rsid w:val="3DF70206"/>
    <w:rsid w:val="3DFD338D"/>
    <w:rsid w:val="3E1D4416"/>
    <w:rsid w:val="3E3E2ECA"/>
    <w:rsid w:val="3EE73592"/>
    <w:rsid w:val="3F5DEED7"/>
    <w:rsid w:val="3F7FBD6F"/>
    <w:rsid w:val="3F852680"/>
    <w:rsid w:val="3F875783"/>
    <w:rsid w:val="3FF3B358"/>
    <w:rsid w:val="3FF7CD24"/>
    <w:rsid w:val="3FF7F783"/>
    <w:rsid w:val="3FFDF09C"/>
    <w:rsid w:val="41A1565B"/>
    <w:rsid w:val="421E6C54"/>
    <w:rsid w:val="43AB7F73"/>
    <w:rsid w:val="43CE68B0"/>
    <w:rsid w:val="440C5F32"/>
    <w:rsid w:val="45C42E62"/>
    <w:rsid w:val="45F7566E"/>
    <w:rsid w:val="45FF3CBA"/>
    <w:rsid w:val="47266CBC"/>
    <w:rsid w:val="48EB5F90"/>
    <w:rsid w:val="499214AE"/>
    <w:rsid w:val="4A758864"/>
    <w:rsid w:val="4AC3AE20"/>
    <w:rsid w:val="4D38226A"/>
    <w:rsid w:val="4D911824"/>
    <w:rsid w:val="4DCF6EDD"/>
    <w:rsid w:val="4F122CA5"/>
    <w:rsid w:val="4F39D1BA"/>
    <w:rsid w:val="4F4557A2"/>
    <w:rsid w:val="4FD634C3"/>
    <w:rsid w:val="4FEB4574"/>
    <w:rsid w:val="4FEC82CA"/>
    <w:rsid w:val="515F7CEC"/>
    <w:rsid w:val="51AA1679"/>
    <w:rsid w:val="52837B79"/>
    <w:rsid w:val="52BFFCBF"/>
    <w:rsid w:val="53EF64E1"/>
    <w:rsid w:val="54F51FB1"/>
    <w:rsid w:val="55872141"/>
    <w:rsid w:val="56420C9A"/>
    <w:rsid w:val="56C21C38"/>
    <w:rsid w:val="56FF72FB"/>
    <w:rsid w:val="57667290"/>
    <w:rsid w:val="58092FBD"/>
    <w:rsid w:val="581E7698"/>
    <w:rsid w:val="58982CE9"/>
    <w:rsid w:val="590E50ED"/>
    <w:rsid w:val="592B6286"/>
    <w:rsid w:val="5B140CF1"/>
    <w:rsid w:val="5B75CB6D"/>
    <w:rsid w:val="5BDFD789"/>
    <w:rsid w:val="5BFB3B4E"/>
    <w:rsid w:val="5BFD8C9F"/>
    <w:rsid w:val="5BFF38E7"/>
    <w:rsid w:val="5C3B1AD2"/>
    <w:rsid w:val="5CD509F9"/>
    <w:rsid w:val="5CF05D64"/>
    <w:rsid w:val="5DAF5D1F"/>
    <w:rsid w:val="5DBB4175"/>
    <w:rsid w:val="5DEC0E1D"/>
    <w:rsid w:val="5DF82889"/>
    <w:rsid w:val="5E493AB9"/>
    <w:rsid w:val="5E578439"/>
    <w:rsid w:val="5EF71157"/>
    <w:rsid w:val="5EFB9ED1"/>
    <w:rsid w:val="5F3BEB59"/>
    <w:rsid w:val="5F7FE9F8"/>
    <w:rsid w:val="5F9F7640"/>
    <w:rsid w:val="5FA85222"/>
    <w:rsid w:val="5FAC9F06"/>
    <w:rsid w:val="5FBD0BF9"/>
    <w:rsid w:val="5FCEBC90"/>
    <w:rsid w:val="5FDE6C84"/>
    <w:rsid w:val="5FFFD421"/>
    <w:rsid w:val="62947784"/>
    <w:rsid w:val="62AA4171"/>
    <w:rsid w:val="62B2F915"/>
    <w:rsid w:val="63D42280"/>
    <w:rsid w:val="64D73A9B"/>
    <w:rsid w:val="64FFFB6D"/>
    <w:rsid w:val="65395B77"/>
    <w:rsid w:val="667CB7B0"/>
    <w:rsid w:val="67455F72"/>
    <w:rsid w:val="677D94D8"/>
    <w:rsid w:val="677FECFA"/>
    <w:rsid w:val="67CC71C1"/>
    <w:rsid w:val="67F70866"/>
    <w:rsid w:val="68396063"/>
    <w:rsid w:val="6970AF4B"/>
    <w:rsid w:val="697E37A2"/>
    <w:rsid w:val="69B1606B"/>
    <w:rsid w:val="69F07361"/>
    <w:rsid w:val="6A341451"/>
    <w:rsid w:val="6A7F0635"/>
    <w:rsid w:val="6A8902CD"/>
    <w:rsid w:val="6ADC8C30"/>
    <w:rsid w:val="6B3F6B5E"/>
    <w:rsid w:val="6B575E74"/>
    <w:rsid w:val="6B9456CE"/>
    <w:rsid w:val="6C7EF1A3"/>
    <w:rsid w:val="6D7718E3"/>
    <w:rsid w:val="6D79F0DA"/>
    <w:rsid w:val="6DBDCF54"/>
    <w:rsid w:val="6DFDE177"/>
    <w:rsid w:val="6E150945"/>
    <w:rsid w:val="6E95126E"/>
    <w:rsid w:val="6EF3B0E2"/>
    <w:rsid w:val="6EFFDAFC"/>
    <w:rsid w:val="6F094310"/>
    <w:rsid w:val="6F7E0E64"/>
    <w:rsid w:val="6FB5726B"/>
    <w:rsid w:val="6FDD9D30"/>
    <w:rsid w:val="6FDDB529"/>
    <w:rsid w:val="6FDF77B8"/>
    <w:rsid w:val="6FDF9F3F"/>
    <w:rsid w:val="6FEADF2E"/>
    <w:rsid w:val="6FEF2A47"/>
    <w:rsid w:val="70045A20"/>
    <w:rsid w:val="70BF0E1B"/>
    <w:rsid w:val="71E13800"/>
    <w:rsid w:val="71F7C83B"/>
    <w:rsid w:val="71FB30C3"/>
    <w:rsid w:val="7295701D"/>
    <w:rsid w:val="72E2339A"/>
    <w:rsid w:val="733817D7"/>
    <w:rsid w:val="73775A18"/>
    <w:rsid w:val="737DDB35"/>
    <w:rsid w:val="737FB66A"/>
    <w:rsid w:val="73E3D83E"/>
    <w:rsid w:val="73F62987"/>
    <w:rsid w:val="73FF05BD"/>
    <w:rsid w:val="744578E2"/>
    <w:rsid w:val="74EDF222"/>
    <w:rsid w:val="751F3D83"/>
    <w:rsid w:val="757FDA2C"/>
    <w:rsid w:val="76433D39"/>
    <w:rsid w:val="765E1DC0"/>
    <w:rsid w:val="766C094F"/>
    <w:rsid w:val="7697422F"/>
    <w:rsid w:val="76A114EE"/>
    <w:rsid w:val="76AF2F9A"/>
    <w:rsid w:val="76BFC953"/>
    <w:rsid w:val="76EDB29C"/>
    <w:rsid w:val="76FF3E4B"/>
    <w:rsid w:val="76FFAEBA"/>
    <w:rsid w:val="771ED286"/>
    <w:rsid w:val="777E3AC6"/>
    <w:rsid w:val="77BD2671"/>
    <w:rsid w:val="77BF5FE3"/>
    <w:rsid w:val="77D91936"/>
    <w:rsid w:val="77DE4DD7"/>
    <w:rsid w:val="77F7B86E"/>
    <w:rsid w:val="77FF7440"/>
    <w:rsid w:val="77FFD188"/>
    <w:rsid w:val="78CEAD51"/>
    <w:rsid w:val="794539A4"/>
    <w:rsid w:val="79737E0C"/>
    <w:rsid w:val="79A6609B"/>
    <w:rsid w:val="79B1465B"/>
    <w:rsid w:val="79F23DC3"/>
    <w:rsid w:val="7A7B0371"/>
    <w:rsid w:val="7AFC3051"/>
    <w:rsid w:val="7B6FE33D"/>
    <w:rsid w:val="7B9E2B1B"/>
    <w:rsid w:val="7B9FED54"/>
    <w:rsid w:val="7BAE5B7F"/>
    <w:rsid w:val="7BAEB7D2"/>
    <w:rsid w:val="7BAEF3C4"/>
    <w:rsid w:val="7BBB5889"/>
    <w:rsid w:val="7BDDE09C"/>
    <w:rsid w:val="7BEA9476"/>
    <w:rsid w:val="7BF2126C"/>
    <w:rsid w:val="7BFAEFBB"/>
    <w:rsid w:val="7BFD5800"/>
    <w:rsid w:val="7BFDCC94"/>
    <w:rsid w:val="7C753CBF"/>
    <w:rsid w:val="7CBF6DFE"/>
    <w:rsid w:val="7CCF2F28"/>
    <w:rsid w:val="7CDA5986"/>
    <w:rsid w:val="7CF58941"/>
    <w:rsid w:val="7D9B67B8"/>
    <w:rsid w:val="7DB3000D"/>
    <w:rsid w:val="7DBF4479"/>
    <w:rsid w:val="7DDDCD54"/>
    <w:rsid w:val="7DDF4455"/>
    <w:rsid w:val="7DDF5503"/>
    <w:rsid w:val="7DE5E914"/>
    <w:rsid w:val="7DEF691E"/>
    <w:rsid w:val="7DF20CCC"/>
    <w:rsid w:val="7DFD1185"/>
    <w:rsid w:val="7DFFBC5C"/>
    <w:rsid w:val="7DFFF306"/>
    <w:rsid w:val="7E3C10FD"/>
    <w:rsid w:val="7E3F25AB"/>
    <w:rsid w:val="7E6E4C85"/>
    <w:rsid w:val="7E7F06BE"/>
    <w:rsid w:val="7EDA56C1"/>
    <w:rsid w:val="7EDA58AC"/>
    <w:rsid w:val="7EDEB36F"/>
    <w:rsid w:val="7EE9B82E"/>
    <w:rsid w:val="7EF69736"/>
    <w:rsid w:val="7EFB6DC8"/>
    <w:rsid w:val="7EFF0B71"/>
    <w:rsid w:val="7EFF6B3C"/>
    <w:rsid w:val="7F372260"/>
    <w:rsid w:val="7F3D4D9F"/>
    <w:rsid w:val="7F4BB499"/>
    <w:rsid w:val="7F6F124F"/>
    <w:rsid w:val="7F6F83D8"/>
    <w:rsid w:val="7F75E1D8"/>
    <w:rsid w:val="7F7BDC69"/>
    <w:rsid w:val="7F7F64F8"/>
    <w:rsid w:val="7F9466DD"/>
    <w:rsid w:val="7F974B63"/>
    <w:rsid w:val="7FBBE3CF"/>
    <w:rsid w:val="7FBFFD85"/>
    <w:rsid w:val="7FDD0FAE"/>
    <w:rsid w:val="7FDDD0FB"/>
    <w:rsid w:val="7FDF4F93"/>
    <w:rsid w:val="7FDFE6FC"/>
    <w:rsid w:val="7FEF6835"/>
    <w:rsid w:val="7FF5C68A"/>
    <w:rsid w:val="7FF5DCA6"/>
    <w:rsid w:val="7FFD7BF5"/>
    <w:rsid w:val="7FFE414B"/>
    <w:rsid w:val="7FFE4693"/>
    <w:rsid w:val="7FFFEBAC"/>
    <w:rsid w:val="83BFC343"/>
    <w:rsid w:val="8EBF5DE7"/>
    <w:rsid w:val="937D699B"/>
    <w:rsid w:val="9B5F5C11"/>
    <w:rsid w:val="9BFFC278"/>
    <w:rsid w:val="9CBFC0D8"/>
    <w:rsid w:val="9D7EAB59"/>
    <w:rsid w:val="9EE92470"/>
    <w:rsid w:val="A5D7B507"/>
    <w:rsid w:val="A5EE3F56"/>
    <w:rsid w:val="A7F6862B"/>
    <w:rsid w:val="AD5FBF45"/>
    <w:rsid w:val="AF956ABC"/>
    <w:rsid w:val="AFEBEF52"/>
    <w:rsid w:val="AFEF0D66"/>
    <w:rsid w:val="AFFFE0A7"/>
    <w:rsid w:val="B295C5E4"/>
    <w:rsid w:val="B3B70306"/>
    <w:rsid w:val="B6FAF59A"/>
    <w:rsid w:val="B6FB00FE"/>
    <w:rsid w:val="B73E2835"/>
    <w:rsid w:val="B77393D6"/>
    <w:rsid w:val="B7AF9C5E"/>
    <w:rsid w:val="B9BFC93A"/>
    <w:rsid w:val="B9DFE998"/>
    <w:rsid w:val="BA3E0F3F"/>
    <w:rsid w:val="BAAFFF1B"/>
    <w:rsid w:val="BACF7574"/>
    <w:rsid w:val="BB7F379A"/>
    <w:rsid w:val="BBE7B298"/>
    <w:rsid w:val="BCDFD3B6"/>
    <w:rsid w:val="BD6758AF"/>
    <w:rsid w:val="BD96C6E6"/>
    <w:rsid w:val="BDA547FD"/>
    <w:rsid w:val="BDAA5F6E"/>
    <w:rsid w:val="BDD5477D"/>
    <w:rsid w:val="BDECF5C4"/>
    <w:rsid w:val="BEBFC38C"/>
    <w:rsid w:val="BF4F33C4"/>
    <w:rsid w:val="BF7F785E"/>
    <w:rsid w:val="BFA6A254"/>
    <w:rsid w:val="BFB97A80"/>
    <w:rsid w:val="BFBF24A4"/>
    <w:rsid w:val="BFCB9274"/>
    <w:rsid w:val="BFDF55E8"/>
    <w:rsid w:val="BFE30619"/>
    <w:rsid w:val="BFE7F8CD"/>
    <w:rsid w:val="BFED2132"/>
    <w:rsid w:val="BFFD316F"/>
    <w:rsid w:val="BFFEAA68"/>
    <w:rsid w:val="C2BFA2EE"/>
    <w:rsid w:val="C77B2938"/>
    <w:rsid w:val="CB6B7BFF"/>
    <w:rsid w:val="CB7F7C46"/>
    <w:rsid w:val="CF3B4783"/>
    <w:rsid w:val="CFF1D43F"/>
    <w:rsid w:val="CFFF1096"/>
    <w:rsid w:val="D1BD87F5"/>
    <w:rsid w:val="D1BE12E1"/>
    <w:rsid w:val="D2B97962"/>
    <w:rsid w:val="D4FF8CA8"/>
    <w:rsid w:val="D6DDA4DC"/>
    <w:rsid w:val="D7E24BDA"/>
    <w:rsid w:val="D7F5193F"/>
    <w:rsid w:val="D8FFDB14"/>
    <w:rsid w:val="DABFAD98"/>
    <w:rsid w:val="DACF23AB"/>
    <w:rsid w:val="DB4CEDE0"/>
    <w:rsid w:val="DBBFE9DD"/>
    <w:rsid w:val="DBDE7C37"/>
    <w:rsid w:val="DBFF938D"/>
    <w:rsid w:val="DDFE8A2C"/>
    <w:rsid w:val="DEBE9012"/>
    <w:rsid w:val="DEFCD80F"/>
    <w:rsid w:val="DF3DEAA3"/>
    <w:rsid w:val="DF5346B3"/>
    <w:rsid w:val="DFB7832F"/>
    <w:rsid w:val="DFCFBADF"/>
    <w:rsid w:val="DFF4DAA7"/>
    <w:rsid w:val="DFF89A3D"/>
    <w:rsid w:val="E3BE261C"/>
    <w:rsid w:val="E59FA74B"/>
    <w:rsid w:val="E5E55630"/>
    <w:rsid w:val="E74D99AF"/>
    <w:rsid w:val="E7DF6D10"/>
    <w:rsid w:val="E7FD75B4"/>
    <w:rsid w:val="E8AFB00E"/>
    <w:rsid w:val="EA7B1C00"/>
    <w:rsid w:val="EB72E730"/>
    <w:rsid w:val="ED577B1C"/>
    <w:rsid w:val="ED79A28C"/>
    <w:rsid w:val="ED7F3CBF"/>
    <w:rsid w:val="EDD610B8"/>
    <w:rsid w:val="EDFF98AA"/>
    <w:rsid w:val="EE7E0D1C"/>
    <w:rsid w:val="EEAE277F"/>
    <w:rsid w:val="EEFAEEE3"/>
    <w:rsid w:val="EF6EB41D"/>
    <w:rsid w:val="EFBA7B0B"/>
    <w:rsid w:val="EFBE31F8"/>
    <w:rsid w:val="EFBE8581"/>
    <w:rsid w:val="EFE7FA2D"/>
    <w:rsid w:val="EFEFE613"/>
    <w:rsid w:val="EFF3C044"/>
    <w:rsid w:val="EFF7DC4A"/>
    <w:rsid w:val="EFFE4DC1"/>
    <w:rsid w:val="F19607B1"/>
    <w:rsid w:val="F37F7F31"/>
    <w:rsid w:val="F5AB7AAD"/>
    <w:rsid w:val="F5B9BD82"/>
    <w:rsid w:val="F5FC7DAE"/>
    <w:rsid w:val="F67192AD"/>
    <w:rsid w:val="F7231859"/>
    <w:rsid w:val="F76F2E4E"/>
    <w:rsid w:val="F77F63AA"/>
    <w:rsid w:val="F79F34FD"/>
    <w:rsid w:val="F7D726CB"/>
    <w:rsid w:val="F7EFC8BE"/>
    <w:rsid w:val="F7FC2942"/>
    <w:rsid w:val="F7FF850D"/>
    <w:rsid w:val="F7FFBB81"/>
    <w:rsid w:val="F8FEC9F5"/>
    <w:rsid w:val="F9A34026"/>
    <w:rsid w:val="F9DC3C2B"/>
    <w:rsid w:val="F9F96E6F"/>
    <w:rsid w:val="F9FBB348"/>
    <w:rsid w:val="FAEF92AC"/>
    <w:rsid w:val="FAFEC4A3"/>
    <w:rsid w:val="FAFFD736"/>
    <w:rsid w:val="FB5F7199"/>
    <w:rsid w:val="FB699767"/>
    <w:rsid w:val="FBDF3B53"/>
    <w:rsid w:val="FBDFBEA0"/>
    <w:rsid w:val="FBF548FE"/>
    <w:rsid w:val="FBF65E10"/>
    <w:rsid w:val="FBF75C2D"/>
    <w:rsid w:val="FBFEAC5E"/>
    <w:rsid w:val="FC576780"/>
    <w:rsid w:val="FCEEC0A5"/>
    <w:rsid w:val="FD79E0A0"/>
    <w:rsid w:val="FD7F3D9B"/>
    <w:rsid w:val="FDA7CB7D"/>
    <w:rsid w:val="FDDA52A1"/>
    <w:rsid w:val="FDF32619"/>
    <w:rsid w:val="FDF5F584"/>
    <w:rsid w:val="FDF7D148"/>
    <w:rsid w:val="FDFD05FF"/>
    <w:rsid w:val="FE7B68F9"/>
    <w:rsid w:val="FEB67C38"/>
    <w:rsid w:val="FEBE8DF4"/>
    <w:rsid w:val="FEBFD984"/>
    <w:rsid w:val="FEE6AFC8"/>
    <w:rsid w:val="FEE95ECA"/>
    <w:rsid w:val="FEE9ED90"/>
    <w:rsid w:val="FEF7BE73"/>
    <w:rsid w:val="FEFE2E90"/>
    <w:rsid w:val="FEFF85EB"/>
    <w:rsid w:val="FF138806"/>
    <w:rsid w:val="FF1F36D2"/>
    <w:rsid w:val="FF6102DB"/>
    <w:rsid w:val="FF6FF06D"/>
    <w:rsid w:val="FF759937"/>
    <w:rsid w:val="FF776198"/>
    <w:rsid w:val="FF9F4745"/>
    <w:rsid w:val="FFBBF1CB"/>
    <w:rsid w:val="FFBE26C6"/>
    <w:rsid w:val="FFDBCF15"/>
    <w:rsid w:val="FFDF2AA0"/>
    <w:rsid w:val="FFDF839C"/>
    <w:rsid w:val="FFF7B032"/>
    <w:rsid w:val="FFF7B9E1"/>
    <w:rsid w:val="FFFA9634"/>
    <w:rsid w:val="FFFE39B8"/>
    <w:rsid w:val="FFFED18D"/>
    <w:rsid w:val="FFFF10A5"/>
    <w:rsid w:val="FFFF728E"/>
    <w:rsid w:val="FFFF91F6"/>
    <w:rsid w:val="FFFF9E08"/>
    <w:rsid w:val="FFFFD5F5"/>
    <w:rsid w:val="FFFFE9A8"/>
    <w:rsid w:val="FFFFF8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仿宋_GB2312"/>
      <w:snapToGrid w:val="0"/>
      <w:kern w:val="3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Style w:val="1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rFonts w:eastAsia="宋体"/>
    </w:rPr>
  </w:style>
  <w:style w:type="paragraph" w:styleId="4">
    <w:name w:val="Body Text"/>
    <w:basedOn w:val="1"/>
    <w:next w:val="5"/>
    <w:unhideWhenUsed/>
    <w:qFormat/>
    <w:uiPriority w:val="99"/>
    <w:pPr>
      <w:spacing w:after="140" w:line="276" w:lineRule="auto"/>
    </w:pPr>
  </w:style>
  <w:style w:type="paragraph" w:customStyle="1" w:styleId="5">
    <w:name w:val="TOC 11"/>
    <w:next w:val="1"/>
    <w:qFormat/>
    <w:uiPriority w:val="0"/>
    <w:pPr>
      <w:wordWrap w:val="0"/>
      <w:jc w:val="both"/>
    </w:pPr>
    <w:rPr>
      <w:sz w:val="21"/>
      <w:szCs w:val="22"/>
      <w:lang w:val="en-US" w:eastAsia="zh-CN" w:bidi="ar-SA"/>
    </w:rPr>
  </w:style>
  <w:style w:type="paragraph" w:styleId="6">
    <w:name w:val="Date"/>
    <w:basedOn w:val="1"/>
    <w:next w:val="1"/>
    <w:link w:val="19"/>
    <w:qFormat/>
    <w:uiPriority w:val="0"/>
    <w:pPr>
      <w:ind w:left="100" w:leftChars="2500"/>
    </w:p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0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eastAsia="宋体"/>
      <w:snapToGrid/>
      <w:kern w:val="0"/>
      <w:sz w:val="24"/>
      <w:szCs w:val="24"/>
    </w:rPr>
  </w:style>
  <w:style w:type="paragraph" w:styleId="12">
    <w:name w:val="Title"/>
    <w:basedOn w:val="1"/>
    <w:next w:val="1"/>
    <w:qFormat/>
    <w:uiPriority w:val="10"/>
    <w:pPr>
      <w:spacing w:line="560" w:lineRule="exact"/>
      <w:jc w:val="center"/>
      <w:outlineLvl w:val="0"/>
    </w:pPr>
    <w:rPr>
      <w:rFonts w:eastAsia="方正小标宋简体" w:cs="Times New Roman"/>
      <w:bCs/>
      <w:sz w:val="44"/>
      <w:szCs w:val="32"/>
    </w:rPr>
  </w:style>
  <w:style w:type="paragraph" w:styleId="13">
    <w:name w:val="Body Text First Indent"/>
    <w:basedOn w:val="4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59"/>
    <w:pPr>
      <w:widowControl w:val="0"/>
      <w:jc w:val="both"/>
    </w:pPr>
    <w:tblPr>
      <w:tblStyle w:val="1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qFormat/>
    <w:uiPriority w:val="0"/>
  </w:style>
  <w:style w:type="character" w:styleId="18">
    <w:name w:val="Hyperlink"/>
    <w:unhideWhenUsed/>
    <w:qFormat/>
    <w:uiPriority w:val="99"/>
    <w:rPr>
      <w:color w:val="000000"/>
      <w:u w:val="none"/>
    </w:rPr>
  </w:style>
  <w:style w:type="character" w:customStyle="1" w:styleId="19">
    <w:name w:val="日期 字符"/>
    <w:link w:val="6"/>
    <w:qFormat/>
    <w:uiPriority w:val="0"/>
    <w:rPr>
      <w:rFonts w:ascii="宋体" w:hAnsi="宋体" w:eastAsia="仿宋_GB2312" w:cs="Times New Roman"/>
      <w:snapToGrid w:val="0"/>
      <w:kern w:val="32"/>
      <w:sz w:val="32"/>
      <w:szCs w:val="32"/>
    </w:rPr>
  </w:style>
  <w:style w:type="character" w:customStyle="1" w:styleId="20">
    <w:name w:val="页脚 字符"/>
    <w:link w:val="7"/>
    <w:qFormat/>
    <w:uiPriority w:val="0"/>
    <w:rPr>
      <w:rFonts w:ascii="宋体" w:hAnsi="宋体" w:eastAsia="仿宋_GB2312" w:cs="Times New Roman"/>
      <w:snapToGrid w:val="0"/>
      <w:kern w:val="32"/>
      <w:sz w:val="18"/>
      <w:szCs w:val="18"/>
    </w:rPr>
  </w:style>
  <w:style w:type="character" w:customStyle="1" w:styleId="21">
    <w:name w:val="页眉 字符"/>
    <w:link w:val="8"/>
    <w:semiHidden/>
    <w:qFormat/>
    <w:uiPriority w:val="99"/>
    <w:rPr>
      <w:rFonts w:ascii="宋体" w:hAnsi="宋体" w:eastAsia="仿宋_GB2312" w:cs="Times New Roman"/>
      <w:snapToGrid w:val="0"/>
      <w:kern w:val="32"/>
      <w:sz w:val="18"/>
      <w:szCs w:val="18"/>
    </w:rPr>
  </w:style>
  <w:style w:type="character" w:customStyle="1" w:styleId="22">
    <w:name w:val="font61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23">
    <w:name w:val="font31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24">
    <w:name w:val="font11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25">
    <w:name w:val="font01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paragraph" w:customStyle="1" w:styleId="26">
    <w:name w:val="toc 11"/>
    <w:next w:val="1"/>
    <w:qFormat/>
    <w:uiPriority w:val="0"/>
    <w:pPr>
      <w:wordWrap w:val="0"/>
      <w:jc w:val="both"/>
    </w:pPr>
    <w:rPr>
      <w:sz w:val="21"/>
      <w:szCs w:val="22"/>
      <w:lang w:val="en-US" w:eastAsia="zh-CN" w:bidi="ar-SA"/>
    </w:rPr>
  </w:style>
  <w:style w:type="paragraph" w:customStyle="1" w:styleId="27">
    <w:name w:val="BodyText"/>
    <w:basedOn w:val="1"/>
    <w:next w:val="28"/>
    <w:qFormat/>
    <w:uiPriority w:val="0"/>
    <w:pPr>
      <w:spacing w:line="580" w:lineRule="exact"/>
      <w:jc w:val="left"/>
    </w:pPr>
    <w:rPr>
      <w:rFonts w:ascii="宋体" w:hAnsi="宋体"/>
      <w:color w:val="000000"/>
    </w:rPr>
  </w:style>
  <w:style w:type="paragraph" w:customStyle="1" w:styleId="28">
    <w:name w:val="UserStyle_4"/>
    <w:next w:val="1"/>
    <w:qFormat/>
    <w:uiPriority w:val="0"/>
    <w:pPr>
      <w:jc w:val="both"/>
      <w:textAlignment w:val="baseline"/>
    </w:pPr>
    <w:rPr>
      <w:rFonts w:ascii="Calibri" w:hAnsi="Calibri"/>
      <w:sz w:val="21"/>
      <w:szCs w:val="22"/>
      <w:lang w:val="en-US" w:eastAsia="zh-CN" w:bidi="ar-SA"/>
    </w:rPr>
  </w:style>
  <w:style w:type="paragraph" w:customStyle="1" w:styleId="2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  <w:lang w:val="en-US" w:eastAsia="zh-CN" w:bidi="ar-SA"/>
    </w:rPr>
  </w:style>
  <w:style w:type="paragraph" w:customStyle="1" w:styleId="30">
    <w:name w:val="列出段落1"/>
    <w:basedOn w:val="1"/>
    <w:qFormat/>
    <w:uiPriority w:val="34"/>
    <w:pPr>
      <w:ind w:firstLine="420" w:firstLineChars="200"/>
    </w:pPr>
  </w:style>
  <w:style w:type="paragraph" w:customStyle="1" w:styleId="31">
    <w:name w:val="_Style 1"/>
    <w:basedOn w:val="1"/>
    <w:qFormat/>
    <w:uiPriority w:val="34"/>
    <w:pPr>
      <w:ind w:firstLine="420" w:firstLineChars="200"/>
    </w:pPr>
  </w:style>
  <w:style w:type="paragraph" w:customStyle="1" w:styleId="32">
    <w:name w:val="PlainText"/>
    <w:basedOn w:val="1"/>
    <w:qFormat/>
    <w:uiPriority w:val="0"/>
    <w:pPr>
      <w:textAlignment w:val="baseline"/>
    </w:pPr>
    <w:rPr>
      <w:rFonts w:ascii="宋体" w:hAnsi="Courier New" w:eastAsia="宋体"/>
    </w:rPr>
  </w:style>
  <w:style w:type="paragraph" w:customStyle="1" w:styleId="33">
    <w:name w:val="公文正文"/>
    <w:basedOn w:val="1"/>
    <w:qFormat/>
    <w:uiPriority w:val="0"/>
    <w:pPr>
      <w:adjustRightInd w:val="0"/>
      <w:snapToGrid w:val="0"/>
      <w:spacing w:line="560" w:lineRule="exact"/>
      <w:ind w:firstLine="560" w:firstLineChars="200"/>
    </w:pPr>
    <w:rPr>
      <w:rFonts w:ascii="宋体" w:hAnsi="宋体" w:eastAsia="仿宋_GB2312" w:cs="Times New Roman"/>
      <w:sz w:val="32"/>
      <w:szCs w:val="32"/>
    </w:rPr>
  </w:style>
  <w:style w:type="paragraph" w:customStyle="1" w:styleId="34">
    <w:name w:val="列出段落2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35">
    <w:name w:val="my正文"/>
    <w:basedOn w:val="1"/>
    <w:qFormat/>
    <w:uiPriority w:val="0"/>
    <w:pPr>
      <w:ind w:firstLine="480" w:firstLineChars="200"/>
    </w:pPr>
    <w:rPr>
      <w:rFonts w:ascii="Calibri" w:hAnsi="Calibri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1079</Words>
  <Characters>1473</Characters>
  <Lines>19</Lines>
  <Paragraphs>5</Paragraphs>
  <TotalTime>4.33333333333333</TotalTime>
  <ScaleCrop>false</ScaleCrop>
  <LinksUpToDate>false</LinksUpToDate>
  <CharactersWithSpaces>1572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2019-01-12T06:55:00Z</dcterms:created>
  <dc:creator>bjmac</dc:creator>
  <cp:lastModifiedBy>洪硕</cp:lastModifiedBy>
  <cp:lastPrinted>2023-02-15T03:04:00Z</cp:lastPrinted>
  <dcterms:modified xsi:type="dcterms:W3CDTF">2026-09-23T08:39:44Z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2E7402951628458E8339A10D0BABBE61_13</vt:lpwstr>
  </property>
  <property fmtid="{D5CDD505-2E9C-101B-9397-08002B2CF9AE}" pid="4" name="KSOTemplateDocerSaveRecord">
    <vt:lpwstr>eyJoZGlkIjoiN2EzMjNhYmEzY2U3YjA0MmMwZmM0NzM3ZjdlNTFlYWEiLCJ1c2VySWQiOiIyMTcxMjA1MDgifQ==</vt:lpwstr>
  </property>
</Properties>
</file>