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F00219">
      <w:pPr>
        <w:numPr>
          <w:ilvl w:val="0"/>
          <w:numId w:val="0"/>
        </w:numPr>
        <w:spacing w:line="360" w:lineRule="auto"/>
        <w:jc w:val="center"/>
        <w:outlineLvl w:val="0"/>
        <w:rPr>
          <w:rFonts w:ascii="Times New Roman" w:hAnsi="Times New Roman" w:eastAsia="宋体" w:cs="Times New Roman"/>
          <w:b/>
          <w:sz w:val="36"/>
          <w:szCs w:val="36"/>
          <w:highlight w:val="none"/>
        </w:rPr>
      </w:pPr>
      <w:bookmarkStart w:id="0" w:name="_Toc99301424"/>
      <w:r>
        <w:rPr>
          <w:rFonts w:ascii="Times New Roman" w:hAnsi="Times New Roman" w:eastAsia="宋体" w:cs="Times New Roman"/>
          <w:b/>
          <w:sz w:val="36"/>
          <w:szCs w:val="36"/>
          <w:highlight w:val="none"/>
        </w:rPr>
        <w:t>采购需求</w:t>
      </w:r>
      <w:bookmarkEnd w:id="0"/>
    </w:p>
    <w:p w14:paraId="6E5B3716">
      <w:pPr>
        <w:keepNext w:val="0"/>
        <w:keepLines w:val="0"/>
        <w:pageBreakBefore w:val="0"/>
        <w:widowControl w:val="0"/>
        <w:kinsoku/>
        <w:wordWrap/>
        <w:overflowPunct/>
        <w:topLinePunct w:val="0"/>
        <w:autoSpaceDE/>
        <w:autoSpaceDN/>
        <w:bidi w:val="0"/>
        <w:spacing w:line="400" w:lineRule="exact"/>
        <w:jc w:val="left"/>
        <w:textAlignment w:val="auto"/>
        <w:rPr>
          <w:rFonts w:ascii="宋体" w:hAnsi="宋体" w:eastAsia="宋体" w:cs="宋体"/>
          <w:sz w:val="24"/>
          <w:highlight w:val="none"/>
        </w:rPr>
      </w:pPr>
    </w:p>
    <w:p w14:paraId="5E119EFE">
      <w:pPr>
        <w:widowControl w:val="0"/>
        <w:numPr>
          <w:ilvl w:val="0"/>
          <w:numId w:val="1"/>
        </w:numPr>
        <w:spacing w:line="360" w:lineRule="auto"/>
        <w:ind w:left="500" w:hanging="500" w:firstLineChars="0"/>
        <w:contextualSpacing/>
        <w:jc w:val="both"/>
        <w:rPr>
          <w:rFonts w:ascii="Times New Roman" w:hAnsi="Times New Roman" w:eastAsia="宋体" w:cs="Times New Roman"/>
          <w:b/>
          <w:kern w:val="2"/>
          <w:sz w:val="24"/>
          <w:szCs w:val="24"/>
          <w:highlight w:val="none"/>
          <w:lang w:val="en-US" w:eastAsia="zh-CN" w:bidi="ar-SA"/>
        </w:rPr>
      </w:pPr>
      <w:r>
        <w:rPr>
          <w:rFonts w:ascii="Times New Roman" w:hAnsi="Times New Roman" w:eastAsia="宋体" w:cs="Times New Roman"/>
          <w:b/>
          <w:kern w:val="2"/>
          <w:sz w:val="24"/>
          <w:szCs w:val="24"/>
          <w:highlight w:val="none"/>
          <w:lang w:val="en-US" w:eastAsia="zh-CN" w:bidi="ar-SA"/>
        </w:rPr>
        <w:t>采购标的</w:t>
      </w:r>
    </w:p>
    <w:p w14:paraId="1B522DB4">
      <w:pPr>
        <w:spacing w:line="360" w:lineRule="auto"/>
        <w:contextualSpacing/>
        <w:rPr>
          <w:rFonts w:eastAsia="宋体"/>
          <w:bCs/>
          <w:sz w:val="24"/>
          <w:highlight w:val="none"/>
        </w:rPr>
      </w:pPr>
      <w:r>
        <w:rPr>
          <w:rFonts w:eastAsia="宋体"/>
          <w:bCs/>
          <w:sz w:val="24"/>
          <w:highlight w:val="none"/>
        </w:rPr>
        <w:t>1. 采购标的</w:t>
      </w:r>
    </w:p>
    <w:tbl>
      <w:tblPr>
        <w:tblStyle w:val="4"/>
        <w:tblW w:w="84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2"/>
        <w:gridCol w:w="2993"/>
        <w:gridCol w:w="2173"/>
        <w:gridCol w:w="1882"/>
      </w:tblGrid>
      <w:tr w14:paraId="1EDB3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1352" w:type="dxa"/>
            <w:noWrap w:val="0"/>
            <w:vAlign w:val="center"/>
          </w:tcPr>
          <w:p w14:paraId="20E458D8">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bCs/>
                <w:sz w:val="24"/>
                <w:szCs w:val="24"/>
                <w:highlight w:val="none"/>
              </w:rPr>
            </w:pPr>
            <w:r>
              <w:rPr>
                <w:rFonts w:hint="eastAsia" w:ascii="宋体" w:hAnsi="宋体" w:eastAsia="宋体" w:cs="宋体"/>
                <w:bCs/>
                <w:sz w:val="24"/>
                <w:szCs w:val="24"/>
                <w:highlight w:val="none"/>
              </w:rPr>
              <w:t>序号</w:t>
            </w:r>
          </w:p>
        </w:tc>
        <w:tc>
          <w:tcPr>
            <w:tcW w:w="2993" w:type="dxa"/>
            <w:noWrap w:val="0"/>
            <w:vAlign w:val="center"/>
          </w:tcPr>
          <w:p w14:paraId="0E176938">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bCs/>
                <w:sz w:val="24"/>
                <w:szCs w:val="24"/>
                <w:highlight w:val="none"/>
              </w:rPr>
            </w:pPr>
            <w:r>
              <w:rPr>
                <w:rFonts w:hint="eastAsia" w:ascii="宋体" w:hAnsi="宋体" w:eastAsia="宋体" w:cs="宋体"/>
                <w:bCs/>
                <w:sz w:val="24"/>
                <w:szCs w:val="24"/>
                <w:highlight w:val="none"/>
              </w:rPr>
              <w:t>货物或服务名称</w:t>
            </w:r>
          </w:p>
        </w:tc>
        <w:tc>
          <w:tcPr>
            <w:tcW w:w="2173" w:type="dxa"/>
            <w:noWrap w:val="0"/>
            <w:vAlign w:val="center"/>
          </w:tcPr>
          <w:p w14:paraId="6929EBC3">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bCs/>
                <w:sz w:val="24"/>
                <w:szCs w:val="24"/>
                <w:highlight w:val="none"/>
              </w:rPr>
            </w:pPr>
            <w:r>
              <w:rPr>
                <w:rFonts w:hint="eastAsia" w:ascii="宋体" w:hAnsi="宋体" w:eastAsia="宋体" w:cs="宋体"/>
                <w:bCs/>
                <w:sz w:val="24"/>
                <w:szCs w:val="24"/>
                <w:highlight w:val="none"/>
              </w:rPr>
              <w:t>数量</w:t>
            </w:r>
          </w:p>
        </w:tc>
        <w:tc>
          <w:tcPr>
            <w:tcW w:w="1882" w:type="dxa"/>
            <w:noWrap w:val="0"/>
            <w:vAlign w:val="center"/>
          </w:tcPr>
          <w:p w14:paraId="6FAABE32">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bCs/>
                <w:sz w:val="24"/>
                <w:szCs w:val="24"/>
                <w:highlight w:val="none"/>
              </w:rPr>
            </w:pPr>
            <w:r>
              <w:rPr>
                <w:rFonts w:hint="eastAsia" w:ascii="宋体" w:hAnsi="宋体" w:eastAsia="宋体" w:cs="宋体"/>
                <w:bCs/>
                <w:sz w:val="24"/>
                <w:szCs w:val="24"/>
                <w:highlight w:val="none"/>
              </w:rPr>
              <w:t>单位</w:t>
            </w:r>
          </w:p>
        </w:tc>
      </w:tr>
      <w:tr w14:paraId="7F853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7" w:hRule="atLeast"/>
          <w:jc w:val="center"/>
        </w:trPr>
        <w:tc>
          <w:tcPr>
            <w:tcW w:w="1352" w:type="dxa"/>
            <w:noWrap w:val="0"/>
            <w:vAlign w:val="center"/>
          </w:tcPr>
          <w:p w14:paraId="02BA3368">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bCs/>
                <w:sz w:val="24"/>
                <w:szCs w:val="24"/>
                <w:highlight w:val="none"/>
              </w:rPr>
            </w:pPr>
            <w:r>
              <w:rPr>
                <w:rFonts w:hint="eastAsia" w:ascii="宋体" w:hAnsi="宋体" w:eastAsia="宋体" w:cs="宋体"/>
                <w:bCs/>
                <w:sz w:val="24"/>
                <w:szCs w:val="24"/>
                <w:highlight w:val="none"/>
              </w:rPr>
              <w:t>1</w:t>
            </w:r>
          </w:p>
        </w:tc>
        <w:tc>
          <w:tcPr>
            <w:tcW w:w="2993" w:type="dxa"/>
            <w:noWrap w:val="0"/>
            <w:vAlign w:val="center"/>
          </w:tcPr>
          <w:p w14:paraId="45F95297">
            <w:pPr>
              <w:keepNext w:val="0"/>
              <w:keepLines w:val="0"/>
              <w:pageBreakBefore w:val="0"/>
              <w:widowControl w:val="0"/>
              <w:kinsoku/>
              <w:wordWrap/>
              <w:overflowPunct/>
              <w:topLinePunct w:val="0"/>
              <w:autoSpaceDE/>
              <w:autoSpaceDN/>
              <w:bidi w:val="0"/>
              <w:adjustRightInd w:val="0"/>
              <w:snapToGrid/>
              <w:spacing w:line="400" w:lineRule="exact"/>
              <w:textAlignment w:val="baseline"/>
              <w:rPr>
                <w:rFonts w:hint="eastAsia" w:ascii="宋体" w:hAnsi="宋体" w:eastAsia="宋体" w:cs="宋体"/>
                <w:bCs/>
                <w:sz w:val="24"/>
                <w:szCs w:val="24"/>
                <w:highlight w:val="none"/>
              </w:rPr>
            </w:pPr>
            <w:r>
              <w:rPr>
                <w:rFonts w:hint="eastAsia" w:ascii="宋体" w:hAnsi="宋体" w:eastAsia="宋体" w:cs="宋体"/>
                <w:bCs/>
                <w:sz w:val="24"/>
                <w:szCs w:val="24"/>
                <w:highlight w:val="none"/>
              </w:rPr>
              <w:t>2026年北京市城市管理委员会政务云租用项目-网格化城市管理、生活垃圾等系统</w:t>
            </w:r>
          </w:p>
        </w:tc>
        <w:tc>
          <w:tcPr>
            <w:tcW w:w="2173" w:type="dxa"/>
            <w:noWrap w:val="0"/>
            <w:vAlign w:val="center"/>
          </w:tcPr>
          <w:p w14:paraId="5FB090F0">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bCs/>
                <w:sz w:val="24"/>
                <w:szCs w:val="24"/>
                <w:highlight w:val="none"/>
              </w:rPr>
            </w:pPr>
            <w:r>
              <w:rPr>
                <w:rFonts w:hint="eastAsia" w:ascii="宋体" w:hAnsi="宋体" w:eastAsia="宋体" w:cs="宋体"/>
                <w:bCs/>
                <w:sz w:val="24"/>
                <w:szCs w:val="24"/>
                <w:highlight w:val="none"/>
              </w:rPr>
              <w:t>1</w:t>
            </w:r>
          </w:p>
        </w:tc>
        <w:tc>
          <w:tcPr>
            <w:tcW w:w="1882" w:type="dxa"/>
            <w:noWrap w:val="0"/>
            <w:vAlign w:val="center"/>
          </w:tcPr>
          <w:p w14:paraId="77DE51A6">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eastAsia" w:ascii="宋体" w:hAnsi="宋体" w:eastAsia="宋体" w:cs="宋体"/>
                <w:bCs/>
                <w:sz w:val="24"/>
                <w:szCs w:val="24"/>
                <w:highlight w:val="none"/>
              </w:rPr>
            </w:pPr>
            <w:r>
              <w:rPr>
                <w:rFonts w:hint="eastAsia" w:ascii="宋体" w:hAnsi="宋体" w:eastAsia="宋体" w:cs="宋体"/>
                <w:bCs/>
                <w:sz w:val="24"/>
                <w:szCs w:val="24"/>
                <w:highlight w:val="none"/>
              </w:rPr>
              <w:t>项</w:t>
            </w:r>
          </w:p>
        </w:tc>
      </w:tr>
    </w:tbl>
    <w:p w14:paraId="7AAE2FEE">
      <w:pPr>
        <w:spacing w:line="360" w:lineRule="auto"/>
        <w:contextualSpacing/>
        <w:rPr>
          <w:rFonts w:eastAsia="宋体"/>
          <w:bCs/>
          <w:sz w:val="24"/>
          <w:highlight w:val="none"/>
        </w:rPr>
      </w:pPr>
      <w:r>
        <w:rPr>
          <w:rFonts w:eastAsia="宋体"/>
          <w:bCs/>
          <w:sz w:val="24"/>
          <w:highlight w:val="none"/>
        </w:rPr>
        <w:t>2. 项目背景</w:t>
      </w:r>
    </w:p>
    <w:p w14:paraId="0B72EE85">
      <w:pPr>
        <w:keepNext w:val="0"/>
        <w:keepLines w:val="0"/>
        <w:pageBreakBefore w:val="0"/>
        <w:widowControl w:val="0"/>
        <w:kinsoku/>
        <w:wordWrap/>
        <w:overflowPunct/>
        <w:topLinePunct w:val="0"/>
        <w:autoSpaceDE/>
        <w:autoSpaceDN/>
        <w:bidi w:val="0"/>
        <w:adjustRightInd/>
        <w:snapToGrid/>
        <w:spacing w:line="400" w:lineRule="exact"/>
        <w:ind w:firstLine="420" w:firstLineChars="175"/>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北京市城市管理委员会是负责北京市城市管理、城乡环境建设的综合协调和市容环境卫生管理、能源日常运行管理、相关市政公用事业管理的市政府组成部门。本次项目采购单位为北京市城市运行管理事务中心，北京市城市运行管理事务中心是北京市城市管理委员会的直属事业单位，承担本市城市管理“一网统管”相关平台建设、运行和数据信息管理等具体工作；负责城市运行智能感知体系建设、城市运行态势与数据监测、分析、预警等事务性工作，承担能源运行、户外广告以及安全生产、应急值守、“接诉即办”等城市运行领域的事务性工作。按照城市运行一网统管的要求，实行集约化建设，以构建安全稳定高效的信息化基础环境。运用物联网、云计算、大数据等信息技术，加强信息资源共享开放，不断提高网络安全防护水平，提升应急响应、事件快速处置能力，加强安全监控，确保信息系统安全稳定运行。</w:t>
      </w:r>
    </w:p>
    <w:p w14:paraId="78A19525">
      <w:pPr>
        <w:spacing w:line="360" w:lineRule="auto"/>
        <w:contextualSpacing/>
        <w:rPr>
          <w:rFonts w:hint="eastAsia" w:ascii="宋体" w:hAnsi="宋体" w:eastAsia="宋体" w:cs="宋体"/>
          <w:bCs/>
          <w:sz w:val="24"/>
          <w:szCs w:val="24"/>
          <w:highlight w:val="none"/>
          <w:lang w:val="en-US" w:eastAsia="zh-CN"/>
        </w:rPr>
      </w:pPr>
      <w:r>
        <w:rPr>
          <w:rFonts w:hint="eastAsia" w:eastAsia="宋体"/>
          <w:bCs/>
          <w:sz w:val="24"/>
          <w:highlight w:val="none"/>
          <w:lang w:val="en-US" w:eastAsia="zh-CN"/>
        </w:rPr>
        <w:t>3</w:t>
      </w:r>
      <w:r>
        <w:rPr>
          <w:rFonts w:eastAsia="宋体"/>
          <w:bCs/>
          <w:sz w:val="24"/>
          <w:highlight w:val="none"/>
        </w:rPr>
        <w:t xml:space="preserve">. </w:t>
      </w:r>
      <w:r>
        <w:rPr>
          <w:rFonts w:hint="eastAsia" w:ascii="宋体" w:hAnsi="宋体" w:eastAsia="宋体" w:cs="宋体"/>
          <w:bCs/>
          <w:sz w:val="24"/>
          <w:szCs w:val="24"/>
          <w:highlight w:val="none"/>
          <w:lang w:val="en-US" w:eastAsia="zh-CN"/>
        </w:rPr>
        <w:t>信息系统清单</w:t>
      </w:r>
    </w:p>
    <w:tbl>
      <w:tblPr>
        <w:tblStyle w:val="4"/>
        <w:tblW w:w="92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4"/>
        <w:gridCol w:w="8098"/>
      </w:tblGrid>
      <w:tr w14:paraId="3C77F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4" w:type="dxa"/>
            <w:noWrap w:val="0"/>
            <w:vAlign w:val="center"/>
          </w:tcPr>
          <w:p w14:paraId="279D71D4">
            <w:pPr>
              <w:keepNext w:val="0"/>
              <w:keepLines w:val="0"/>
              <w:pageBreakBefore w:val="0"/>
              <w:widowControl/>
              <w:kinsoku/>
              <w:wordWrap/>
              <w:overflowPunct/>
              <w:topLinePunct w:val="0"/>
              <w:autoSpaceDE/>
              <w:autoSpaceDN/>
              <w:bidi w:val="0"/>
              <w:adjustRightInd/>
              <w:snapToGrid/>
              <w:spacing w:before="100" w:beforeAutospacing="0" w:after="100" w:afterAutospacing="1" w:line="240" w:lineRule="auto"/>
              <w:jc w:val="center"/>
              <w:textAlignment w:val="auto"/>
              <w:rPr>
                <w:rFonts w:hint="eastAsia" w:ascii="宋体" w:hAnsi="宋体" w:eastAsia="宋体" w:cs="宋体"/>
                <w:bCs/>
                <w:kern w:val="2"/>
                <w:sz w:val="24"/>
                <w:szCs w:val="24"/>
                <w:highlight w:val="none"/>
                <w:lang w:val="en-US" w:eastAsia="zh-CN" w:bidi="ar-SA"/>
              </w:rPr>
            </w:pPr>
            <w:r>
              <w:rPr>
                <w:rFonts w:hint="eastAsia" w:ascii="宋体" w:hAnsi="宋体" w:eastAsia="宋体" w:cs="宋体"/>
                <w:bCs/>
                <w:kern w:val="2"/>
                <w:sz w:val="24"/>
                <w:szCs w:val="24"/>
                <w:highlight w:val="none"/>
                <w:lang w:val="en-US" w:eastAsia="zh-CN" w:bidi="ar-SA"/>
              </w:rPr>
              <w:t>序号</w:t>
            </w:r>
          </w:p>
        </w:tc>
        <w:tc>
          <w:tcPr>
            <w:tcW w:w="8098" w:type="dxa"/>
            <w:noWrap w:val="0"/>
            <w:vAlign w:val="center"/>
          </w:tcPr>
          <w:p w14:paraId="6C250553">
            <w:pPr>
              <w:keepNext w:val="0"/>
              <w:keepLines w:val="0"/>
              <w:pageBreakBefore w:val="0"/>
              <w:widowControl/>
              <w:kinsoku/>
              <w:wordWrap/>
              <w:overflowPunct/>
              <w:topLinePunct w:val="0"/>
              <w:autoSpaceDE/>
              <w:autoSpaceDN/>
              <w:bidi w:val="0"/>
              <w:adjustRightInd/>
              <w:snapToGrid/>
              <w:spacing w:before="100" w:beforeAutospacing="0" w:after="100" w:afterAutospacing="1" w:line="240" w:lineRule="auto"/>
              <w:jc w:val="center"/>
              <w:textAlignment w:val="auto"/>
              <w:rPr>
                <w:rFonts w:hint="eastAsia" w:ascii="宋体" w:hAnsi="宋体" w:eastAsia="宋体" w:cs="宋体"/>
                <w:bCs/>
                <w:kern w:val="2"/>
                <w:sz w:val="24"/>
                <w:szCs w:val="24"/>
                <w:highlight w:val="none"/>
                <w:lang w:val="en-US" w:eastAsia="zh-CN" w:bidi="ar-SA"/>
              </w:rPr>
            </w:pPr>
            <w:r>
              <w:rPr>
                <w:rFonts w:hint="eastAsia" w:ascii="宋体" w:hAnsi="宋体" w:eastAsia="宋体" w:cs="宋体"/>
                <w:bCs/>
                <w:kern w:val="2"/>
                <w:sz w:val="24"/>
                <w:szCs w:val="24"/>
                <w:highlight w:val="none"/>
                <w:lang w:val="en-US" w:eastAsia="zh-CN" w:bidi="ar-SA"/>
              </w:rPr>
              <w:t>信息系统名称</w:t>
            </w:r>
          </w:p>
        </w:tc>
      </w:tr>
      <w:tr w14:paraId="3AE84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4" w:type="dxa"/>
            <w:noWrap w:val="0"/>
            <w:vAlign w:val="center"/>
          </w:tcPr>
          <w:p w14:paraId="57AE73EF">
            <w:pPr>
              <w:keepNext w:val="0"/>
              <w:keepLines w:val="0"/>
              <w:pageBreakBefore w:val="0"/>
              <w:widowControl/>
              <w:kinsoku/>
              <w:wordWrap/>
              <w:overflowPunct/>
              <w:topLinePunct w:val="0"/>
              <w:autoSpaceDE/>
              <w:autoSpaceDN/>
              <w:bidi w:val="0"/>
              <w:adjustRightInd/>
              <w:snapToGrid/>
              <w:spacing w:before="100" w:beforeAutospacing="0" w:after="100" w:afterAutospacing="1" w:line="240" w:lineRule="auto"/>
              <w:jc w:val="center"/>
              <w:textAlignment w:val="auto"/>
              <w:rPr>
                <w:rFonts w:hint="eastAsia" w:ascii="宋体" w:hAnsi="宋体" w:eastAsia="宋体" w:cs="宋体"/>
                <w:bCs/>
                <w:kern w:val="2"/>
                <w:sz w:val="24"/>
                <w:szCs w:val="24"/>
                <w:highlight w:val="none"/>
                <w:lang w:val="en-US" w:eastAsia="zh-CN" w:bidi="ar-SA"/>
              </w:rPr>
            </w:pPr>
            <w:r>
              <w:rPr>
                <w:rFonts w:hint="eastAsia" w:ascii="宋体" w:hAnsi="宋体" w:eastAsia="宋体" w:cs="宋体"/>
                <w:bCs/>
                <w:kern w:val="2"/>
                <w:sz w:val="24"/>
                <w:szCs w:val="24"/>
                <w:highlight w:val="none"/>
                <w:lang w:val="en-US" w:eastAsia="zh-CN" w:bidi="ar-SA"/>
              </w:rPr>
              <w:t>1</w:t>
            </w:r>
          </w:p>
        </w:tc>
        <w:tc>
          <w:tcPr>
            <w:tcW w:w="8098" w:type="dxa"/>
            <w:noWrap w:val="0"/>
            <w:vAlign w:val="center"/>
          </w:tcPr>
          <w:p w14:paraId="037FD97C">
            <w:pPr>
              <w:keepNext w:val="0"/>
              <w:keepLines w:val="0"/>
              <w:pageBreakBefore w:val="0"/>
              <w:widowControl/>
              <w:kinsoku/>
              <w:wordWrap/>
              <w:overflowPunct/>
              <w:topLinePunct w:val="0"/>
              <w:autoSpaceDE/>
              <w:autoSpaceDN/>
              <w:bidi w:val="0"/>
              <w:adjustRightInd/>
              <w:snapToGrid/>
              <w:spacing w:before="100" w:beforeAutospacing="0" w:after="100" w:afterAutospacing="1" w:line="240" w:lineRule="auto"/>
              <w:jc w:val="center"/>
              <w:textAlignment w:val="auto"/>
              <w:rPr>
                <w:rFonts w:hint="default" w:ascii="宋体" w:hAnsi="宋体" w:eastAsia="宋体" w:cs="宋体"/>
                <w:bCs/>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北京市</w:t>
            </w:r>
            <w:r>
              <w:rPr>
                <w:rFonts w:hint="eastAsia" w:ascii="宋体" w:hAnsi="宋体" w:eastAsia="宋体" w:cs="宋体"/>
                <w:bCs/>
                <w:kern w:val="2"/>
                <w:sz w:val="24"/>
                <w:szCs w:val="24"/>
                <w:highlight w:val="none"/>
                <w:lang w:val="en-US" w:eastAsia="zh-CN" w:bidi="ar-SA"/>
              </w:rPr>
              <w:t>网格化城市管理系统</w:t>
            </w:r>
          </w:p>
        </w:tc>
      </w:tr>
      <w:tr w14:paraId="2A741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1184" w:type="dxa"/>
            <w:noWrap w:val="0"/>
            <w:vAlign w:val="center"/>
          </w:tcPr>
          <w:p w14:paraId="785790D8">
            <w:pPr>
              <w:keepNext w:val="0"/>
              <w:keepLines w:val="0"/>
              <w:pageBreakBefore w:val="0"/>
              <w:widowControl/>
              <w:kinsoku/>
              <w:wordWrap/>
              <w:overflowPunct/>
              <w:topLinePunct w:val="0"/>
              <w:autoSpaceDE/>
              <w:autoSpaceDN/>
              <w:bidi w:val="0"/>
              <w:adjustRightInd/>
              <w:snapToGrid/>
              <w:spacing w:before="100" w:beforeAutospacing="0" w:after="100" w:afterAutospacing="1" w:line="240" w:lineRule="auto"/>
              <w:jc w:val="center"/>
              <w:textAlignment w:val="auto"/>
              <w:rPr>
                <w:rFonts w:hint="eastAsia" w:ascii="宋体" w:hAnsi="宋体" w:eastAsia="宋体" w:cs="宋体"/>
                <w:bCs/>
                <w:kern w:val="0"/>
                <w:sz w:val="24"/>
                <w:szCs w:val="24"/>
                <w:highlight w:val="none"/>
                <w:lang w:val="en-US" w:eastAsia="zh-CN" w:bidi="ar-SA"/>
              </w:rPr>
            </w:pPr>
            <w:r>
              <w:rPr>
                <w:rFonts w:hint="eastAsia" w:ascii="宋体" w:hAnsi="宋体" w:eastAsia="宋体" w:cs="宋体"/>
                <w:bCs/>
                <w:kern w:val="2"/>
                <w:sz w:val="24"/>
                <w:szCs w:val="24"/>
                <w:highlight w:val="none"/>
                <w:lang w:val="en-US" w:eastAsia="zh-CN" w:bidi="ar-SA"/>
              </w:rPr>
              <w:t>2</w:t>
            </w:r>
          </w:p>
        </w:tc>
        <w:tc>
          <w:tcPr>
            <w:tcW w:w="8098" w:type="dxa"/>
            <w:noWrap w:val="0"/>
            <w:vAlign w:val="center"/>
          </w:tcPr>
          <w:p w14:paraId="58D71FE4">
            <w:pPr>
              <w:keepNext w:val="0"/>
              <w:keepLines w:val="0"/>
              <w:pageBreakBefore w:val="0"/>
              <w:widowControl/>
              <w:kinsoku/>
              <w:wordWrap/>
              <w:overflowPunct/>
              <w:topLinePunct w:val="0"/>
              <w:autoSpaceDE/>
              <w:autoSpaceDN/>
              <w:bidi w:val="0"/>
              <w:adjustRightInd/>
              <w:snapToGrid/>
              <w:spacing w:before="100" w:beforeAutospacing="0" w:after="100" w:afterAutospacing="1" w:line="240" w:lineRule="auto"/>
              <w:jc w:val="center"/>
              <w:textAlignment w:val="auto"/>
              <w:rPr>
                <w:rFonts w:hint="default" w:ascii="宋体" w:hAnsi="宋体" w:eastAsia="宋体" w:cs="宋体"/>
                <w:bCs/>
                <w:kern w:val="2"/>
                <w:sz w:val="24"/>
                <w:szCs w:val="24"/>
                <w:highlight w:val="none"/>
                <w:lang w:val="en-US" w:eastAsia="zh-CN" w:bidi="ar-SA"/>
              </w:rPr>
            </w:pPr>
            <w:r>
              <w:rPr>
                <w:rFonts w:hint="eastAsia" w:ascii="宋体" w:hAnsi="宋体" w:eastAsia="宋体" w:cs="宋体"/>
                <w:bCs/>
                <w:kern w:val="2"/>
                <w:sz w:val="24"/>
                <w:szCs w:val="24"/>
                <w:highlight w:val="none"/>
                <w:lang w:val="en-US" w:eastAsia="zh-CN" w:bidi="ar-SA"/>
              </w:rPr>
              <w:t>生活垃圾全程管理信息系统（一期）-北京市生活垃圾精细化管理服务系统</w:t>
            </w:r>
          </w:p>
        </w:tc>
      </w:tr>
      <w:tr w14:paraId="5172C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4" w:type="dxa"/>
            <w:noWrap w:val="0"/>
            <w:vAlign w:val="center"/>
          </w:tcPr>
          <w:p w14:paraId="25BB6E8D">
            <w:pPr>
              <w:keepNext w:val="0"/>
              <w:keepLines w:val="0"/>
              <w:pageBreakBefore w:val="0"/>
              <w:widowControl/>
              <w:kinsoku/>
              <w:wordWrap/>
              <w:overflowPunct/>
              <w:topLinePunct w:val="0"/>
              <w:autoSpaceDE/>
              <w:autoSpaceDN/>
              <w:bidi w:val="0"/>
              <w:adjustRightInd/>
              <w:snapToGrid/>
              <w:spacing w:before="100" w:beforeAutospacing="0" w:after="100" w:afterAutospacing="1" w:line="240" w:lineRule="auto"/>
              <w:jc w:val="center"/>
              <w:textAlignment w:val="auto"/>
              <w:rPr>
                <w:rFonts w:hint="eastAsia" w:ascii="宋体" w:hAnsi="宋体" w:eastAsia="宋体" w:cs="宋体"/>
                <w:bCs/>
                <w:kern w:val="0"/>
                <w:sz w:val="24"/>
                <w:szCs w:val="24"/>
                <w:highlight w:val="none"/>
                <w:lang w:val="en-US" w:eastAsia="zh-CN" w:bidi="ar-SA"/>
              </w:rPr>
            </w:pPr>
            <w:r>
              <w:rPr>
                <w:rFonts w:hint="eastAsia" w:ascii="宋体" w:hAnsi="宋体" w:eastAsia="宋体" w:cs="宋体"/>
                <w:bCs/>
                <w:kern w:val="2"/>
                <w:sz w:val="24"/>
                <w:szCs w:val="24"/>
                <w:highlight w:val="none"/>
                <w:lang w:val="en-US" w:eastAsia="zh-CN" w:bidi="ar-SA"/>
              </w:rPr>
              <w:t>3</w:t>
            </w:r>
          </w:p>
        </w:tc>
        <w:tc>
          <w:tcPr>
            <w:tcW w:w="8098" w:type="dxa"/>
            <w:noWrap w:val="0"/>
            <w:vAlign w:val="center"/>
          </w:tcPr>
          <w:p w14:paraId="45A3BBB3">
            <w:pPr>
              <w:keepNext w:val="0"/>
              <w:keepLines w:val="0"/>
              <w:pageBreakBefore w:val="0"/>
              <w:widowControl/>
              <w:kinsoku/>
              <w:wordWrap/>
              <w:overflowPunct/>
              <w:topLinePunct w:val="0"/>
              <w:autoSpaceDE/>
              <w:autoSpaceDN/>
              <w:bidi w:val="0"/>
              <w:adjustRightInd/>
              <w:snapToGrid/>
              <w:spacing w:before="100" w:beforeAutospacing="0" w:after="100" w:afterAutospacing="1" w:line="240" w:lineRule="auto"/>
              <w:jc w:val="center"/>
              <w:textAlignment w:val="auto"/>
              <w:rPr>
                <w:rFonts w:hint="eastAsia" w:ascii="宋体" w:hAnsi="宋体" w:eastAsia="宋体" w:cs="宋体"/>
                <w:bCs/>
                <w:kern w:val="2"/>
                <w:sz w:val="24"/>
                <w:szCs w:val="24"/>
                <w:highlight w:val="none"/>
                <w:lang w:val="en-US" w:eastAsia="zh-CN" w:bidi="ar-SA"/>
              </w:rPr>
            </w:pPr>
            <w:r>
              <w:rPr>
                <w:rFonts w:hint="eastAsia" w:ascii="宋体" w:hAnsi="宋体" w:eastAsia="宋体" w:cs="宋体"/>
                <w:bCs/>
                <w:kern w:val="2"/>
                <w:sz w:val="24"/>
                <w:szCs w:val="24"/>
                <w:highlight w:val="none"/>
                <w:lang w:val="en-US" w:eastAsia="zh-CN" w:bidi="ar-SA"/>
              </w:rPr>
              <w:t>北京市环卫信息管理系统</w:t>
            </w:r>
          </w:p>
        </w:tc>
      </w:tr>
      <w:tr w14:paraId="654DE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4" w:type="dxa"/>
            <w:noWrap w:val="0"/>
            <w:vAlign w:val="center"/>
          </w:tcPr>
          <w:p w14:paraId="32B5D442">
            <w:pPr>
              <w:keepNext w:val="0"/>
              <w:keepLines w:val="0"/>
              <w:pageBreakBefore w:val="0"/>
              <w:widowControl/>
              <w:kinsoku/>
              <w:wordWrap/>
              <w:overflowPunct/>
              <w:topLinePunct w:val="0"/>
              <w:autoSpaceDE/>
              <w:autoSpaceDN/>
              <w:bidi w:val="0"/>
              <w:adjustRightInd/>
              <w:snapToGrid/>
              <w:spacing w:before="100" w:beforeAutospacing="0" w:after="100" w:afterAutospacing="1" w:line="240" w:lineRule="auto"/>
              <w:jc w:val="center"/>
              <w:textAlignment w:val="auto"/>
              <w:rPr>
                <w:rFonts w:hint="eastAsia" w:ascii="宋体" w:hAnsi="宋体" w:eastAsia="宋体" w:cs="宋体"/>
                <w:bCs/>
                <w:kern w:val="0"/>
                <w:sz w:val="24"/>
                <w:szCs w:val="24"/>
                <w:highlight w:val="none"/>
                <w:lang w:val="en-US" w:eastAsia="zh-CN" w:bidi="ar-SA"/>
              </w:rPr>
            </w:pPr>
            <w:r>
              <w:rPr>
                <w:rFonts w:hint="eastAsia" w:ascii="宋体" w:hAnsi="宋体" w:eastAsia="宋体" w:cs="宋体"/>
                <w:bCs/>
                <w:kern w:val="2"/>
                <w:sz w:val="24"/>
                <w:szCs w:val="24"/>
                <w:highlight w:val="none"/>
                <w:lang w:val="en-US" w:eastAsia="zh-CN" w:bidi="ar-SA"/>
              </w:rPr>
              <w:t>4</w:t>
            </w:r>
          </w:p>
        </w:tc>
        <w:tc>
          <w:tcPr>
            <w:tcW w:w="8098" w:type="dxa"/>
            <w:noWrap w:val="0"/>
            <w:vAlign w:val="center"/>
          </w:tcPr>
          <w:p w14:paraId="74AAA07A">
            <w:pPr>
              <w:keepNext w:val="0"/>
              <w:keepLines w:val="0"/>
              <w:pageBreakBefore w:val="0"/>
              <w:widowControl/>
              <w:kinsoku/>
              <w:wordWrap/>
              <w:overflowPunct/>
              <w:topLinePunct w:val="0"/>
              <w:autoSpaceDE/>
              <w:autoSpaceDN/>
              <w:bidi w:val="0"/>
              <w:adjustRightInd/>
              <w:snapToGrid/>
              <w:spacing w:before="100" w:beforeAutospacing="0" w:after="100" w:afterAutospacing="1" w:line="240" w:lineRule="auto"/>
              <w:jc w:val="center"/>
              <w:textAlignment w:val="auto"/>
              <w:rPr>
                <w:rFonts w:hint="eastAsia" w:ascii="宋体" w:hAnsi="宋体" w:eastAsia="宋体" w:cs="宋体"/>
                <w:bCs/>
                <w:kern w:val="2"/>
                <w:sz w:val="24"/>
                <w:szCs w:val="24"/>
                <w:highlight w:val="none"/>
                <w:lang w:val="en-US" w:eastAsia="zh-CN" w:bidi="ar-SA"/>
              </w:rPr>
            </w:pPr>
            <w:r>
              <w:rPr>
                <w:rFonts w:hint="eastAsia" w:ascii="宋体" w:hAnsi="宋体" w:eastAsia="宋体" w:cs="宋体"/>
                <w:bCs/>
                <w:kern w:val="2"/>
                <w:sz w:val="24"/>
                <w:szCs w:val="24"/>
                <w:highlight w:val="none"/>
                <w:lang w:val="en-US" w:eastAsia="zh-CN" w:bidi="ar-SA"/>
              </w:rPr>
              <w:t>北京市环境卫生管理事务中心内务信息管理系统</w:t>
            </w:r>
          </w:p>
        </w:tc>
      </w:tr>
    </w:tbl>
    <w:p w14:paraId="1635AD2A">
      <w:pPr>
        <w:widowControl w:val="0"/>
        <w:numPr>
          <w:ilvl w:val="0"/>
          <w:numId w:val="0"/>
        </w:numPr>
        <w:adjustRightInd/>
        <w:spacing w:line="240" w:lineRule="auto"/>
        <w:ind w:firstLine="480"/>
        <w:jc w:val="both"/>
        <w:textAlignment w:val="auto"/>
        <w:rPr>
          <w:rFonts w:hint="default" w:ascii="宋体" w:hAnsi="宋体" w:eastAsia="宋体" w:cs="宋体"/>
          <w:bCs/>
          <w:kern w:val="2"/>
          <w:sz w:val="24"/>
          <w:szCs w:val="24"/>
          <w:highlight w:val="none"/>
          <w:lang w:val="en-US" w:eastAsia="zh-CN" w:bidi="ar-SA"/>
        </w:rPr>
      </w:pPr>
    </w:p>
    <w:p w14:paraId="4F5F3556">
      <w:pPr>
        <w:widowControl w:val="0"/>
        <w:numPr>
          <w:ilvl w:val="0"/>
          <w:numId w:val="1"/>
        </w:numPr>
        <w:spacing w:line="360" w:lineRule="auto"/>
        <w:ind w:left="500" w:hanging="500" w:firstLineChars="0"/>
        <w:contextualSpacing/>
        <w:jc w:val="both"/>
        <w:rPr>
          <w:rFonts w:ascii="Times New Roman" w:hAnsi="Times New Roman" w:eastAsia="宋体" w:cs="Times New Roman"/>
          <w:b/>
          <w:kern w:val="2"/>
          <w:sz w:val="24"/>
          <w:szCs w:val="24"/>
          <w:highlight w:val="none"/>
          <w:lang w:val="en-US" w:eastAsia="zh-CN" w:bidi="ar-SA"/>
        </w:rPr>
      </w:pPr>
      <w:r>
        <w:rPr>
          <w:rFonts w:ascii="Times New Roman" w:hAnsi="Times New Roman" w:eastAsia="宋体" w:cs="Times New Roman"/>
          <w:b/>
          <w:kern w:val="2"/>
          <w:sz w:val="24"/>
          <w:szCs w:val="24"/>
          <w:highlight w:val="none"/>
          <w:lang w:val="en-US" w:eastAsia="zh-CN" w:bidi="ar-SA"/>
        </w:rPr>
        <w:t>商务要求</w:t>
      </w:r>
    </w:p>
    <w:p w14:paraId="3EFE98C3">
      <w:pPr>
        <w:spacing w:line="360" w:lineRule="auto"/>
        <w:contextualSpacing/>
        <w:rPr>
          <w:rFonts w:hint="eastAsia" w:eastAsia="宋体"/>
          <w:i/>
          <w:sz w:val="24"/>
          <w:highlight w:val="none"/>
          <w:lang w:val="en-US" w:eastAsia="zh-CN"/>
        </w:rPr>
      </w:pPr>
      <w:r>
        <w:rPr>
          <w:rFonts w:eastAsia="宋体"/>
          <w:sz w:val="24"/>
          <w:highlight w:val="none"/>
        </w:rPr>
        <w:t>1. 实施期限和</w:t>
      </w:r>
      <w:r>
        <w:rPr>
          <w:rFonts w:hint="eastAsia" w:eastAsia="宋体"/>
          <w:sz w:val="24"/>
          <w:highlight w:val="none"/>
          <w:lang w:val="en-US" w:eastAsia="zh-CN"/>
        </w:rPr>
        <w:t>地点</w:t>
      </w:r>
    </w:p>
    <w:p w14:paraId="06138C61">
      <w:pPr>
        <w:keepNext w:val="0"/>
        <w:keepLines w:val="0"/>
        <w:pageBreakBefore w:val="0"/>
        <w:widowControl w:val="0"/>
        <w:kinsoku/>
        <w:wordWrap/>
        <w:overflowPunct/>
        <w:topLinePunct w:val="0"/>
        <w:autoSpaceDE/>
        <w:autoSpaceDN/>
        <w:bidi w:val="0"/>
        <w:adjustRightInd/>
        <w:snapToGrid/>
        <w:spacing w:line="400" w:lineRule="exact"/>
        <w:ind w:firstLine="420" w:firstLineChars="175"/>
        <w:textAlignment w:val="auto"/>
        <w:rPr>
          <w:rFonts w:hint="eastAsia" w:ascii="宋体" w:hAnsi="宋体" w:eastAsia="宋体" w:cs="宋体"/>
          <w:bCs/>
          <w:sz w:val="24"/>
          <w:szCs w:val="24"/>
          <w:highlight w:val="none"/>
          <w:lang w:val="en-US" w:eastAsia="zh-CN"/>
        </w:rPr>
      </w:pPr>
      <w:r>
        <w:rPr>
          <w:rFonts w:hint="eastAsia" w:ascii="宋体" w:hAnsi="宋体" w:eastAsia="宋体" w:cs="宋体"/>
          <w:bCs/>
          <w:sz w:val="24"/>
          <w:szCs w:val="24"/>
          <w:highlight w:val="none"/>
          <w:lang w:val="en-US" w:eastAsia="zh-CN"/>
        </w:rPr>
        <w:t>实施期限：一年</w:t>
      </w:r>
    </w:p>
    <w:p w14:paraId="3FF3E3B7">
      <w:pPr>
        <w:keepNext w:val="0"/>
        <w:keepLines w:val="0"/>
        <w:pageBreakBefore w:val="0"/>
        <w:widowControl w:val="0"/>
        <w:kinsoku/>
        <w:wordWrap/>
        <w:overflowPunct/>
        <w:topLinePunct w:val="0"/>
        <w:autoSpaceDE/>
        <w:autoSpaceDN/>
        <w:bidi w:val="0"/>
        <w:adjustRightInd/>
        <w:snapToGrid/>
        <w:spacing w:line="400" w:lineRule="exact"/>
        <w:ind w:firstLine="420" w:firstLineChars="175"/>
        <w:textAlignment w:val="auto"/>
        <w:rPr>
          <w:rFonts w:hint="default" w:eastAsia="宋体"/>
          <w:i/>
          <w:sz w:val="24"/>
          <w:highlight w:val="none"/>
          <w:lang w:val="en-US" w:eastAsia="zh-CN"/>
        </w:rPr>
      </w:pPr>
      <w:r>
        <w:rPr>
          <w:rFonts w:hint="eastAsia" w:ascii="宋体" w:hAnsi="宋体" w:eastAsia="宋体" w:cs="宋体"/>
          <w:bCs/>
          <w:sz w:val="24"/>
          <w:szCs w:val="24"/>
          <w:highlight w:val="none"/>
          <w:lang w:val="en-US" w:eastAsia="zh-CN"/>
        </w:rPr>
        <w:t>实施地点：采购人指定地点</w:t>
      </w:r>
    </w:p>
    <w:p w14:paraId="1800E0DB">
      <w:pPr>
        <w:spacing w:line="360" w:lineRule="auto"/>
        <w:contextualSpacing/>
        <w:rPr>
          <w:rFonts w:eastAsia="宋体"/>
          <w:sz w:val="24"/>
          <w:highlight w:val="none"/>
        </w:rPr>
      </w:pPr>
      <w:r>
        <w:rPr>
          <w:rFonts w:eastAsia="宋体"/>
          <w:sz w:val="24"/>
          <w:highlight w:val="none"/>
        </w:rPr>
        <w:t>2. 付款条件（进度和方式）</w:t>
      </w:r>
    </w:p>
    <w:p w14:paraId="68D432B2">
      <w:pPr>
        <w:keepNext w:val="0"/>
        <w:keepLines w:val="0"/>
        <w:pageBreakBefore w:val="0"/>
        <w:widowControl w:val="0"/>
        <w:kinsoku/>
        <w:wordWrap/>
        <w:overflowPunct/>
        <w:topLinePunct w:val="0"/>
        <w:autoSpaceDE/>
        <w:autoSpaceDN/>
        <w:bidi w:val="0"/>
        <w:adjustRightInd/>
        <w:snapToGrid/>
        <w:spacing w:line="400" w:lineRule="exact"/>
        <w:ind w:firstLine="482"/>
        <w:jc w:val="both"/>
        <w:textAlignment w:val="auto"/>
        <w:rPr>
          <w:rFonts w:hint="eastAsia" w:ascii="宋体" w:hAnsi="宋体" w:eastAsia="宋体" w:cs="宋体"/>
          <w:bCs/>
          <w:kern w:val="2"/>
          <w:sz w:val="24"/>
          <w:szCs w:val="24"/>
          <w:highlight w:val="none"/>
          <w:lang w:val="en-US" w:eastAsia="zh-CN" w:bidi="ar-SA"/>
        </w:rPr>
      </w:pPr>
      <w:r>
        <w:rPr>
          <w:rFonts w:hint="eastAsia" w:ascii="宋体" w:hAnsi="宋体" w:eastAsia="宋体" w:cs="宋体"/>
          <w:bCs/>
          <w:kern w:val="2"/>
          <w:sz w:val="24"/>
          <w:szCs w:val="24"/>
          <w:highlight w:val="none"/>
          <w:lang w:val="en-US" w:eastAsia="zh-CN" w:bidi="ar-SA"/>
        </w:rPr>
        <w:t>本项目分2次支付项目款：</w:t>
      </w:r>
    </w:p>
    <w:p w14:paraId="75B3FF6C">
      <w:pPr>
        <w:keepNext w:val="0"/>
        <w:keepLines w:val="0"/>
        <w:pageBreakBefore w:val="0"/>
        <w:widowControl w:val="0"/>
        <w:kinsoku/>
        <w:wordWrap/>
        <w:overflowPunct/>
        <w:topLinePunct w:val="0"/>
        <w:autoSpaceDE/>
        <w:autoSpaceDN/>
        <w:bidi w:val="0"/>
        <w:adjustRightInd/>
        <w:snapToGrid/>
        <w:spacing w:line="400" w:lineRule="exact"/>
        <w:ind w:firstLine="482"/>
        <w:jc w:val="both"/>
        <w:textAlignment w:val="auto"/>
        <w:rPr>
          <w:rFonts w:ascii="宋体" w:hAnsi="宋体" w:eastAsia="宋体" w:cs="宋体"/>
          <w:bCs/>
          <w:kern w:val="2"/>
          <w:sz w:val="24"/>
          <w:szCs w:val="24"/>
          <w:highlight w:val="none"/>
          <w:lang w:val="en-US" w:eastAsia="zh-CN" w:bidi="ar-SA"/>
        </w:rPr>
      </w:pPr>
      <w:r>
        <w:rPr>
          <w:rFonts w:hint="eastAsia" w:ascii="宋体" w:hAnsi="宋体" w:eastAsia="宋体" w:cs="宋体"/>
          <w:bCs/>
          <w:kern w:val="2"/>
          <w:sz w:val="24"/>
          <w:szCs w:val="24"/>
          <w:highlight w:val="none"/>
          <w:lang w:val="en-US" w:eastAsia="zh-CN" w:bidi="ar-SA"/>
        </w:rPr>
        <w:t>2.1签订合同后，在执行期开始前，采购人向中标人支付合同总金额的60%；</w:t>
      </w:r>
    </w:p>
    <w:p w14:paraId="4014F572">
      <w:pPr>
        <w:keepNext w:val="0"/>
        <w:keepLines w:val="0"/>
        <w:pageBreakBefore w:val="0"/>
        <w:widowControl w:val="0"/>
        <w:kinsoku/>
        <w:wordWrap/>
        <w:overflowPunct/>
        <w:topLinePunct w:val="0"/>
        <w:autoSpaceDE/>
        <w:autoSpaceDN/>
        <w:bidi w:val="0"/>
        <w:adjustRightInd/>
        <w:snapToGrid/>
        <w:spacing w:line="400" w:lineRule="exact"/>
        <w:ind w:firstLine="482"/>
        <w:jc w:val="both"/>
        <w:textAlignment w:val="auto"/>
        <w:rPr>
          <w:rFonts w:hint="eastAsia" w:ascii="宋体" w:hAnsi="宋体" w:eastAsia="宋体" w:cs="宋体"/>
          <w:bCs/>
          <w:kern w:val="2"/>
          <w:sz w:val="24"/>
          <w:szCs w:val="24"/>
          <w:highlight w:val="none"/>
          <w:lang w:val="en-US" w:eastAsia="zh-CN" w:bidi="ar-SA"/>
        </w:rPr>
      </w:pPr>
      <w:r>
        <w:rPr>
          <w:rFonts w:hint="eastAsia" w:ascii="宋体" w:hAnsi="宋体" w:eastAsia="宋体" w:cs="宋体"/>
          <w:bCs/>
          <w:kern w:val="2"/>
          <w:sz w:val="24"/>
          <w:szCs w:val="24"/>
          <w:highlight w:val="none"/>
          <w:lang w:val="en-US" w:eastAsia="zh-CN" w:bidi="ar-SA"/>
        </w:rPr>
        <w:t>2.2项目执行期满，投标人提供本协议项下的全部服务内容并经采购人最终验收合格后二十（20）个工作日内，采购人向中标人支付合同总金额的40%。</w:t>
      </w:r>
    </w:p>
    <w:p w14:paraId="128A7A5B">
      <w:pPr>
        <w:spacing w:line="360" w:lineRule="auto"/>
        <w:contextualSpacing/>
        <w:rPr>
          <w:rFonts w:hint="eastAsia" w:ascii="Times New Roman" w:hAnsi="Times New Roman" w:eastAsia="宋体" w:cs="Times New Roman"/>
          <w:sz w:val="24"/>
          <w:highlight w:val="none"/>
          <w:lang w:val="en-US" w:eastAsia="zh-CN"/>
        </w:rPr>
      </w:pPr>
      <w:r>
        <w:rPr>
          <w:rFonts w:hint="eastAsia" w:ascii="Times New Roman" w:hAnsi="Times New Roman" w:eastAsia="宋体" w:cs="Times New Roman"/>
          <w:sz w:val="24"/>
          <w:highlight w:val="none"/>
          <w:lang w:val="en-US" w:eastAsia="zh-CN"/>
        </w:rPr>
        <w:t>3.售后服务</w:t>
      </w:r>
    </w:p>
    <w:p w14:paraId="405722CA">
      <w:pPr>
        <w:keepNext w:val="0"/>
        <w:keepLines w:val="0"/>
        <w:pageBreakBefore w:val="0"/>
        <w:widowControl w:val="0"/>
        <w:kinsoku/>
        <w:wordWrap/>
        <w:overflowPunct/>
        <w:topLinePunct w:val="0"/>
        <w:autoSpaceDE/>
        <w:autoSpaceDN/>
        <w:bidi w:val="0"/>
        <w:adjustRightInd/>
        <w:snapToGrid/>
        <w:spacing w:line="400" w:lineRule="exact"/>
        <w:ind w:firstLine="420" w:firstLineChars="175"/>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投标人应成立专门的技术支持和售后服务小组，提供完善周到的本地化服务，具有7*24小时的维护支持能力以及优先服务级别。</w:t>
      </w:r>
      <w:r>
        <w:rPr>
          <w:rFonts w:hint="eastAsia" w:ascii="宋体" w:hAnsi="宋体" w:eastAsia="宋体" w:cs="宋体"/>
          <w:bCs/>
          <w:sz w:val="24"/>
          <w:szCs w:val="24"/>
          <w:highlight w:val="none"/>
          <w:lang w:val="en-US" w:eastAsia="zh-CN"/>
        </w:rPr>
        <w:t>中</w:t>
      </w:r>
      <w:r>
        <w:rPr>
          <w:rFonts w:hint="eastAsia" w:ascii="宋体" w:hAnsi="宋体" w:eastAsia="宋体" w:cs="宋体"/>
          <w:bCs/>
          <w:sz w:val="24"/>
          <w:szCs w:val="24"/>
          <w:highlight w:val="none"/>
          <w:lang w:val="zh-CN"/>
        </w:rPr>
        <w:t>标人应提供具体的技术支持和售后服务方案。</w:t>
      </w:r>
    </w:p>
    <w:p w14:paraId="41A9A55F">
      <w:pPr>
        <w:keepNext w:val="0"/>
        <w:keepLines w:val="0"/>
        <w:pageBreakBefore w:val="0"/>
        <w:widowControl w:val="0"/>
        <w:kinsoku/>
        <w:wordWrap/>
        <w:overflowPunct/>
        <w:topLinePunct w:val="0"/>
        <w:autoSpaceDE/>
        <w:autoSpaceDN/>
        <w:bidi w:val="0"/>
        <w:adjustRightInd/>
        <w:snapToGrid/>
        <w:spacing w:line="400" w:lineRule="exact"/>
        <w:ind w:firstLine="420" w:firstLineChars="175"/>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自租用期始至服务期止，需向采购人提供以下两方面内容。</w:t>
      </w:r>
    </w:p>
    <w:p w14:paraId="1AD3D93E">
      <w:pPr>
        <w:keepNext w:val="0"/>
        <w:keepLines w:val="0"/>
        <w:pageBreakBefore w:val="0"/>
        <w:widowControl w:val="0"/>
        <w:kinsoku/>
        <w:wordWrap/>
        <w:overflowPunct/>
        <w:topLinePunct w:val="0"/>
        <w:autoSpaceDE/>
        <w:autoSpaceDN/>
        <w:bidi w:val="0"/>
        <w:adjustRightInd/>
        <w:snapToGrid/>
        <w:spacing w:line="400" w:lineRule="exact"/>
        <w:ind w:firstLine="420" w:firstLineChars="175"/>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en-US" w:eastAsia="zh-CN"/>
        </w:rPr>
        <w:t>3.1</w:t>
      </w:r>
      <w:r>
        <w:rPr>
          <w:rFonts w:hint="eastAsia" w:ascii="宋体" w:hAnsi="宋体" w:eastAsia="宋体" w:cs="宋体"/>
          <w:bCs/>
          <w:sz w:val="24"/>
          <w:szCs w:val="24"/>
          <w:highlight w:val="none"/>
          <w:lang w:val="zh-CN"/>
        </w:rPr>
        <w:t>定期向采购人提供月度服务报告。</w:t>
      </w:r>
    </w:p>
    <w:p w14:paraId="0570D4F4">
      <w:pPr>
        <w:keepNext w:val="0"/>
        <w:keepLines w:val="0"/>
        <w:pageBreakBefore w:val="0"/>
        <w:widowControl w:val="0"/>
        <w:kinsoku/>
        <w:wordWrap/>
        <w:overflowPunct/>
        <w:topLinePunct w:val="0"/>
        <w:autoSpaceDE/>
        <w:autoSpaceDN/>
        <w:bidi w:val="0"/>
        <w:adjustRightInd/>
        <w:snapToGrid/>
        <w:spacing w:line="400" w:lineRule="exact"/>
        <w:ind w:firstLine="420" w:firstLineChars="175"/>
        <w:textAlignment w:val="auto"/>
        <w:rPr>
          <w:rFonts w:hint="default" w:ascii="宋体" w:hAnsi="宋体" w:eastAsia="宋体" w:cs="宋体"/>
          <w:bCs/>
          <w:sz w:val="24"/>
          <w:szCs w:val="24"/>
          <w:highlight w:val="none"/>
          <w:lang w:val="en-US" w:eastAsia="zh-CN"/>
        </w:rPr>
      </w:pPr>
      <w:r>
        <w:rPr>
          <w:rFonts w:hint="eastAsia" w:ascii="宋体" w:hAnsi="宋体" w:eastAsia="宋体" w:cs="宋体"/>
          <w:bCs/>
          <w:sz w:val="24"/>
          <w:szCs w:val="24"/>
          <w:highlight w:val="none"/>
          <w:lang w:val="en-US" w:eastAsia="zh-CN"/>
        </w:rPr>
        <w:t>3.2</w:t>
      </w:r>
      <w:r>
        <w:rPr>
          <w:rFonts w:hint="eastAsia" w:ascii="宋体" w:hAnsi="宋体" w:eastAsia="宋体" w:cs="宋体"/>
          <w:bCs/>
          <w:sz w:val="24"/>
          <w:szCs w:val="24"/>
          <w:highlight w:val="none"/>
          <w:lang w:val="zh-CN"/>
        </w:rPr>
        <w:t>至少提前一天通知即将进行的，与采购人系统运行相关的安全事件、项目施工、功能或者性能调整工作。</w:t>
      </w:r>
    </w:p>
    <w:p w14:paraId="2D0D0CC8">
      <w:pPr>
        <w:widowControl w:val="0"/>
        <w:numPr>
          <w:ilvl w:val="0"/>
          <w:numId w:val="1"/>
        </w:numPr>
        <w:spacing w:line="360" w:lineRule="auto"/>
        <w:ind w:left="500" w:hanging="500" w:firstLineChars="0"/>
        <w:contextualSpacing/>
        <w:jc w:val="both"/>
        <w:rPr>
          <w:rFonts w:ascii="Times New Roman" w:hAnsi="Times New Roman" w:eastAsia="宋体" w:cs="Times New Roman"/>
          <w:b/>
          <w:kern w:val="2"/>
          <w:sz w:val="24"/>
          <w:szCs w:val="24"/>
          <w:highlight w:val="none"/>
          <w:lang w:val="en-US" w:eastAsia="zh-CN" w:bidi="ar-SA"/>
        </w:rPr>
      </w:pPr>
      <w:r>
        <w:rPr>
          <w:rFonts w:ascii="Times New Roman" w:hAnsi="Times New Roman" w:eastAsia="宋体" w:cs="Times New Roman"/>
          <w:b/>
          <w:kern w:val="2"/>
          <w:sz w:val="24"/>
          <w:szCs w:val="24"/>
          <w:highlight w:val="none"/>
          <w:lang w:val="en-US" w:eastAsia="zh-CN" w:bidi="ar-SA"/>
        </w:rPr>
        <w:t>技术要求</w:t>
      </w:r>
    </w:p>
    <w:p w14:paraId="55D9A99F">
      <w:pPr>
        <w:numPr>
          <w:ilvl w:val="0"/>
          <w:numId w:val="2"/>
        </w:numPr>
        <w:spacing w:line="360" w:lineRule="auto"/>
        <w:contextualSpacing/>
        <w:rPr>
          <w:rFonts w:hint="eastAsia" w:ascii="Times New Roman" w:hAnsi="Times New Roman" w:eastAsia="宋体" w:cs="Times New Roman"/>
          <w:sz w:val="24"/>
          <w:highlight w:val="none"/>
          <w:lang w:val="en-US" w:eastAsia="zh-CN"/>
        </w:rPr>
      </w:pPr>
      <w:r>
        <w:rPr>
          <w:rFonts w:hint="eastAsia" w:ascii="Times New Roman" w:hAnsi="Times New Roman" w:eastAsia="宋体" w:cs="Times New Roman"/>
          <w:sz w:val="24"/>
          <w:highlight w:val="none"/>
          <w:lang w:val="en-US" w:eastAsia="zh-CN"/>
        </w:rPr>
        <w:t>基本要求</w:t>
      </w:r>
    </w:p>
    <w:p w14:paraId="1F4E8109">
      <w:pPr>
        <w:widowControl w:val="0"/>
        <w:numPr>
          <w:ilvl w:val="0"/>
          <w:numId w:val="0"/>
        </w:numPr>
        <w:adjustRightInd/>
        <w:spacing w:line="240" w:lineRule="auto"/>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1.1项目基本信息</w:t>
      </w:r>
    </w:p>
    <w:p w14:paraId="462AF112">
      <w:pPr>
        <w:keepNext w:val="0"/>
        <w:keepLines w:val="0"/>
        <w:pageBreakBefore w:val="0"/>
        <w:widowControl/>
        <w:kinsoku/>
        <w:wordWrap/>
        <w:overflowPunct/>
        <w:topLinePunct w:val="0"/>
        <w:autoSpaceDE/>
        <w:autoSpaceDN/>
        <w:bidi w:val="0"/>
        <w:adjustRightInd/>
        <w:snapToGrid w:val="0"/>
        <w:spacing w:line="400" w:lineRule="exact"/>
        <w:ind w:firstLine="444" w:firstLineChars="185"/>
        <w:textAlignment w:val="auto"/>
        <w:rPr>
          <w:rFonts w:hint="eastAsia" w:ascii="宋体" w:hAnsi="宋体" w:eastAsia="宋体" w:cs="宋体"/>
          <w:bCs/>
          <w:sz w:val="24"/>
          <w:szCs w:val="24"/>
          <w:highlight w:val="none"/>
          <w:u w:val="single"/>
        </w:rPr>
      </w:pPr>
      <w:r>
        <w:rPr>
          <w:rFonts w:hint="eastAsia" w:ascii="宋体" w:hAnsi="宋体" w:eastAsia="宋体" w:cs="宋体"/>
          <w:bCs/>
          <w:kern w:val="2"/>
          <w:sz w:val="24"/>
          <w:szCs w:val="24"/>
          <w:highlight w:val="none"/>
        </w:rPr>
        <w:t>项目名称：</w:t>
      </w:r>
      <w:r>
        <w:rPr>
          <w:rFonts w:hint="eastAsia" w:ascii="宋体" w:hAnsi="宋体" w:eastAsia="宋体" w:cs="宋体"/>
          <w:bCs/>
          <w:kern w:val="2"/>
          <w:sz w:val="24"/>
          <w:szCs w:val="24"/>
          <w:highlight w:val="none"/>
          <w:u w:val="single"/>
        </w:rPr>
        <w:t>2026年北京市城市管理委员会政务云租用项目-网格化城市管理、生活垃圾等系统</w:t>
      </w:r>
    </w:p>
    <w:p w14:paraId="165E7899">
      <w:pPr>
        <w:keepNext w:val="0"/>
        <w:keepLines w:val="0"/>
        <w:pageBreakBefore w:val="0"/>
        <w:widowControl w:val="0"/>
        <w:numPr>
          <w:ilvl w:val="0"/>
          <w:numId w:val="0"/>
        </w:numPr>
        <w:kinsoku/>
        <w:wordWrap/>
        <w:overflowPunct/>
        <w:topLinePunct w:val="0"/>
        <w:autoSpaceDE/>
        <w:autoSpaceDN/>
        <w:bidi w:val="0"/>
        <w:adjustRightInd/>
        <w:spacing w:line="400" w:lineRule="exact"/>
        <w:ind w:firstLine="480" w:firstLineChars="200"/>
        <w:jc w:val="both"/>
        <w:textAlignment w:val="auto"/>
        <w:rPr>
          <w:rFonts w:ascii="宋体" w:hAnsi="宋体" w:eastAsia="宋体" w:cs="宋体"/>
          <w:b/>
          <w:kern w:val="2"/>
          <w:sz w:val="24"/>
          <w:szCs w:val="24"/>
          <w:highlight w:val="none"/>
          <w:lang w:val="en-US" w:eastAsia="zh-CN" w:bidi="ar-SA"/>
        </w:rPr>
      </w:pPr>
      <w:r>
        <w:rPr>
          <w:rFonts w:hint="eastAsia" w:ascii="宋体" w:hAnsi="宋体" w:eastAsia="宋体" w:cs="宋体"/>
          <w:bCs/>
          <w:kern w:val="2"/>
          <w:sz w:val="24"/>
          <w:szCs w:val="24"/>
          <w:highlight w:val="none"/>
          <w:lang w:val="en-US" w:eastAsia="zh-CN" w:bidi="ar-SA"/>
        </w:rPr>
        <w:t>预算金额：</w:t>
      </w:r>
      <w:r>
        <w:rPr>
          <w:rFonts w:hint="eastAsia" w:ascii="宋体" w:hAnsi="宋体" w:eastAsia="宋体" w:cs="宋体"/>
          <w:bCs/>
          <w:kern w:val="2"/>
          <w:sz w:val="24"/>
          <w:szCs w:val="24"/>
          <w:highlight w:val="none"/>
          <w:u w:val="single"/>
          <w:lang w:val="en-US" w:eastAsia="zh-CN" w:bidi="ar-SA"/>
        </w:rPr>
        <w:t>918.11</w:t>
      </w:r>
      <w:r>
        <w:rPr>
          <w:rFonts w:hint="eastAsia" w:ascii="宋体" w:hAnsi="宋体" w:eastAsia="宋体" w:cs="宋体"/>
          <w:bCs/>
          <w:kern w:val="2"/>
          <w:sz w:val="24"/>
          <w:szCs w:val="24"/>
          <w:highlight w:val="none"/>
          <w:lang w:val="en-US" w:eastAsia="zh-CN" w:bidi="ar-SA"/>
        </w:rPr>
        <w:t>万元，其中包括政务云租用云计算资源预算：</w:t>
      </w:r>
      <w:r>
        <w:rPr>
          <w:rFonts w:hint="eastAsia" w:ascii="宋体" w:hAnsi="宋体" w:eastAsia="宋体" w:cs="宋体"/>
          <w:bCs/>
          <w:kern w:val="2"/>
          <w:sz w:val="24"/>
          <w:szCs w:val="24"/>
          <w:highlight w:val="none"/>
          <w:u w:val="single"/>
          <w:lang w:val="en-US" w:eastAsia="zh-CN" w:bidi="ar-SA"/>
        </w:rPr>
        <w:t>547.24</w:t>
      </w:r>
      <w:r>
        <w:rPr>
          <w:rFonts w:hint="eastAsia" w:ascii="宋体" w:hAnsi="宋体" w:eastAsia="宋体" w:cs="宋体"/>
          <w:bCs/>
          <w:kern w:val="2"/>
          <w:sz w:val="24"/>
          <w:szCs w:val="24"/>
          <w:highlight w:val="none"/>
          <w:lang w:val="en-US" w:eastAsia="zh-CN" w:bidi="ar-SA"/>
        </w:rPr>
        <w:t>万元，政务云租用扩展资源预算</w:t>
      </w:r>
      <w:r>
        <w:rPr>
          <w:rFonts w:hint="eastAsia" w:ascii="宋体" w:hAnsi="宋体" w:eastAsia="宋体" w:cs="宋体"/>
          <w:bCs/>
          <w:kern w:val="2"/>
          <w:sz w:val="24"/>
          <w:szCs w:val="24"/>
          <w:highlight w:val="none"/>
          <w:u w:val="single"/>
          <w:lang w:val="en-US" w:eastAsia="zh-CN" w:bidi="ar-SA"/>
        </w:rPr>
        <w:t>370.87</w:t>
      </w:r>
      <w:r>
        <w:rPr>
          <w:rFonts w:hint="eastAsia" w:ascii="宋体" w:hAnsi="宋体" w:eastAsia="宋体" w:cs="宋体"/>
          <w:bCs/>
          <w:kern w:val="2"/>
          <w:sz w:val="24"/>
          <w:szCs w:val="24"/>
          <w:highlight w:val="none"/>
          <w:lang w:val="en-US" w:eastAsia="zh-CN" w:bidi="ar-SA"/>
        </w:rPr>
        <w:t>万元。</w:t>
      </w:r>
      <w:r>
        <w:rPr>
          <w:rFonts w:ascii="宋体" w:hAnsi="宋体" w:eastAsia="宋体" w:cs="宋体"/>
          <w:b/>
          <w:kern w:val="2"/>
          <w:sz w:val="24"/>
          <w:szCs w:val="24"/>
          <w:highlight w:val="none"/>
          <w:lang w:val="en-US" w:eastAsia="zh-CN" w:bidi="ar-SA"/>
        </w:rPr>
        <w:t>★注：投标报价必须按政务云租用云计算</w:t>
      </w:r>
      <w:r>
        <w:rPr>
          <w:rFonts w:hint="eastAsia" w:ascii="宋体" w:hAnsi="宋体" w:eastAsia="宋体" w:cs="宋体"/>
          <w:b/>
          <w:kern w:val="2"/>
          <w:sz w:val="24"/>
          <w:szCs w:val="24"/>
          <w:highlight w:val="none"/>
          <w:lang w:val="en-US" w:eastAsia="zh-CN" w:bidi="ar-SA"/>
        </w:rPr>
        <w:t>资源部分</w:t>
      </w:r>
      <w:r>
        <w:rPr>
          <w:rFonts w:ascii="宋体" w:hAnsi="宋体" w:eastAsia="宋体" w:cs="宋体"/>
          <w:b/>
          <w:kern w:val="2"/>
          <w:sz w:val="24"/>
          <w:szCs w:val="24"/>
          <w:highlight w:val="none"/>
          <w:lang w:val="en-US" w:eastAsia="zh-CN" w:bidi="ar-SA"/>
        </w:rPr>
        <w:t>和政务云租用扩展</w:t>
      </w:r>
      <w:r>
        <w:rPr>
          <w:rFonts w:hint="eastAsia" w:ascii="宋体" w:hAnsi="宋体" w:eastAsia="宋体" w:cs="宋体"/>
          <w:b/>
          <w:kern w:val="2"/>
          <w:sz w:val="24"/>
          <w:szCs w:val="24"/>
          <w:highlight w:val="none"/>
          <w:lang w:val="en-US" w:eastAsia="zh-CN" w:bidi="ar-SA"/>
        </w:rPr>
        <w:t>资源部分</w:t>
      </w:r>
      <w:r>
        <w:rPr>
          <w:rFonts w:ascii="宋体" w:hAnsi="宋体" w:eastAsia="宋体" w:cs="宋体"/>
          <w:b/>
          <w:kern w:val="2"/>
          <w:sz w:val="24"/>
          <w:szCs w:val="24"/>
          <w:highlight w:val="none"/>
          <w:lang w:val="en-US" w:eastAsia="zh-CN" w:bidi="ar-SA"/>
        </w:rPr>
        <w:t>分别进行报价，且不得超出各自预算，</w:t>
      </w:r>
      <w:r>
        <w:rPr>
          <w:rFonts w:hint="default" w:ascii="宋体" w:hAnsi="宋体" w:eastAsia="宋体" w:cs="宋体"/>
          <w:b/>
          <w:bCs w:val="0"/>
          <w:kern w:val="2"/>
          <w:sz w:val="24"/>
          <w:szCs w:val="24"/>
          <w:highlight w:val="none"/>
          <w:lang w:val="en-US" w:eastAsia="zh-CN" w:bidi="ar-SA"/>
        </w:rPr>
        <w:t>否则按无效投标处理</w:t>
      </w:r>
      <w:r>
        <w:rPr>
          <w:rFonts w:ascii="宋体" w:hAnsi="宋体" w:eastAsia="宋体" w:cs="宋体"/>
          <w:b/>
          <w:kern w:val="2"/>
          <w:sz w:val="24"/>
          <w:szCs w:val="24"/>
          <w:highlight w:val="none"/>
          <w:lang w:val="en-US" w:eastAsia="zh-CN" w:bidi="ar-SA"/>
        </w:rPr>
        <w:t>。</w:t>
      </w:r>
    </w:p>
    <w:p w14:paraId="15F7969A">
      <w:pPr>
        <w:widowControl w:val="0"/>
        <w:numPr>
          <w:ilvl w:val="0"/>
          <w:numId w:val="0"/>
        </w:numPr>
        <w:adjustRightInd/>
        <w:spacing w:line="240" w:lineRule="auto"/>
        <w:ind w:firstLine="480" w:firstLineChars="200"/>
        <w:jc w:val="both"/>
        <w:textAlignment w:val="auto"/>
        <w:rPr>
          <w:rFonts w:hint="default"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1.2项目目标</w:t>
      </w:r>
    </w:p>
    <w:p w14:paraId="4D374521">
      <w:pPr>
        <w:keepNext w:val="0"/>
        <w:keepLines w:val="0"/>
        <w:pageBreakBefore w:val="0"/>
        <w:widowControl/>
        <w:kinsoku/>
        <w:wordWrap/>
        <w:overflowPunct/>
        <w:topLinePunct w:val="0"/>
        <w:autoSpaceDE/>
        <w:autoSpaceDN/>
        <w:bidi w:val="0"/>
        <w:adjustRightInd/>
        <w:snapToGrid w:val="0"/>
        <w:spacing w:line="400" w:lineRule="exact"/>
        <w:ind w:firstLine="444" w:firstLineChars="185"/>
        <w:textAlignment w:val="auto"/>
        <w:rPr>
          <w:rFonts w:hint="eastAsia" w:ascii="宋体" w:hAnsi="宋体" w:eastAsia="宋体" w:cs="宋体"/>
          <w:bCs/>
          <w:kern w:val="2"/>
          <w:sz w:val="24"/>
          <w:szCs w:val="24"/>
          <w:highlight w:val="none"/>
        </w:rPr>
      </w:pPr>
      <w:r>
        <w:rPr>
          <w:rFonts w:hint="eastAsia" w:ascii="宋体" w:hAnsi="宋体" w:eastAsia="宋体" w:cs="宋体"/>
          <w:kern w:val="2"/>
          <w:sz w:val="24"/>
          <w:szCs w:val="24"/>
          <w:highlight w:val="none"/>
        </w:rPr>
        <w:t>为北京市城市管理委员会已入云的北京市网格化城市管理</w:t>
      </w:r>
      <w:r>
        <w:rPr>
          <w:rFonts w:hint="eastAsia" w:ascii="宋体" w:hAnsi="宋体" w:eastAsia="宋体" w:cs="宋体"/>
          <w:kern w:val="2"/>
          <w:sz w:val="24"/>
          <w:szCs w:val="24"/>
          <w:highlight w:val="none"/>
          <w:lang w:val="en-US" w:eastAsia="zh-CN"/>
        </w:rPr>
        <w:t>平台</w:t>
      </w:r>
      <w:r>
        <w:rPr>
          <w:rFonts w:hint="eastAsia" w:ascii="宋体" w:hAnsi="宋体" w:eastAsia="宋体" w:cs="宋体"/>
          <w:kern w:val="2"/>
          <w:sz w:val="24"/>
          <w:szCs w:val="24"/>
          <w:highlight w:val="none"/>
        </w:rPr>
        <w:t>等系统提供政务云租用服务，通过配置北京市政务云的计算服务、存储服务、网络服务等各类服务，满足云上信息系统的基础运行环境需求。同时，通过开展基础软件支撑服务、</w:t>
      </w:r>
      <w:r>
        <w:rPr>
          <w:rFonts w:hint="eastAsia" w:ascii="宋体" w:hAnsi="宋体" w:eastAsia="宋体" w:cs="宋体"/>
          <w:bCs/>
          <w:sz w:val="24"/>
          <w:szCs w:val="24"/>
          <w:highlight w:val="none"/>
        </w:rPr>
        <w:t>安全监测及防护服务</w:t>
      </w:r>
      <w:r>
        <w:rPr>
          <w:rFonts w:hint="eastAsia" w:ascii="宋体" w:hAnsi="宋体" w:eastAsia="宋体" w:cs="宋体"/>
          <w:kern w:val="2"/>
          <w:sz w:val="24"/>
          <w:szCs w:val="24"/>
          <w:highlight w:val="none"/>
        </w:rPr>
        <w:t>等服务，完成信息系统的日</w:t>
      </w:r>
      <w:r>
        <w:rPr>
          <w:rFonts w:hint="eastAsia" w:ascii="宋体" w:hAnsi="宋体" w:eastAsia="宋体" w:cs="宋体"/>
          <w:sz w:val="24"/>
          <w:szCs w:val="24"/>
          <w:highlight w:val="none"/>
        </w:rPr>
        <w:t>常运维和安全运维服务工作，</w:t>
      </w:r>
      <w:r>
        <w:rPr>
          <w:rFonts w:hint="eastAsia" w:ascii="宋体" w:hAnsi="宋体" w:eastAsia="宋体" w:cs="宋体"/>
          <w:kern w:val="2"/>
          <w:sz w:val="24"/>
          <w:szCs w:val="24"/>
          <w:highlight w:val="none"/>
        </w:rPr>
        <w:t>确保系统在云上安全、稳定地运行</w:t>
      </w:r>
      <w:r>
        <w:rPr>
          <w:rFonts w:hint="eastAsia" w:ascii="宋体" w:hAnsi="宋体" w:eastAsia="宋体" w:cs="宋体"/>
          <w:bCs/>
          <w:kern w:val="2"/>
          <w:sz w:val="24"/>
          <w:szCs w:val="24"/>
          <w:highlight w:val="none"/>
        </w:rPr>
        <w:t>。</w:t>
      </w:r>
    </w:p>
    <w:p w14:paraId="680D58EF">
      <w:pPr>
        <w:numPr>
          <w:ilvl w:val="0"/>
          <w:numId w:val="2"/>
        </w:numPr>
        <w:spacing w:line="360" w:lineRule="auto"/>
        <w:contextualSpacing/>
        <w:rPr>
          <w:rFonts w:hint="eastAsia" w:ascii="Times New Roman" w:hAnsi="Times New Roman" w:eastAsia="宋体" w:cs="Times New Roman"/>
          <w:sz w:val="24"/>
          <w:highlight w:val="none"/>
          <w:lang w:val="en-US" w:eastAsia="zh-CN"/>
        </w:rPr>
      </w:pPr>
      <w:r>
        <w:rPr>
          <w:rFonts w:hint="eastAsia" w:ascii="Times New Roman" w:hAnsi="Times New Roman" w:eastAsia="宋体" w:cs="Times New Roman"/>
          <w:sz w:val="24"/>
          <w:highlight w:val="none"/>
          <w:lang w:val="en-US" w:eastAsia="zh-CN"/>
        </w:rPr>
        <w:t>服务内容</w:t>
      </w:r>
    </w:p>
    <w:p w14:paraId="23C14C31">
      <w:pPr>
        <w:widowControl w:val="0"/>
        <w:numPr>
          <w:ilvl w:val="0"/>
          <w:numId w:val="0"/>
        </w:numPr>
        <w:adjustRightInd/>
        <w:spacing w:line="240" w:lineRule="auto"/>
        <w:ind w:firstLine="480" w:firstLineChars="200"/>
        <w:jc w:val="both"/>
        <w:textAlignment w:val="auto"/>
        <w:rPr>
          <w:rFonts w:hint="default"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2.1内容概述</w:t>
      </w:r>
    </w:p>
    <w:p w14:paraId="09CEFDE9">
      <w:pPr>
        <w:keepNext w:val="0"/>
        <w:keepLines w:val="0"/>
        <w:pageBreakBefore w:val="0"/>
        <w:widowControl/>
        <w:kinsoku/>
        <w:wordWrap/>
        <w:overflowPunct/>
        <w:topLinePunct w:val="0"/>
        <w:autoSpaceDE/>
        <w:autoSpaceDN/>
        <w:bidi w:val="0"/>
        <w:adjustRightInd/>
        <w:snapToGrid w:val="0"/>
        <w:spacing w:line="400" w:lineRule="exact"/>
        <w:ind w:firstLine="444" w:firstLineChars="185"/>
        <w:textAlignment w:val="auto"/>
        <w:rPr>
          <w:rFonts w:hint="eastAsia" w:ascii="宋体" w:hAnsi="宋体" w:eastAsia="宋体" w:cs="宋体"/>
          <w:bCs/>
          <w:sz w:val="24"/>
          <w:szCs w:val="24"/>
          <w:highlight w:val="none"/>
        </w:rPr>
      </w:pPr>
      <w:r>
        <w:rPr>
          <w:rFonts w:hint="eastAsia" w:ascii="宋体" w:hAnsi="宋体" w:eastAsia="宋体" w:cs="宋体"/>
          <w:bCs/>
          <w:kern w:val="2"/>
          <w:sz w:val="24"/>
          <w:szCs w:val="24"/>
          <w:highlight w:val="none"/>
        </w:rPr>
        <w:t>政务云租用服务包括计算服务、存储服务、网络服务</w:t>
      </w:r>
      <w:r>
        <w:rPr>
          <w:rFonts w:hint="eastAsia" w:ascii="宋体" w:hAnsi="宋体" w:eastAsia="宋体" w:cs="宋体"/>
          <w:bCs/>
          <w:kern w:val="2"/>
          <w:sz w:val="24"/>
          <w:szCs w:val="24"/>
          <w:highlight w:val="none"/>
          <w:lang w:eastAsia="zh-CN"/>
        </w:rPr>
        <w:t>、</w:t>
      </w:r>
      <w:r>
        <w:rPr>
          <w:rFonts w:hint="eastAsia" w:ascii="宋体" w:hAnsi="宋体" w:eastAsia="宋体" w:cs="宋体"/>
          <w:bCs/>
          <w:sz w:val="24"/>
          <w:szCs w:val="24"/>
          <w:highlight w:val="none"/>
        </w:rPr>
        <w:t>基础</w:t>
      </w:r>
      <w:r>
        <w:rPr>
          <w:rFonts w:hint="eastAsia" w:ascii="宋体" w:hAnsi="宋体" w:eastAsia="宋体" w:cs="宋体"/>
          <w:bCs/>
          <w:kern w:val="2"/>
          <w:sz w:val="24"/>
          <w:szCs w:val="24"/>
          <w:highlight w:val="none"/>
        </w:rPr>
        <w:t>软件</w:t>
      </w:r>
      <w:r>
        <w:rPr>
          <w:rFonts w:hint="eastAsia" w:ascii="宋体" w:hAnsi="宋体" w:eastAsia="宋体" w:cs="宋体"/>
          <w:bCs/>
          <w:kern w:val="2"/>
          <w:sz w:val="24"/>
          <w:szCs w:val="24"/>
          <w:highlight w:val="none"/>
          <w:lang w:val="en-US" w:eastAsia="zh-CN"/>
        </w:rPr>
        <w:t>支撑服务</w:t>
      </w:r>
      <w:r>
        <w:rPr>
          <w:rFonts w:hint="eastAsia" w:ascii="宋体" w:hAnsi="宋体" w:eastAsia="宋体" w:cs="宋体"/>
          <w:bCs/>
          <w:kern w:val="2"/>
          <w:sz w:val="24"/>
          <w:szCs w:val="24"/>
          <w:highlight w:val="none"/>
        </w:rPr>
        <w:t>、</w:t>
      </w:r>
      <w:r>
        <w:rPr>
          <w:rFonts w:hint="eastAsia" w:ascii="宋体" w:hAnsi="宋体" w:eastAsia="宋体" w:cs="宋体"/>
          <w:bCs/>
          <w:kern w:val="2"/>
          <w:sz w:val="24"/>
          <w:szCs w:val="24"/>
          <w:highlight w:val="none"/>
          <w:lang w:val="en-US" w:eastAsia="zh-CN"/>
        </w:rPr>
        <w:t>安全服务和安全检测、监测、审计服务</w:t>
      </w:r>
      <w:r>
        <w:rPr>
          <w:rFonts w:hint="eastAsia" w:ascii="宋体" w:hAnsi="宋体" w:eastAsia="宋体" w:cs="宋体"/>
          <w:bCs/>
          <w:kern w:val="2"/>
          <w:sz w:val="24"/>
          <w:szCs w:val="24"/>
          <w:highlight w:val="none"/>
        </w:rPr>
        <w:t>及其它服务等。</w:t>
      </w:r>
    </w:p>
    <w:p w14:paraId="02160007">
      <w:pPr>
        <w:keepNext w:val="0"/>
        <w:keepLines w:val="0"/>
        <w:pageBreakBefore w:val="0"/>
        <w:widowControl/>
        <w:kinsoku/>
        <w:wordWrap/>
        <w:overflowPunct/>
        <w:topLinePunct w:val="0"/>
        <w:autoSpaceDE/>
        <w:autoSpaceDN/>
        <w:bidi w:val="0"/>
        <w:adjustRightInd/>
        <w:snapToGrid w:val="0"/>
        <w:spacing w:line="400" w:lineRule="exact"/>
        <w:ind w:firstLine="444" w:firstLineChars="185"/>
        <w:textAlignment w:val="auto"/>
        <w:rPr>
          <w:rFonts w:hint="eastAsia" w:ascii="宋体" w:hAnsi="宋体" w:eastAsia="宋体" w:cs="宋体"/>
          <w:b w:val="0"/>
          <w:bCs/>
          <w:sz w:val="24"/>
          <w:szCs w:val="24"/>
          <w:highlight w:val="none"/>
        </w:rPr>
      </w:pPr>
      <w:r>
        <w:rPr>
          <w:rFonts w:hint="eastAsia" w:ascii="宋体" w:hAnsi="宋体" w:eastAsia="宋体" w:cs="宋体"/>
          <w:b w:val="0"/>
          <w:bCs/>
          <w:kern w:val="2"/>
          <w:sz w:val="24"/>
          <w:szCs w:val="24"/>
          <w:highlight w:val="none"/>
        </w:rPr>
        <w:t>（1）计算服务</w:t>
      </w:r>
    </w:p>
    <w:p w14:paraId="495D9351">
      <w:pPr>
        <w:keepNext w:val="0"/>
        <w:keepLines w:val="0"/>
        <w:pageBreakBefore w:val="0"/>
        <w:widowControl/>
        <w:kinsoku/>
        <w:wordWrap/>
        <w:overflowPunct/>
        <w:topLinePunct w:val="0"/>
        <w:autoSpaceDE/>
        <w:autoSpaceDN/>
        <w:bidi w:val="0"/>
        <w:adjustRightInd/>
        <w:snapToGrid w:val="0"/>
        <w:spacing w:line="400" w:lineRule="exact"/>
        <w:ind w:firstLine="444" w:firstLineChars="185"/>
        <w:textAlignment w:val="auto"/>
        <w:rPr>
          <w:rFonts w:hint="eastAsia" w:ascii="宋体" w:hAnsi="宋体" w:eastAsia="宋体" w:cs="宋体"/>
          <w:bCs/>
          <w:sz w:val="24"/>
          <w:szCs w:val="24"/>
          <w:highlight w:val="none"/>
        </w:rPr>
      </w:pPr>
      <w:r>
        <w:rPr>
          <w:rFonts w:hint="eastAsia" w:ascii="宋体" w:hAnsi="宋体" w:eastAsia="宋体" w:cs="宋体"/>
          <w:bCs/>
          <w:kern w:val="2"/>
          <w:sz w:val="24"/>
          <w:szCs w:val="24"/>
          <w:highlight w:val="none"/>
        </w:rPr>
        <w:t>为北京市城市管理委员会部署在政务云平台中的信息系统提供平台云主机和物理服务器租用服务。</w:t>
      </w:r>
    </w:p>
    <w:p w14:paraId="726ACB52">
      <w:pPr>
        <w:keepNext w:val="0"/>
        <w:keepLines w:val="0"/>
        <w:pageBreakBefore w:val="0"/>
        <w:widowControl/>
        <w:kinsoku/>
        <w:wordWrap/>
        <w:overflowPunct/>
        <w:topLinePunct w:val="0"/>
        <w:autoSpaceDE/>
        <w:autoSpaceDN/>
        <w:bidi w:val="0"/>
        <w:adjustRightInd/>
        <w:snapToGrid w:val="0"/>
        <w:spacing w:line="400" w:lineRule="exact"/>
        <w:ind w:firstLine="444" w:firstLineChars="185"/>
        <w:textAlignment w:val="auto"/>
        <w:rPr>
          <w:rFonts w:hint="eastAsia" w:ascii="宋体" w:hAnsi="宋体" w:eastAsia="宋体" w:cs="宋体"/>
          <w:b w:val="0"/>
          <w:bCs/>
          <w:sz w:val="24"/>
          <w:szCs w:val="24"/>
          <w:highlight w:val="none"/>
          <w:lang w:eastAsia="zh-CN"/>
        </w:rPr>
      </w:pPr>
      <w:r>
        <w:rPr>
          <w:rFonts w:hint="eastAsia" w:ascii="宋体" w:hAnsi="宋体" w:eastAsia="宋体" w:cs="宋体"/>
          <w:b w:val="0"/>
          <w:bCs/>
          <w:kern w:val="2"/>
          <w:sz w:val="24"/>
          <w:szCs w:val="24"/>
          <w:highlight w:val="none"/>
        </w:rPr>
        <w:t>（2）存储服务</w:t>
      </w:r>
    </w:p>
    <w:p w14:paraId="0E83DE7F">
      <w:pPr>
        <w:keepNext w:val="0"/>
        <w:keepLines w:val="0"/>
        <w:pageBreakBefore w:val="0"/>
        <w:widowControl/>
        <w:kinsoku/>
        <w:wordWrap/>
        <w:overflowPunct/>
        <w:topLinePunct w:val="0"/>
        <w:autoSpaceDE/>
        <w:autoSpaceDN/>
        <w:bidi w:val="0"/>
        <w:adjustRightInd/>
        <w:snapToGrid w:val="0"/>
        <w:spacing w:line="400" w:lineRule="exact"/>
        <w:ind w:firstLine="444" w:firstLineChars="185"/>
        <w:textAlignment w:val="auto"/>
        <w:rPr>
          <w:rFonts w:hint="eastAsia" w:ascii="宋体" w:hAnsi="宋体" w:eastAsia="宋体" w:cs="宋体"/>
          <w:bCs/>
          <w:sz w:val="24"/>
          <w:szCs w:val="24"/>
          <w:highlight w:val="none"/>
        </w:rPr>
      </w:pPr>
      <w:r>
        <w:rPr>
          <w:rFonts w:hint="eastAsia" w:ascii="宋体" w:hAnsi="宋体" w:eastAsia="宋体" w:cs="宋体"/>
          <w:bCs/>
          <w:kern w:val="2"/>
          <w:sz w:val="24"/>
          <w:szCs w:val="24"/>
          <w:highlight w:val="none"/>
        </w:rPr>
        <w:t>选择普通存储存放备份数据，选择高性能存储存放业务数据。其中，高性能存储</w:t>
      </w:r>
      <w:r>
        <w:rPr>
          <w:rFonts w:hint="eastAsia" w:ascii="宋体" w:hAnsi="宋体" w:eastAsia="宋体" w:cs="宋体"/>
          <w:bCs/>
          <w:kern w:val="2"/>
          <w:sz w:val="24"/>
          <w:szCs w:val="24"/>
          <w:highlight w:val="none"/>
          <w:lang w:val="en-US" w:eastAsia="zh-CN"/>
        </w:rPr>
        <w:t>用于</w:t>
      </w:r>
      <w:r>
        <w:rPr>
          <w:rFonts w:hint="eastAsia" w:ascii="宋体" w:hAnsi="宋体" w:eastAsia="宋体" w:cs="宋体"/>
          <w:bCs/>
          <w:kern w:val="2"/>
          <w:sz w:val="24"/>
          <w:szCs w:val="24"/>
          <w:highlight w:val="none"/>
        </w:rPr>
        <w:t>解决数据中心存储单点故障导致业务停顿和数据丢失的问题；普通存储采用分布式文件系统通过数据保护技术将数据保存在不同节点中解决数据中心存储单点故障导致业务停顿和数据丢失的问题。</w:t>
      </w:r>
    </w:p>
    <w:p w14:paraId="04574984">
      <w:pPr>
        <w:keepNext w:val="0"/>
        <w:keepLines w:val="0"/>
        <w:pageBreakBefore w:val="0"/>
        <w:widowControl/>
        <w:kinsoku/>
        <w:wordWrap/>
        <w:overflowPunct/>
        <w:topLinePunct w:val="0"/>
        <w:autoSpaceDE/>
        <w:autoSpaceDN/>
        <w:bidi w:val="0"/>
        <w:adjustRightInd/>
        <w:snapToGrid w:val="0"/>
        <w:spacing w:line="400" w:lineRule="exact"/>
        <w:ind w:firstLine="444" w:firstLineChars="185"/>
        <w:textAlignment w:val="auto"/>
        <w:rPr>
          <w:rFonts w:hint="eastAsia" w:ascii="宋体" w:hAnsi="宋体" w:eastAsia="宋体" w:cs="宋体"/>
          <w:bCs/>
          <w:kern w:val="2"/>
          <w:sz w:val="24"/>
          <w:szCs w:val="24"/>
          <w:highlight w:val="none"/>
        </w:rPr>
      </w:pPr>
      <w:r>
        <w:rPr>
          <w:rFonts w:hint="eastAsia" w:ascii="宋体" w:hAnsi="宋体" w:eastAsia="宋体" w:cs="宋体"/>
          <w:bCs/>
          <w:kern w:val="2"/>
          <w:sz w:val="24"/>
          <w:szCs w:val="24"/>
          <w:highlight w:val="none"/>
        </w:rPr>
        <w:t>本地备份服务，根据应用系统的具体需求，配合采购人制定系统级备份、应用级备份和数据备份方案。备份可实现对用户数据（文件、操作系统、数据库）的本地备份，默认提供非结构化数据保护、Windows/Linux/Unix操作系统备份保护及对应平台的数据库、文件备份保护。</w:t>
      </w:r>
    </w:p>
    <w:p w14:paraId="2ACA5DCD">
      <w:pPr>
        <w:keepNext w:val="0"/>
        <w:keepLines w:val="0"/>
        <w:pageBreakBefore w:val="0"/>
        <w:widowControl/>
        <w:kinsoku/>
        <w:wordWrap/>
        <w:overflowPunct/>
        <w:topLinePunct w:val="0"/>
        <w:autoSpaceDE/>
        <w:autoSpaceDN/>
        <w:bidi w:val="0"/>
        <w:adjustRightInd/>
        <w:snapToGrid w:val="0"/>
        <w:spacing w:line="400" w:lineRule="exact"/>
        <w:ind w:firstLine="444" w:firstLineChars="185"/>
        <w:textAlignment w:val="auto"/>
        <w:rPr>
          <w:rFonts w:hint="eastAsia" w:ascii="宋体" w:hAnsi="宋体" w:eastAsia="宋体" w:cs="宋体"/>
          <w:bCs/>
          <w:sz w:val="24"/>
          <w:szCs w:val="24"/>
          <w:highlight w:val="none"/>
        </w:rPr>
      </w:pPr>
      <w:r>
        <w:rPr>
          <w:rFonts w:hint="eastAsia" w:ascii="宋体" w:hAnsi="宋体" w:eastAsia="宋体" w:cs="宋体"/>
          <w:bCs/>
          <w:kern w:val="2"/>
          <w:sz w:val="24"/>
          <w:szCs w:val="24"/>
          <w:highlight w:val="none"/>
        </w:rPr>
        <w:t>数据备份策略与频率：虚拟机每周备份1次，备份文件保留1个月，保留2份副本。数据库文件每天增量备份，每周全量备份，备份文件保留1个月，保留2份副本。</w:t>
      </w:r>
    </w:p>
    <w:p w14:paraId="16138D4C">
      <w:pPr>
        <w:keepNext w:val="0"/>
        <w:keepLines w:val="0"/>
        <w:pageBreakBefore w:val="0"/>
        <w:widowControl/>
        <w:kinsoku/>
        <w:wordWrap/>
        <w:overflowPunct/>
        <w:topLinePunct w:val="0"/>
        <w:autoSpaceDE/>
        <w:autoSpaceDN/>
        <w:bidi w:val="0"/>
        <w:adjustRightInd/>
        <w:snapToGrid w:val="0"/>
        <w:spacing w:line="400" w:lineRule="exact"/>
        <w:ind w:firstLine="444" w:firstLineChars="185"/>
        <w:textAlignment w:val="auto"/>
        <w:rPr>
          <w:rFonts w:hint="eastAsia" w:ascii="宋体" w:hAnsi="宋体" w:eastAsia="宋体" w:cs="宋体"/>
          <w:b w:val="0"/>
          <w:bCs/>
          <w:kern w:val="2"/>
          <w:sz w:val="24"/>
          <w:szCs w:val="24"/>
          <w:highlight w:val="none"/>
        </w:rPr>
      </w:pPr>
      <w:r>
        <w:rPr>
          <w:rFonts w:hint="eastAsia" w:ascii="宋体" w:hAnsi="宋体" w:eastAsia="宋体" w:cs="宋体"/>
          <w:b w:val="0"/>
          <w:bCs/>
          <w:kern w:val="2"/>
          <w:sz w:val="24"/>
          <w:szCs w:val="24"/>
          <w:highlight w:val="none"/>
        </w:rPr>
        <w:t>（3）网络服务</w:t>
      </w:r>
    </w:p>
    <w:p w14:paraId="3BBE1F4C">
      <w:pPr>
        <w:keepNext w:val="0"/>
        <w:keepLines w:val="0"/>
        <w:pageBreakBefore w:val="0"/>
        <w:widowControl/>
        <w:kinsoku/>
        <w:wordWrap/>
        <w:overflowPunct/>
        <w:topLinePunct w:val="0"/>
        <w:autoSpaceDE/>
        <w:autoSpaceDN/>
        <w:bidi w:val="0"/>
        <w:adjustRightInd/>
        <w:snapToGrid w:val="0"/>
        <w:spacing w:line="400" w:lineRule="exact"/>
        <w:ind w:firstLine="444" w:firstLineChars="185"/>
        <w:textAlignment w:val="auto"/>
        <w:rPr>
          <w:rFonts w:hint="eastAsia" w:ascii="宋体" w:hAnsi="宋体" w:eastAsia="宋体" w:cs="宋体"/>
          <w:bCs/>
          <w:sz w:val="24"/>
          <w:szCs w:val="24"/>
          <w:highlight w:val="none"/>
        </w:rPr>
      </w:pPr>
      <w:r>
        <w:rPr>
          <w:rFonts w:hint="eastAsia" w:ascii="宋体" w:hAnsi="宋体" w:eastAsia="宋体" w:cs="宋体"/>
          <w:bCs/>
          <w:kern w:val="2"/>
          <w:sz w:val="24"/>
          <w:szCs w:val="24"/>
          <w:highlight w:val="none"/>
        </w:rPr>
        <w:t>云平台按照等级保护三级要求进行建设，且所有设备全部冗余，可避免一台设备宕机造成的单点故障。云平台分为互联网区和政务外网区，两区之间逻辑隔离，采用防火墙实现数据交换，并建立安全监管平台来保障政务云平台的安全，其中，互联网采用双链路，政务外网网络带宽不低于1千兆。</w:t>
      </w:r>
    </w:p>
    <w:p w14:paraId="1F4AF302">
      <w:pPr>
        <w:keepNext w:val="0"/>
        <w:keepLines w:val="0"/>
        <w:pageBreakBefore w:val="0"/>
        <w:widowControl/>
        <w:kinsoku/>
        <w:wordWrap/>
        <w:overflowPunct/>
        <w:topLinePunct w:val="0"/>
        <w:autoSpaceDE/>
        <w:autoSpaceDN/>
        <w:bidi w:val="0"/>
        <w:adjustRightInd/>
        <w:snapToGrid w:val="0"/>
        <w:spacing w:line="400" w:lineRule="exact"/>
        <w:ind w:firstLine="444" w:firstLineChars="185"/>
        <w:textAlignment w:val="auto"/>
        <w:rPr>
          <w:rFonts w:hint="eastAsia" w:ascii="宋体" w:hAnsi="宋体" w:eastAsia="宋体" w:cs="宋体"/>
          <w:bCs/>
          <w:sz w:val="24"/>
          <w:szCs w:val="24"/>
          <w:highlight w:val="none"/>
        </w:rPr>
      </w:pPr>
      <w:r>
        <w:rPr>
          <w:rFonts w:hint="eastAsia" w:ascii="宋体" w:hAnsi="宋体" w:eastAsia="宋体" w:cs="宋体"/>
          <w:bCs/>
          <w:kern w:val="2"/>
          <w:sz w:val="24"/>
          <w:szCs w:val="24"/>
          <w:highlight w:val="none"/>
        </w:rPr>
        <w:t>网络服务内容包括：提供链路带宽服务及互联网IP地址租用服务</w:t>
      </w:r>
      <w:r>
        <w:rPr>
          <w:rFonts w:hint="eastAsia" w:ascii="宋体" w:hAnsi="宋体" w:eastAsia="宋体" w:cs="宋体"/>
          <w:bCs/>
          <w:kern w:val="2"/>
          <w:sz w:val="24"/>
          <w:szCs w:val="24"/>
          <w:highlight w:val="none"/>
          <w:lang w:eastAsia="zh-CN"/>
        </w:rPr>
        <w:t>、</w:t>
      </w:r>
      <w:r>
        <w:rPr>
          <w:rFonts w:hint="eastAsia" w:ascii="宋体" w:hAnsi="宋体" w:eastAsia="宋体" w:cs="宋体"/>
          <w:bCs/>
          <w:kern w:val="2"/>
          <w:sz w:val="24"/>
          <w:szCs w:val="24"/>
          <w:highlight w:val="none"/>
        </w:rPr>
        <w:t>并提供备案服务，按照管理部门要求，配合系统应用厂商提供网络策略配置服务；提供主机负载均衡服务，实现主机应用集群的负载均衡；提供远程接入服务，每个账号结合身份验证通过VPN远程接入堡垒机维护应用系统；提供SSL证书服务，由受信任的数字证书颁发机构，在验证服务器身份后颁发，实现服务器身份验证和数据传输加密功能；提供WAF防护服务，能够针对Web应用提供安全防护。</w:t>
      </w:r>
    </w:p>
    <w:p w14:paraId="060CF35A">
      <w:pPr>
        <w:keepNext w:val="0"/>
        <w:keepLines w:val="0"/>
        <w:pageBreakBefore w:val="0"/>
        <w:kinsoku/>
        <w:wordWrap/>
        <w:overflowPunct/>
        <w:topLinePunct w:val="0"/>
        <w:autoSpaceDE/>
        <w:autoSpaceDN/>
        <w:bidi w:val="0"/>
        <w:adjustRightInd/>
        <w:snapToGrid w:val="0"/>
        <w:spacing w:line="400" w:lineRule="exact"/>
        <w:ind w:firstLine="444" w:firstLineChars="185"/>
        <w:textAlignment w:val="auto"/>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rPr>
        <w:t>（</w:t>
      </w:r>
      <w:r>
        <w:rPr>
          <w:rFonts w:hint="eastAsia" w:ascii="宋体" w:hAnsi="宋体" w:eastAsia="宋体" w:cs="宋体"/>
          <w:b w:val="0"/>
          <w:bCs/>
          <w:sz w:val="24"/>
          <w:szCs w:val="24"/>
          <w:highlight w:val="none"/>
          <w:lang w:val="en-US" w:eastAsia="zh-CN"/>
        </w:rPr>
        <w:t>4</w:t>
      </w:r>
      <w:r>
        <w:rPr>
          <w:rFonts w:hint="eastAsia" w:ascii="宋体" w:hAnsi="宋体" w:eastAsia="宋体" w:cs="宋体"/>
          <w:b w:val="0"/>
          <w:bCs/>
          <w:sz w:val="24"/>
          <w:szCs w:val="24"/>
          <w:highlight w:val="none"/>
        </w:rPr>
        <w:t>）基础软件支撑服务</w:t>
      </w:r>
    </w:p>
    <w:p w14:paraId="79D588BF">
      <w:pPr>
        <w:keepNext w:val="0"/>
        <w:keepLines w:val="0"/>
        <w:pageBreakBefore w:val="0"/>
        <w:kinsoku/>
        <w:wordWrap/>
        <w:overflowPunct/>
        <w:topLinePunct w:val="0"/>
        <w:autoSpaceDE/>
        <w:autoSpaceDN/>
        <w:bidi w:val="0"/>
        <w:adjustRightInd/>
        <w:snapToGrid w:val="0"/>
        <w:spacing w:line="400" w:lineRule="exact"/>
        <w:ind w:firstLine="444" w:firstLineChars="185"/>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提供主机的商用操作系统、</w:t>
      </w:r>
      <w:r>
        <w:rPr>
          <w:rFonts w:hint="eastAsia" w:ascii="宋体" w:hAnsi="宋体" w:eastAsia="宋体" w:cs="宋体"/>
          <w:sz w:val="24"/>
          <w:szCs w:val="24"/>
          <w:highlight w:val="none"/>
        </w:rPr>
        <w:t>开源操作系统、开源应用中间件、开源数据库的</w:t>
      </w:r>
      <w:r>
        <w:rPr>
          <w:rFonts w:hint="eastAsia" w:ascii="宋体" w:hAnsi="宋体" w:eastAsia="宋体" w:cs="宋体"/>
          <w:bCs/>
          <w:sz w:val="24"/>
          <w:szCs w:val="24"/>
          <w:highlight w:val="none"/>
        </w:rPr>
        <w:t>租用、安装及维护服务。</w:t>
      </w:r>
    </w:p>
    <w:p w14:paraId="226EE4C7">
      <w:pPr>
        <w:keepNext w:val="0"/>
        <w:keepLines w:val="0"/>
        <w:pageBreakBefore w:val="0"/>
        <w:kinsoku/>
        <w:wordWrap/>
        <w:overflowPunct/>
        <w:topLinePunct w:val="0"/>
        <w:autoSpaceDE/>
        <w:autoSpaceDN/>
        <w:bidi w:val="0"/>
        <w:adjustRightInd/>
        <w:snapToGrid w:val="0"/>
        <w:spacing w:line="400" w:lineRule="exact"/>
        <w:ind w:firstLine="444" w:firstLineChars="185"/>
        <w:textAlignment w:val="auto"/>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rPr>
        <w:t>（</w:t>
      </w:r>
      <w:r>
        <w:rPr>
          <w:rFonts w:hint="eastAsia" w:ascii="宋体" w:hAnsi="宋体" w:eastAsia="宋体" w:cs="宋体"/>
          <w:b w:val="0"/>
          <w:bCs/>
          <w:sz w:val="24"/>
          <w:szCs w:val="24"/>
          <w:highlight w:val="none"/>
          <w:lang w:val="en-US" w:eastAsia="zh-CN"/>
        </w:rPr>
        <w:t>5</w:t>
      </w:r>
      <w:r>
        <w:rPr>
          <w:rFonts w:hint="eastAsia" w:ascii="宋体" w:hAnsi="宋体" w:eastAsia="宋体" w:cs="宋体"/>
          <w:b w:val="0"/>
          <w:bCs/>
          <w:sz w:val="24"/>
          <w:szCs w:val="24"/>
          <w:highlight w:val="none"/>
        </w:rPr>
        <w:t>）主机杀毒服务</w:t>
      </w:r>
    </w:p>
    <w:p w14:paraId="613D303B">
      <w:pPr>
        <w:keepNext w:val="0"/>
        <w:keepLines w:val="0"/>
        <w:pageBreakBefore w:val="0"/>
        <w:kinsoku/>
        <w:wordWrap/>
        <w:overflowPunct/>
        <w:topLinePunct w:val="0"/>
        <w:autoSpaceDE/>
        <w:autoSpaceDN/>
        <w:bidi w:val="0"/>
        <w:adjustRightInd/>
        <w:snapToGrid w:val="0"/>
        <w:spacing w:line="400" w:lineRule="exact"/>
        <w:ind w:firstLine="444" w:firstLineChars="185"/>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按照采购人的有关管理规定及应用系统需求，对主机进行定期的病毒查杀，针对主机提供恶意代码检测和拦截服务，及时发现、拦截、阻断各种恶意代码、病毒木马等。提供集中控制版杀毒软件，对主机性能无影响。</w:t>
      </w:r>
    </w:p>
    <w:p w14:paraId="42261B3A">
      <w:pPr>
        <w:keepNext w:val="0"/>
        <w:keepLines w:val="0"/>
        <w:pageBreakBefore w:val="0"/>
        <w:kinsoku/>
        <w:wordWrap/>
        <w:overflowPunct/>
        <w:topLinePunct w:val="0"/>
        <w:autoSpaceDE/>
        <w:autoSpaceDN/>
        <w:bidi w:val="0"/>
        <w:adjustRightInd/>
        <w:snapToGrid w:val="0"/>
        <w:spacing w:line="400" w:lineRule="exact"/>
        <w:ind w:firstLine="444" w:firstLineChars="185"/>
        <w:textAlignment w:val="auto"/>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rPr>
        <w:t>（</w:t>
      </w:r>
      <w:r>
        <w:rPr>
          <w:rFonts w:hint="eastAsia" w:ascii="宋体" w:hAnsi="宋体" w:eastAsia="宋体" w:cs="宋体"/>
          <w:b w:val="0"/>
          <w:bCs/>
          <w:sz w:val="24"/>
          <w:szCs w:val="24"/>
          <w:highlight w:val="none"/>
          <w:lang w:val="en-US" w:eastAsia="zh-CN"/>
        </w:rPr>
        <w:t>6</w:t>
      </w:r>
      <w:r>
        <w:rPr>
          <w:rFonts w:hint="eastAsia" w:ascii="宋体" w:hAnsi="宋体" w:eastAsia="宋体" w:cs="宋体"/>
          <w:b w:val="0"/>
          <w:bCs/>
          <w:sz w:val="24"/>
          <w:szCs w:val="24"/>
          <w:highlight w:val="none"/>
        </w:rPr>
        <w:t>）主机防护</w:t>
      </w:r>
    </w:p>
    <w:p w14:paraId="2F50532D">
      <w:pPr>
        <w:keepNext w:val="0"/>
        <w:keepLines w:val="0"/>
        <w:pageBreakBefore w:val="0"/>
        <w:kinsoku/>
        <w:wordWrap/>
        <w:overflowPunct/>
        <w:topLinePunct w:val="0"/>
        <w:autoSpaceDE/>
        <w:autoSpaceDN/>
        <w:bidi w:val="0"/>
        <w:adjustRightInd/>
        <w:snapToGrid w:val="0"/>
        <w:spacing w:line="400" w:lineRule="exact"/>
        <w:ind w:firstLine="444" w:firstLineChars="185"/>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按照采购人的有关管理规定及应用系统需求，对主机进行多方面的安全防护，对入侵行为进行检测及防护，包含网页后门、反弹 shell、异常账号、日志删除、异常登录、异常进程、命令篡改行为。提供安全策略进行安全防护，包括暴力破解防护、扫描防护、病毒防护、 IP 黑白名单、端口安全、访问控制、进行行为控制、进程白名单。</w:t>
      </w:r>
    </w:p>
    <w:p w14:paraId="13591E13">
      <w:pPr>
        <w:keepNext w:val="0"/>
        <w:keepLines w:val="0"/>
        <w:pageBreakBefore w:val="0"/>
        <w:kinsoku/>
        <w:wordWrap/>
        <w:overflowPunct/>
        <w:topLinePunct w:val="0"/>
        <w:autoSpaceDE/>
        <w:autoSpaceDN/>
        <w:bidi w:val="0"/>
        <w:adjustRightInd/>
        <w:snapToGrid w:val="0"/>
        <w:spacing w:line="400" w:lineRule="exact"/>
        <w:ind w:firstLine="444" w:firstLineChars="185"/>
        <w:textAlignment w:val="auto"/>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rPr>
        <w:t>（</w:t>
      </w:r>
      <w:r>
        <w:rPr>
          <w:rFonts w:hint="eastAsia" w:ascii="宋体" w:hAnsi="宋体" w:eastAsia="宋体" w:cs="宋体"/>
          <w:b w:val="0"/>
          <w:bCs/>
          <w:sz w:val="24"/>
          <w:szCs w:val="24"/>
          <w:highlight w:val="none"/>
          <w:lang w:val="en-US" w:eastAsia="zh-CN"/>
        </w:rPr>
        <w:t>7</w:t>
      </w:r>
      <w:r>
        <w:rPr>
          <w:rFonts w:hint="eastAsia" w:ascii="宋体" w:hAnsi="宋体" w:eastAsia="宋体" w:cs="宋体"/>
          <w:b w:val="0"/>
          <w:bCs/>
          <w:sz w:val="24"/>
          <w:szCs w:val="24"/>
          <w:highlight w:val="none"/>
        </w:rPr>
        <w:t>）主机漏洞扫描和加固服务</w:t>
      </w:r>
    </w:p>
    <w:p w14:paraId="60D1B621">
      <w:pPr>
        <w:keepNext w:val="0"/>
        <w:keepLines w:val="0"/>
        <w:pageBreakBefore w:val="0"/>
        <w:kinsoku/>
        <w:wordWrap/>
        <w:overflowPunct/>
        <w:topLinePunct w:val="0"/>
        <w:autoSpaceDE/>
        <w:autoSpaceDN/>
        <w:bidi w:val="0"/>
        <w:adjustRightInd/>
        <w:snapToGrid w:val="0"/>
        <w:spacing w:line="400" w:lineRule="exact"/>
        <w:ind w:firstLine="444" w:firstLineChars="185"/>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按照采购人的有关管理规定及应用系统需求，提供全部在用主机漏洞扫描和加固服务，以发现主机高危端口、操作系统、数据库、中间件等层面存在的安全漏洞，并完成操作系统层（含）以下的安全加固，同时配合应用系统主责部门进行系统安全加固。</w:t>
      </w:r>
    </w:p>
    <w:p w14:paraId="6D3960CD">
      <w:pPr>
        <w:keepNext w:val="0"/>
        <w:keepLines w:val="0"/>
        <w:pageBreakBefore w:val="0"/>
        <w:kinsoku/>
        <w:wordWrap/>
        <w:overflowPunct/>
        <w:topLinePunct w:val="0"/>
        <w:autoSpaceDE/>
        <w:autoSpaceDN/>
        <w:bidi w:val="0"/>
        <w:adjustRightInd/>
        <w:snapToGrid w:val="0"/>
        <w:spacing w:line="400" w:lineRule="exact"/>
        <w:ind w:firstLine="444" w:firstLineChars="185"/>
        <w:textAlignment w:val="auto"/>
        <w:rPr>
          <w:rFonts w:hint="eastAsia" w:ascii="宋体" w:hAnsi="宋体" w:eastAsia="宋体" w:cs="宋体"/>
          <w:b w:val="0"/>
          <w:bCs/>
          <w:sz w:val="24"/>
          <w:szCs w:val="24"/>
          <w:highlight w:val="none"/>
          <w:lang w:val="zh-CN"/>
        </w:rPr>
      </w:pPr>
      <w:r>
        <w:rPr>
          <w:rFonts w:hint="eastAsia" w:ascii="宋体" w:hAnsi="宋体" w:eastAsia="宋体" w:cs="宋体"/>
          <w:b w:val="0"/>
          <w:bCs/>
          <w:sz w:val="24"/>
          <w:szCs w:val="24"/>
          <w:highlight w:val="none"/>
        </w:rPr>
        <w:t>（</w:t>
      </w:r>
      <w:r>
        <w:rPr>
          <w:rFonts w:hint="eastAsia" w:ascii="宋体" w:hAnsi="宋体" w:eastAsia="宋体" w:cs="宋体"/>
          <w:b w:val="0"/>
          <w:bCs/>
          <w:sz w:val="24"/>
          <w:szCs w:val="24"/>
          <w:highlight w:val="none"/>
          <w:lang w:val="en-US" w:eastAsia="zh-CN"/>
        </w:rPr>
        <w:t>8</w:t>
      </w:r>
      <w:r>
        <w:rPr>
          <w:rFonts w:hint="eastAsia" w:ascii="宋体" w:hAnsi="宋体" w:eastAsia="宋体" w:cs="宋体"/>
          <w:b w:val="0"/>
          <w:bCs/>
          <w:sz w:val="24"/>
          <w:szCs w:val="24"/>
          <w:highlight w:val="none"/>
        </w:rPr>
        <w:t>）</w:t>
      </w:r>
      <w:r>
        <w:rPr>
          <w:rFonts w:hint="eastAsia" w:ascii="宋体" w:hAnsi="宋体" w:eastAsia="宋体" w:cs="宋体"/>
          <w:b w:val="0"/>
          <w:bCs/>
          <w:sz w:val="24"/>
          <w:szCs w:val="24"/>
          <w:highlight w:val="none"/>
          <w:lang w:val="zh-CN"/>
        </w:rPr>
        <w:t>网页防篡改服务</w:t>
      </w:r>
    </w:p>
    <w:p w14:paraId="689AD472">
      <w:pPr>
        <w:keepNext w:val="0"/>
        <w:keepLines w:val="0"/>
        <w:pageBreakBefore w:val="0"/>
        <w:kinsoku/>
        <w:wordWrap/>
        <w:overflowPunct/>
        <w:topLinePunct w:val="0"/>
        <w:autoSpaceDE/>
        <w:autoSpaceDN/>
        <w:bidi w:val="0"/>
        <w:adjustRightInd/>
        <w:snapToGrid w:val="0"/>
        <w:spacing w:line="400" w:lineRule="exact"/>
        <w:ind w:firstLine="444" w:firstLineChars="185"/>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lang w:val="en-US" w:eastAsia="zh-CN"/>
        </w:rPr>
        <w:t>投</w:t>
      </w:r>
      <w:r>
        <w:rPr>
          <w:rFonts w:hint="eastAsia" w:ascii="宋体" w:hAnsi="宋体" w:eastAsia="宋体" w:cs="宋体"/>
          <w:bCs/>
          <w:sz w:val="24"/>
          <w:szCs w:val="24"/>
          <w:highlight w:val="none"/>
          <w:lang w:val="zh-CN"/>
        </w:rPr>
        <w:t>标人需根据采购人的需求，提供网页防篡改服务，对互联网应用的动态页面和静态页面的篡改行为进行检测和防护，防止对目录中的网页、电子文档、图片等类型的文件进行非法篡改和破坏。</w:t>
      </w:r>
    </w:p>
    <w:p w14:paraId="3D10003D">
      <w:pPr>
        <w:keepNext w:val="0"/>
        <w:keepLines w:val="0"/>
        <w:pageBreakBefore w:val="0"/>
        <w:kinsoku/>
        <w:wordWrap/>
        <w:overflowPunct/>
        <w:topLinePunct w:val="0"/>
        <w:autoSpaceDE/>
        <w:autoSpaceDN/>
        <w:bidi w:val="0"/>
        <w:adjustRightInd/>
        <w:snapToGrid w:val="0"/>
        <w:spacing w:line="400" w:lineRule="exact"/>
        <w:ind w:firstLine="444" w:firstLineChars="185"/>
        <w:textAlignment w:val="auto"/>
        <w:rPr>
          <w:rFonts w:hint="eastAsia" w:ascii="宋体" w:hAnsi="宋体" w:eastAsia="宋体" w:cs="宋体"/>
          <w:b w:val="0"/>
          <w:bCs/>
          <w:sz w:val="24"/>
          <w:szCs w:val="24"/>
          <w:highlight w:val="none"/>
          <w:lang w:val="zh-CN"/>
        </w:rPr>
      </w:pPr>
      <w:r>
        <w:rPr>
          <w:rFonts w:hint="eastAsia" w:ascii="宋体" w:hAnsi="宋体" w:eastAsia="宋体" w:cs="宋体"/>
          <w:b w:val="0"/>
          <w:bCs/>
          <w:sz w:val="24"/>
          <w:szCs w:val="24"/>
          <w:highlight w:val="none"/>
        </w:rPr>
        <w:t>（</w:t>
      </w:r>
      <w:r>
        <w:rPr>
          <w:rFonts w:hint="eastAsia" w:ascii="宋体" w:hAnsi="宋体" w:eastAsia="宋体" w:cs="宋体"/>
          <w:b w:val="0"/>
          <w:bCs/>
          <w:sz w:val="24"/>
          <w:szCs w:val="24"/>
          <w:highlight w:val="none"/>
          <w:lang w:val="en-US" w:eastAsia="zh-CN"/>
        </w:rPr>
        <w:t>9</w:t>
      </w:r>
      <w:r>
        <w:rPr>
          <w:rFonts w:hint="eastAsia" w:ascii="宋体" w:hAnsi="宋体" w:eastAsia="宋体" w:cs="宋体"/>
          <w:b w:val="0"/>
          <w:bCs/>
          <w:sz w:val="24"/>
          <w:szCs w:val="24"/>
          <w:highlight w:val="none"/>
          <w:lang w:val="zh-CN"/>
        </w:rPr>
        <w:t>）主机日志分析</w:t>
      </w:r>
    </w:p>
    <w:p w14:paraId="18033651">
      <w:pPr>
        <w:keepNext w:val="0"/>
        <w:keepLines w:val="0"/>
        <w:pageBreakBefore w:val="0"/>
        <w:kinsoku/>
        <w:wordWrap/>
        <w:overflowPunct/>
        <w:topLinePunct w:val="0"/>
        <w:autoSpaceDE/>
        <w:autoSpaceDN/>
        <w:bidi w:val="0"/>
        <w:adjustRightInd/>
        <w:snapToGrid w:val="0"/>
        <w:spacing w:line="400" w:lineRule="exact"/>
        <w:ind w:firstLine="444" w:firstLineChars="185"/>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lang w:val="zh-CN"/>
        </w:rPr>
        <w:t>针对操作系统进行日志收集，并且进行分析，反馈相关结果，用于了解主机安全情况及资源使用情况，日志需保存</w:t>
      </w:r>
      <w:r>
        <w:rPr>
          <w:rFonts w:hint="eastAsia" w:ascii="宋体" w:hAnsi="宋体" w:eastAsia="宋体" w:cs="宋体"/>
          <w:bCs/>
          <w:sz w:val="24"/>
          <w:szCs w:val="24"/>
          <w:highlight w:val="none"/>
        </w:rPr>
        <w:t>6个月。</w:t>
      </w:r>
    </w:p>
    <w:p w14:paraId="0BAEDF02">
      <w:pPr>
        <w:keepNext w:val="0"/>
        <w:keepLines w:val="0"/>
        <w:pageBreakBefore w:val="0"/>
        <w:kinsoku/>
        <w:wordWrap/>
        <w:overflowPunct/>
        <w:topLinePunct w:val="0"/>
        <w:autoSpaceDE/>
        <w:autoSpaceDN/>
        <w:bidi w:val="0"/>
        <w:adjustRightInd/>
        <w:snapToGrid w:val="0"/>
        <w:spacing w:line="400" w:lineRule="exact"/>
        <w:ind w:firstLine="444" w:firstLineChars="185"/>
        <w:textAlignment w:val="auto"/>
        <w:rPr>
          <w:rFonts w:hint="eastAsia" w:ascii="宋体" w:hAnsi="宋体" w:eastAsia="宋体" w:cs="宋体"/>
          <w:b w:val="0"/>
          <w:bCs/>
          <w:sz w:val="24"/>
          <w:szCs w:val="24"/>
          <w:highlight w:val="none"/>
          <w:lang w:val="zh-CN"/>
        </w:rPr>
      </w:pPr>
      <w:r>
        <w:rPr>
          <w:rFonts w:hint="eastAsia" w:ascii="宋体" w:hAnsi="宋体" w:eastAsia="宋体" w:cs="宋体"/>
          <w:b w:val="0"/>
          <w:bCs/>
          <w:sz w:val="24"/>
          <w:szCs w:val="24"/>
          <w:highlight w:val="none"/>
        </w:rPr>
        <w:t>（</w:t>
      </w:r>
      <w:r>
        <w:rPr>
          <w:rFonts w:hint="eastAsia" w:ascii="宋体" w:hAnsi="宋体" w:eastAsia="宋体" w:cs="宋体"/>
          <w:b w:val="0"/>
          <w:bCs/>
          <w:sz w:val="24"/>
          <w:szCs w:val="24"/>
          <w:highlight w:val="none"/>
          <w:lang w:val="en-US" w:eastAsia="zh-CN"/>
        </w:rPr>
        <w:t>10</w:t>
      </w:r>
      <w:r>
        <w:rPr>
          <w:rFonts w:hint="eastAsia" w:ascii="宋体" w:hAnsi="宋体" w:eastAsia="宋体" w:cs="宋体"/>
          <w:b w:val="0"/>
          <w:bCs/>
          <w:sz w:val="24"/>
          <w:szCs w:val="24"/>
          <w:highlight w:val="none"/>
          <w:lang w:val="zh-CN"/>
        </w:rPr>
        <w:t>）数据库审计</w:t>
      </w:r>
    </w:p>
    <w:p w14:paraId="53295614">
      <w:pPr>
        <w:keepNext w:val="0"/>
        <w:keepLines w:val="0"/>
        <w:pageBreakBefore w:val="0"/>
        <w:kinsoku/>
        <w:wordWrap/>
        <w:overflowPunct/>
        <w:topLinePunct w:val="0"/>
        <w:autoSpaceDE/>
        <w:autoSpaceDN/>
        <w:bidi w:val="0"/>
        <w:adjustRightInd/>
        <w:snapToGrid w:val="0"/>
        <w:spacing w:line="400" w:lineRule="exact"/>
        <w:ind w:firstLine="444" w:firstLineChars="185"/>
        <w:textAlignment w:val="auto"/>
        <w:rPr>
          <w:rFonts w:hint="eastAsia" w:ascii="宋体" w:hAnsi="宋体" w:eastAsia="宋体" w:cs="宋体"/>
          <w:bCs/>
          <w:sz w:val="24"/>
          <w:szCs w:val="24"/>
          <w:highlight w:val="none"/>
          <w:lang w:val="zh-CN"/>
        </w:rPr>
      </w:pPr>
      <w:bookmarkStart w:id="1" w:name="_Toc22657864"/>
      <w:r>
        <w:rPr>
          <w:rFonts w:hint="eastAsia" w:ascii="宋体" w:hAnsi="宋体" w:eastAsia="宋体" w:cs="宋体"/>
          <w:bCs/>
          <w:sz w:val="24"/>
          <w:szCs w:val="24"/>
          <w:highlight w:val="none"/>
          <w:lang w:val="en-US" w:eastAsia="zh-CN"/>
        </w:rPr>
        <w:t>投</w:t>
      </w:r>
      <w:r>
        <w:rPr>
          <w:rFonts w:hint="eastAsia" w:ascii="宋体" w:hAnsi="宋体" w:eastAsia="宋体" w:cs="宋体"/>
          <w:bCs/>
          <w:sz w:val="24"/>
          <w:szCs w:val="24"/>
          <w:highlight w:val="none"/>
          <w:lang w:val="zh-CN"/>
        </w:rPr>
        <w:t>标人需根据采购人的需求，为数据库实例提供数据库审计服务，以网络旁路的方式工作于数据库主机所在的网络，对访问数据库服务器的行为进行全方位审计。数据库审计在不影响数据库系统自身性能的前提下，对数据库的操作实现跟踪记录、定位，实现对数据库的监控和保护，及时地发现网络上针对数据库的违规操作行为并进行记录、报警，为数据库系统的安全运行提供有力保障。</w:t>
      </w:r>
    </w:p>
    <w:bookmarkEnd w:id="1"/>
    <w:p w14:paraId="38E0B178">
      <w:pPr>
        <w:keepNext w:val="0"/>
        <w:keepLines w:val="0"/>
        <w:pageBreakBefore w:val="0"/>
        <w:kinsoku/>
        <w:wordWrap/>
        <w:overflowPunct/>
        <w:topLinePunct w:val="0"/>
        <w:autoSpaceDE/>
        <w:autoSpaceDN/>
        <w:bidi w:val="0"/>
        <w:adjustRightInd/>
        <w:spacing w:line="400" w:lineRule="exact"/>
        <w:ind w:firstLine="480" w:firstLineChars="200"/>
        <w:textAlignment w:val="auto"/>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rPr>
        <w:t>（1</w:t>
      </w:r>
      <w:r>
        <w:rPr>
          <w:rFonts w:hint="eastAsia" w:ascii="宋体" w:hAnsi="宋体" w:eastAsia="宋体" w:cs="宋体"/>
          <w:b w:val="0"/>
          <w:bCs/>
          <w:sz w:val="24"/>
          <w:szCs w:val="24"/>
          <w:highlight w:val="none"/>
          <w:lang w:val="en-US" w:eastAsia="zh-CN"/>
        </w:rPr>
        <w:t>1</w:t>
      </w:r>
      <w:r>
        <w:rPr>
          <w:rFonts w:hint="eastAsia" w:ascii="宋体" w:hAnsi="宋体" w:eastAsia="宋体" w:cs="宋体"/>
          <w:b w:val="0"/>
          <w:bCs/>
          <w:sz w:val="24"/>
          <w:szCs w:val="24"/>
          <w:highlight w:val="none"/>
          <w:lang w:val="zh-CN"/>
        </w:rPr>
        <w:t>）</w:t>
      </w:r>
      <w:r>
        <w:rPr>
          <w:rFonts w:hint="eastAsia" w:ascii="宋体" w:hAnsi="宋体" w:eastAsia="宋体" w:cs="宋体"/>
          <w:b w:val="0"/>
          <w:bCs/>
          <w:sz w:val="24"/>
          <w:szCs w:val="24"/>
          <w:highlight w:val="none"/>
        </w:rPr>
        <w:t>云端APT防护服务</w:t>
      </w:r>
    </w:p>
    <w:p w14:paraId="0D03BEA7">
      <w:pPr>
        <w:keepNext w:val="0"/>
        <w:keepLines w:val="0"/>
        <w:pageBreakBefore w:val="0"/>
        <w:kinsoku/>
        <w:wordWrap/>
        <w:overflowPunct/>
        <w:topLinePunct w:val="0"/>
        <w:autoSpaceDE/>
        <w:autoSpaceDN/>
        <w:bidi w:val="0"/>
        <w:adjustRightInd/>
        <w:snapToGrid w:val="0"/>
        <w:spacing w:line="400" w:lineRule="exact"/>
        <w:ind w:firstLine="444" w:firstLineChars="185"/>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投标人通过对流量进行深度解析，发现流量中的恶意攻击，提供全面检测和预警的能力，可分析网络威胁状况，对安全事件进行分析、研判和回溯。</w:t>
      </w:r>
    </w:p>
    <w:p w14:paraId="4CC03629">
      <w:pPr>
        <w:keepNext w:val="0"/>
        <w:keepLines w:val="0"/>
        <w:pageBreakBefore w:val="0"/>
        <w:kinsoku/>
        <w:wordWrap/>
        <w:overflowPunct/>
        <w:topLinePunct w:val="0"/>
        <w:autoSpaceDE/>
        <w:autoSpaceDN/>
        <w:bidi w:val="0"/>
        <w:adjustRightInd/>
        <w:spacing w:line="400" w:lineRule="exact"/>
        <w:ind w:firstLine="480" w:firstLineChars="200"/>
        <w:textAlignment w:val="auto"/>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rPr>
        <w:t>（1</w:t>
      </w:r>
      <w:r>
        <w:rPr>
          <w:rFonts w:hint="eastAsia" w:ascii="宋体" w:hAnsi="宋体" w:eastAsia="宋体" w:cs="宋体"/>
          <w:b w:val="0"/>
          <w:bCs/>
          <w:sz w:val="24"/>
          <w:szCs w:val="24"/>
          <w:highlight w:val="none"/>
          <w:lang w:val="en-US" w:eastAsia="zh-CN"/>
        </w:rPr>
        <w:t>2</w:t>
      </w:r>
      <w:r>
        <w:rPr>
          <w:rFonts w:hint="eastAsia" w:ascii="宋体" w:hAnsi="宋体" w:eastAsia="宋体" w:cs="宋体"/>
          <w:b w:val="0"/>
          <w:bCs/>
          <w:sz w:val="24"/>
          <w:szCs w:val="24"/>
          <w:highlight w:val="none"/>
          <w:lang w:val="zh-CN"/>
        </w:rPr>
        <w:t>）</w:t>
      </w:r>
      <w:r>
        <w:rPr>
          <w:rFonts w:hint="eastAsia" w:ascii="宋体" w:hAnsi="宋体" w:eastAsia="宋体" w:cs="宋体"/>
          <w:b w:val="0"/>
          <w:bCs/>
          <w:sz w:val="24"/>
          <w:szCs w:val="24"/>
          <w:highlight w:val="none"/>
        </w:rPr>
        <w:t>云端抗DDOS服务</w:t>
      </w:r>
    </w:p>
    <w:p w14:paraId="4FD4B212">
      <w:pPr>
        <w:keepNext w:val="0"/>
        <w:keepLines w:val="0"/>
        <w:pageBreakBefore w:val="0"/>
        <w:kinsoku/>
        <w:wordWrap/>
        <w:overflowPunct/>
        <w:topLinePunct w:val="0"/>
        <w:autoSpaceDE/>
        <w:autoSpaceDN/>
        <w:bidi w:val="0"/>
        <w:adjustRightInd/>
        <w:snapToGrid w:val="0"/>
        <w:spacing w:line="400" w:lineRule="exact"/>
        <w:ind w:firstLine="444" w:firstLineChars="185"/>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投标人需提供10G流量的云端抗DDOS服务，避免业务遭受拒绝服务攻击。</w:t>
      </w:r>
    </w:p>
    <w:p w14:paraId="685DBBAF">
      <w:pPr>
        <w:keepNext w:val="0"/>
        <w:keepLines w:val="0"/>
        <w:pageBreakBefore w:val="0"/>
        <w:kinsoku/>
        <w:wordWrap/>
        <w:overflowPunct/>
        <w:topLinePunct w:val="0"/>
        <w:autoSpaceDE/>
        <w:autoSpaceDN/>
        <w:bidi w:val="0"/>
        <w:adjustRightInd/>
        <w:spacing w:line="400" w:lineRule="exact"/>
        <w:ind w:firstLine="480" w:firstLineChars="200"/>
        <w:textAlignment w:val="auto"/>
        <w:rPr>
          <w:rFonts w:hint="eastAsia" w:ascii="宋体" w:hAnsi="宋体" w:eastAsia="宋体" w:cs="宋体"/>
          <w:b w:val="0"/>
          <w:bCs/>
          <w:sz w:val="24"/>
          <w:szCs w:val="24"/>
          <w:highlight w:val="none"/>
          <w:lang w:eastAsia="zh-CN"/>
        </w:rPr>
      </w:pPr>
      <w:r>
        <w:rPr>
          <w:rFonts w:hint="eastAsia" w:ascii="宋体" w:hAnsi="宋体" w:eastAsia="宋体" w:cs="宋体"/>
          <w:b w:val="0"/>
          <w:bCs/>
          <w:sz w:val="24"/>
          <w:szCs w:val="24"/>
          <w:highlight w:val="none"/>
          <w:lang w:eastAsia="zh-CN"/>
        </w:rPr>
        <w:t>（</w:t>
      </w:r>
      <w:r>
        <w:rPr>
          <w:rFonts w:hint="eastAsia" w:ascii="宋体" w:hAnsi="宋体" w:eastAsia="宋体" w:cs="宋体"/>
          <w:b w:val="0"/>
          <w:bCs/>
          <w:sz w:val="24"/>
          <w:szCs w:val="24"/>
          <w:highlight w:val="none"/>
          <w:lang w:val="en-US" w:eastAsia="zh-CN"/>
        </w:rPr>
        <w:t>13</w:t>
      </w:r>
      <w:r>
        <w:rPr>
          <w:rFonts w:hint="eastAsia" w:ascii="宋体" w:hAnsi="宋体" w:eastAsia="宋体" w:cs="宋体"/>
          <w:b w:val="0"/>
          <w:bCs/>
          <w:sz w:val="24"/>
          <w:szCs w:val="24"/>
          <w:highlight w:val="none"/>
          <w:lang w:eastAsia="zh-CN"/>
        </w:rPr>
        <w:t>）对象存储服务</w:t>
      </w:r>
    </w:p>
    <w:p w14:paraId="23684915">
      <w:pPr>
        <w:keepNext w:val="0"/>
        <w:keepLines w:val="0"/>
        <w:pageBreakBefore w:val="0"/>
        <w:widowControl/>
        <w:kinsoku/>
        <w:wordWrap/>
        <w:overflowPunct/>
        <w:topLinePunct w:val="0"/>
        <w:autoSpaceDE/>
        <w:autoSpaceDN/>
        <w:bidi w:val="0"/>
        <w:adjustRightInd/>
        <w:snapToGrid w:val="0"/>
        <w:spacing w:line="400" w:lineRule="exact"/>
        <w:ind w:firstLine="444" w:firstLineChars="185"/>
        <w:textAlignment w:val="auto"/>
        <w:rPr>
          <w:rFonts w:hint="eastAsia" w:ascii="宋体" w:hAnsi="宋体" w:eastAsia="宋体" w:cs="宋体"/>
          <w:bCs/>
          <w:kern w:val="2"/>
          <w:sz w:val="24"/>
          <w:szCs w:val="24"/>
          <w:highlight w:val="none"/>
          <w:lang w:val="zh-CN" w:eastAsia="zh-CN"/>
        </w:rPr>
      </w:pPr>
      <w:r>
        <w:rPr>
          <w:rFonts w:hint="eastAsia" w:ascii="宋体" w:hAnsi="宋体" w:eastAsia="宋体" w:cs="宋体"/>
          <w:bCs/>
          <w:kern w:val="2"/>
          <w:sz w:val="24"/>
          <w:szCs w:val="24"/>
          <w:highlight w:val="none"/>
          <w:lang w:val="zh-CN" w:eastAsia="zh-CN"/>
        </w:rPr>
        <w:t>提供面向海量非结构化数据的通用数据存储平台，提供安全可靠、低成本的云端存储服务。可存储任意类型、任意数量、任意大小的文件；通过存储分层及对象生命周期管理，可覆盖用户的各种业务场景下的存储需求。可通过浏览器、API、SDK 和 FTP 等方式高效存取和管理文件，支撑丰富的上层业务和数据分析系统使用。</w:t>
      </w:r>
    </w:p>
    <w:p w14:paraId="6D8644F2">
      <w:pPr>
        <w:keepNext w:val="0"/>
        <w:keepLines w:val="0"/>
        <w:pageBreakBefore w:val="0"/>
        <w:kinsoku/>
        <w:wordWrap/>
        <w:overflowPunct/>
        <w:topLinePunct w:val="0"/>
        <w:autoSpaceDE/>
        <w:autoSpaceDN/>
        <w:bidi w:val="0"/>
        <w:adjustRightInd/>
        <w:spacing w:line="400" w:lineRule="exact"/>
        <w:ind w:firstLine="480" w:firstLineChars="200"/>
        <w:textAlignment w:val="auto"/>
        <w:rPr>
          <w:rFonts w:hint="eastAsia" w:ascii="宋体" w:hAnsi="宋体" w:eastAsia="宋体" w:cs="宋体"/>
          <w:b w:val="0"/>
          <w:bCs/>
          <w:sz w:val="24"/>
          <w:szCs w:val="24"/>
          <w:highlight w:val="none"/>
          <w:lang w:eastAsia="zh-CN"/>
        </w:rPr>
      </w:pPr>
      <w:r>
        <w:rPr>
          <w:rFonts w:hint="eastAsia" w:ascii="宋体" w:hAnsi="宋体" w:eastAsia="宋体" w:cs="宋体"/>
          <w:b w:val="0"/>
          <w:bCs/>
          <w:sz w:val="24"/>
          <w:szCs w:val="24"/>
          <w:highlight w:val="none"/>
          <w:lang w:val="en-US" w:eastAsia="zh-CN"/>
        </w:rPr>
        <w:t>（14）数据摆渡</w:t>
      </w:r>
      <w:r>
        <w:rPr>
          <w:rFonts w:hint="eastAsia" w:ascii="宋体" w:hAnsi="宋体" w:eastAsia="宋体" w:cs="宋体"/>
          <w:b w:val="0"/>
          <w:bCs/>
          <w:sz w:val="24"/>
          <w:szCs w:val="24"/>
          <w:highlight w:val="none"/>
          <w:lang w:eastAsia="zh-CN"/>
        </w:rPr>
        <w:t>服务</w:t>
      </w:r>
    </w:p>
    <w:p w14:paraId="72CED00B">
      <w:pPr>
        <w:keepNext w:val="0"/>
        <w:keepLines w:val="0"/>
        <w:pageBreakBefore w:val="0"/>
        <w:widowControl/>
        <w:kinsoku/>
        <w:wordWrap/>
        <w:overflowPunct/>
        <w:topLinePunct w:val="0"/>
        <w:autoSpaceDE/>
        <w:autoSpaceDN/>
        <w:bidi w:val="0"/>
        <w:adjustRightInd/>
        <w:snapToGrid w:val="0"/>
        <w:spacing w:line="400" w:lineRule="exact"/>
        <w:ind w:firstLine="444" w:firstLineChars="185"/>
        <w:textAlignment w:val="auto"/>
        <w:rPr>
          <w:rFonts w:eastAsia="宋体"/>
          <w:highlight w:val="none"/>
        </w:rPr>
      </w:pPr>
      <w:r>
        <w:rPr>
          <w:rFonts w:hint="eastAsia" w:ascii="宋体" w:hAnsi="宋体" w:eastAsia="宋体" w:cs="宋体"/>
          <w:bCs/>
          <w:kern w:val="2"/>
          <w:sz w:val="24"/>
          <w:szCs w:val="24"/>
          <w:highlight w:val="none"/>
          <w:lang w:val="zh-CN" w:eastAsia="zh-CN"/>
        </w:rPr>
        <w:t>在安全隔离的基础上，实现精细控制数据流向，提供不同级别网络间安全可控的</w:t>
      </w:r>
      <w:r>
        <w:rPr>
          <w:rFonts w:hint="eastAsia" w:ascii="宋体" w:hAnsi="宋体" w:eastAsia="宋体" w:cs="宋体"/>
          <w:bCs/>
          <w:kern w:val="2"/>
          <w:sz w:val="24"/>
          <w:szCs w:val="24"/>
          <w:highlight w:val="none"/>
          <w:lang w:val="en-US" w:eastAsia="zh-CN"/>
        </w:rPr>
        <w:t>请求转发或数据摆渡</w:t>
      </w:r>
      <w:r>
        <w:rPr>
          <w:rFonts w:hint="eastAsia" w:ascii="宋体" w:hAnsi="宋体" w:eastAsia="宋体" w:cs="宋体"/>
          <w:bCs/>
          <w:kern w:val="2"/>
          <w:sz w:val="24"/>
          <w:szCs w:val="24"/>
          <w:highlight w:val="none"/>
          <w:lang w:val="zh-CN" w:eastAsia="zh-CN"/>
        </w:rPr>
        <w:t>，确保数据的机密性、完整性和可信性，助力用户高效开展业务。可在客户端、无客户端模式下实现广泛的业务数据交换，包括</w:t>
      </w:r>
      <w:r>
        <w:rPr>
          <w:rFonts w:hint="eastAsia" w:ascii="宋体" w:hAnsi="宋体" w:eastAsia="宋体" w:cs="宋体"/>
          <w:bCs/>
          <w:sz w:val="24"/>
          <w:szCs w:val="24"/>
          <w:highlight w:val="none"/>
          <w:lang w:val="zh-CN" w:eastAsia="zh-CN"/>
        </w:rPr>
        <w:t>文件系统及多种应用层协议的跨网数据交换，充分满足不同业务场景的需求。</w:t>
      </w:r>
    </w:p>
    <w:p w14:paraId="618475E3">
      <w:pPr>
        <w:widowControl w:val="0"/>
        <w:adjustRightInd/>
        <w:spacing w:line="240" w:lineRule="auto"/>
        <w:ind w:firstLine="480"/>
        <w:jc w:val="both"/>
        <w:textAlignment w:val="auto"/>
        <w:rPr>
          <w:rFonts w:hint="eastAsia" w:ascii="Times New Roman" w:hAnsi="Times New Roman" w:eastAsia="宋体" w:cs="Times New Roman"/>
          <w:kern w:val="2"/>
          <w:sz w:val="21"/>
          <w:szCs w:val="24"/>
          <w:highlight w:val="none"/>
          <w:lang w:val="zh-CN" w:eastAsia="zh-CN" w:bidi="ar-SA"/>
        </w:rPr>
      </w:pPr>
    </w:p>
    <w:p w14:paraId="4C663B51">
      <w:pPr>
        <w:widowControl w:val="0"/>
        <w:numPr>
          <w:ilvl w:val="0"/>
          <w:numId w:val="0"/>
        </w:numPr>
        <w:adjustRightInd/>
        <w:spacing w:line="240" w:lineRule="auto"/>
        <w:ind w:firstLine="480" w:firstLineChars="200"/>
        <w:jc w:val="both"/>
        <w:textAlignment w:val="auto"/>
        <w:rPr>
          <w:rFonts w:hint="eastAsia" w:ascii="宋体" w:hAnsi="宋体" w:eastAsia="宋体" w:cs="宋体"/>
          <w:kern w:val="2"/>
          <w:sz w:val="24"/>
          <w:szCs w:val="24"/>
          <w:highlight w:val="none"/>
          <w:lang w:val="zh-CN" w:eastAsia="zh-CN" w:bidi="ar-SA"/>
        </w:rPr>
      </w:pPr>
      <w:r>
        <w:rPr>
          <w:rFonts w:hint="eastAsia" w:ascii="宋体" w:hAnsi="宋体" w:eastAsia="宋体" w:cs="宋体"/>
          <w:kern w:val="2"/>
          <w:sz w:val="24"/>
          <w:szCs w:val="24"/>
          <w:highlight w:val="none"/>
          <w:lang w:val="en-US" w:eastAsia="zh-CN" w:bidi="ar-SA"/>
        </w:rPr>
        <w:t>2.2</w:t>
      </w:r>
      <w:r>
        <w:rPr>
          <w:rFonts w:hint="eastAsia" w:ascii="宋体" w:hAnsi="宋体" w:eastAsia="宋体" w:cs="宋体"/>
          <w:kern w:val="2"/>
          <w:sz w:val="24"/>
          <w:szCs w:val="24"/>
          <w:highlight w:val="none"/>
          <w:lang w:val="zh-CN" w:eastAsia="zh-CN" w:bidi="ar-SA"/>
        </w:rPr>
        <w:t>云资源租用清单</w:t>
      </w:r>
    </w:p>
    <w:p w14:paraId="7A3B8A79">
      <w:pPr>
        <w:widowControl w:val="0"/>
        <w:numPr>
          <w:ilvl w:val="0"/>
          <w:numId w:val="0"/>
        </w:numPr>
        <w:adjustRightInd/>
        <w:spacing w:line="240" w:lineRule="auto"/>
        <w:ind w:firstLine="480" w:firstLineChars="200"/>
        <w:jc w:val="both"/>
        <w:textAlignment w:val="auto"/>
        <w:rPr>
          <w:rFonts w:hint="eastAsia" w:ascii="宋体" w:hAnsi="宋体" w:eastAsia="宋体" w:cs="宋体"/>
          <w:kern w:val="2"/>
          <w:sz w:val="24"/>
          <w:szCs w:val="24"/>
          <w:highlight w:val="none"/>
          <w:lang w:val="zh-CN" w:eastAsia="zh-CN" w:bidi="ar-SA"/>
        </w:rPr>
      </w:pPr>
    </w:p>
    <w:tbl>
      <w:tblPr>
        <w:tblStyle w:val="4"/>
        <w:tblW w:w="8296" w:type="dxa"/>
        <w:jc w:val="center"/>
        <w:tblLayout w:type="fixed"/>
        <w:tblCellMar>
          <w:top w:w="0" w:type="dxa"/>
          <w:left w:w="108" w:type="dxa"/>
          <w:bottom w:w="0" w:type="dxa"/>
          <w:right w:w="108" w:type="dxa"/>
        </w:tblCellMar>
      </w:tblPr>
      <w:tblGrid>
        <w:gridCol w:w="1343"/>
        <w:gridCol w:w="1782"/>
        <w:gridCol w:w="3102"/>
        <w:gridCol w:w="1057"/>
        <w:gridCol w:w="1012"/>
      </w:tblGrid>
      <w:tr w14:paraId="54558595">
        <w:tblPrEx>
          <w:tblCellMar>
            <w:top w:w="0" w:type="dxa"/>
            <w:left w:w="108" w:type="dxa"/>
            <w:bottom w:w="0" w:type="dxa"/>
            <w:right w:w="108" w:type="dxa"/>
          </w:tblCellMar>
        </w:tblPrEx>
        <w:trPr>
          <w:trHeight w:val="510" w:hRule="atLeast"/>
          <w:jc w:val="center"/>
        </w:trPr>
        <w:tc>
          <w:tcPr>
            <w:tcW w:w="8296" w:type="dxa"/>
            <w:gridSpan w:val="5"/>
            <w:tcBorders>
              <w:top w:val="single" w:color="000000" w:sz="4" w:space="0"/>
              <w:left w:val="single" w:color="000000" w:sz="4" w:space="0"/>
              <w:bottom w:val="single" w:color="000000" w:sz="4" w:space="0"/>
              <w:right w:val="single" w:color="000000" w:sz="4" w:space="0"/>
            </w:tcBorders>
            <w:shd w:val="clear" w:color="auto" w:fill="D9D9D9"/>
            <w:noWrap w:val="0"/>
            <w:vAlign w:val="center"/>
          </w:tcPr>
          <w:p w14:paraId="6423F667">
            <w:pPr>
              <w:keepNext w:val="0"/>
              <w:keepLines w:val="0"/>
              <w:pageBreakBefore w:val="0"/>
              <w:widowControl/>
              <w:kinsoku/>
              <w:wordWrap/>
              <w:overflowPunct/>
              <w:topLinePunct w:val="0"/>
              <w:autoSpaceDE/>
              <w:autoSpaceDN/>
              <w:bidi w:val="0"/>
              <w:adjustRightInd/>
              <w:snapToGrid w:val="0"/>
              <w:spacing w:line="320" w:lineRule="exact"/>
              <w:ind w:left="0" w:leftChars="0" w:right="0" w:rightChars="0" w:firstLine="0" w:firstLineChars="0"/>
              <w:jc w:val="center"/>
              <w:textAlignment w:val="center"/>
              <w:outlineLvl w:val="9"/>
              <w:rPr>
                <w:rFonts w:hint="eastAsia" w:ascii="宋体" w:hAnsi="宋体" w:eastAsia="宋体" w:cs="宋体"/>
                <w:b/>
                <w:bCs/>
                <w:color w:val="auto"/>
                <w:kern w:val="0"/>
                <w:sz w:val="22"/>
                <w:szCs w:val="22"/>
                <w:highlight w:val="none"/>
              </w:rPr>
            </w:pPr>
            <w:r>
              <w:rPr>
                <w:rFonts w:hint="eastAsia" w:ascii="宋体" w:hAnsi="宋体" w:eastAsia="宋体" w:cs="宋体"/>
                <w:b w:val="0"/>
                <w:bCs w:val="0"/>
                <w:sz w:val="24"/>
                <w:szCs w:val="24"/>
                <w:highlight w:val="none"/>
              </w:rPr>
              <w:t>政务云资源-云计算</w:t>
            </w:r>
            <w:r>
              <w:rPr>
                <w:rFonts w:hint="eastAsia" w:ascii="宋体" w:hAnsi="宋体" w:eastAsia="宋体" w:cs="宋体"/>
                <w:b w:val="0"/>
                <w:bCs w:val="0"/>
                <w:sz w:val="24"/>
                <w:szCs w:val="24"/>
                <w:highlight w:val="none"/>
                <w:lang w:val="en-US" w:eastAsia="zh-CN"/>
              </w:rPr>
              <w:t>资源</w:t>
            </w:r>
            <w:r>
              <w:rPr>
                <w:rFonts w:hint="eastAsia" w:ascii="宋体" w:hAnsi="宋体" w:eastAsia="宋体" w:cs="宋体"/>
                <w:b w:val="0"/>
                <w:bCs w:val="0"/>
                <w:sz w:val="24"/>
                <w:szCs w:val="24"/>
                <w:highlight w:val="none"/>
              </w:rPr>
              <w:t>清单</w:t>
            </w:r>
          </w:p>
        </w:tc>
      </w:tr>
      <w:tr w14:paraId="14938A0D">
        <w:tblPrEx>
          <w:tblCellMar>
            <w:top w:w="0" w:type="dxa"/>
            <w:left w:w="108" w:type="dxa"/>
            <w:bottom w:w="0" w:type="dxa"/>
            <w:right w:w="108" w:type="dxa"/>
          </w:tblCellMar>
        </w:tblPrEx>
        <w:trPr>
          <w:trHeight w:val="510" w:hRule="atLeast"/>
          <w:jc w:val="center"/>
        </w:trPr>
        <w:tc>
          <w:tcPr>
            <w:tcW w:w="1343" w:type="dxa"/>
            <w:tcBorders>
              <w:top w:val="single" w:color="000000" w:sz="4" w:space="0"/>
              <w:left w:val="single" w:color="000000" w:sz="4" w:space="0"/>
              <w:bottom w:val="single" w:color="000000" w:sz="4" w:space="0"/>
              <w:right w:val="single" w:color="000000" w:sz="4" w:space="0"/>
            </w:tcBorders>
            <w:shd w:val="clear" w:color="auto" w:fill="D9D9D9"/>
            <w:noWrap w:val="0"/>
            <w:vAlign w:val="center"/>
          </w:tcPr>
          <w:p w14:paraId="2AFCD73E">
            <w:pPr>
              <w:keepNext w:val="0"/>
              <w:keepLines w:val="0"/>
              <w:pageBreakBefore w:val="0"/>
              <w:widowControl/>
              <w:kinsoku/>
              <w:wordWrap/>
              <w:overflowPunct/>
              <w:topLinePunct w:val="0"/>
              <w:autoSpaceDE/>
              <w:autoSpaceDN/>
              <w:bidi w:val="0"/>
              <w:adjustRightInd/>
              <w:snapToGrid w:val="0"/>
              <w:spacing w:line="320" w:lineRule="exact"/>
              <w:ind w:left="0" w:leftChars="0" w:right="0" w:rightChars="0" w:firstLine="0" w:firstLineChars="0"/>
              <w:jc w:val="center"/>
              <w:textAlignment w:val="center"/>
              <w:outlineLvl w:val="9"/>
              <w:rPr>
                <w:rFonts w:hint="eastAsia" w:ascii="宋体" w:hAnsi="宋体" w:eastAsia="宋体" w:cs="宋体"/>
                <w:b/>
                <w:bCs/>
                <w:color w:val="auto"/>
                <w:sz w:val="22"/>
                <w:szCs w:val="22"/>
                <w:highlight w:val="none"/>
              </w:rPr>
            </w:pPr>
            <w:r>
              <w:rPr>
                <w:rFonts w:hint="eastAsia" w:ascii="宋体" w:hAnsi="宋体" w:eastAsia="宋体" w:cs="宋体"/>
                <w:b/>
                <w:bCs/>
                <w:color w:val="auto"/>
                <w:kern w:val="0"/>
                <w:sz w:val="22"/>
                <w:szCs w:val="22"/>
                <w:highlight w:val="none"/>
              </w:rPr>
              <w:t>服务类别</w:t>
            </w:r>
          </w:p>
        </w:tc>
        <w:tc>
          <w:tcPr>
            <w:tcW w:w="1782" w:type="dxa"/>
            <w:tcBorders>
              <w:top w:val="single" w:color="000000" w:sz="4" w:space="0"/>
              <w:left w:val="nil"/>
              <w:bottom w:val="single" w:color="000000" w:sz="4" w:space="0"/>
              <w:right w:val="single" w:color="000000" w:sz="4" w:space="0"/>
            </w:tcBorders>
            <w:shd w:val="clear" w:color="auto" w:fill="D9D9D9"/>
            <w:noWrap w:val="0"/>
            <w:vAlign w:val="center"/>
          </w:tcPr>
          <w:p w14:paraId="5739090E">
            <w:pPr>
              <w:keepNext w:val="0"/>
              <w:keepLines w:val="0"/>
              <w:pageBreakBefore w:val="0"/>
              <w:widowControl/>
              <w:kinsoku/>
              <w:wordWrap/>
              <w:overflowPunct/>
              <w:topLinePunct w:val="0"/>
              <w:autoSpaceDE/>
              <w:autoSpaceDN/>
              <w:bidi w:val="0"/>
              <w:adjustRightInd/>
              <w:snapToGrid w:val="0"/>
              <w:spacing w:line="320" w:lineRule="exact"/>
              <w:ind w:left="0" w:leftChars="0" w:right="0" w:rightChars="0" w:firstLine="0" w:firstLineChars="0"/>
              <w:jc w:val="center"/>
              <w:textAlignment w:val="center"/>
              <w:outlineLvl w:val="9"/>
              <w:rPr>
                <w:rFonts w:hint="eastAsia" w:ascii="宋体" w:hAnsi="宋体" w:eastAsia="宋体" w:cs="宋体"/>
                <w:b/>
                <w:bCs/>
                <w:color w:val="auto"/>
                <w:sz w:val="22"/>
                <w:szCs w:val="22"/>
                <w:highlight w:val="none"/>
              </w:rPr>
            </w:pPr>
            <w:r>
              <w:rPr>
                <w:rFonts w:hint="eastAsia" w:ascii="宋体" w:hAnsi="宋体" w:eastAsia="宋体" w:cs="宋体"/>
                <w:b/>
                <w:bCs/>
                <w:color w:val="auto"/>
                <w:kern w:val="0"/>
                <w:sz w:val="22"/>
                <w:szCs w:val="22"/>
                <w:highlight w:val="none"/>
              </w:rPr>
              <w:t>服务子类</w:t>
            </w:r>
          </w:p>
        </w:tc>
        <w:tc>
          <w:tcPr>
            <w:tcW w:w="3102" w:type="dxa"/>
            <w:tcBorders>
              <w:top w:val="single" w:color="000000" w:sz="4" w:space="0"/>
              <w:left w:val="nil"/>
              <w:bottom w:val="single" w:color="000000" w:sz="4" w:space="0"/>
              <w:right w:val="single" w:color="000000" w:sz="4" w:space="0"/>
            </w:tcBorders>
            <w:shd w:val="clear" w:color="auto" w:fill="D9D9D9"/>
            <w:noWrap w:val="0"/>
            <w:vAlign w:val="center"/>
          </w:tcPr>
          <w:p w14:paraId="13D59232">
            <w:pPr>
              <w:keepNext w:val="0"/>
              <w:keepLines w:val="0"/>
              <w:pageBreakBefore w:val="0"/>
              <w:widowControl/>
              <w:kinsoku/>
              <w:wordWrap/>
              <w:overflowPunct/>
              <w:topLinePunct w:val="0"/>
              <w:autoSpaceDE/>
              <w:autoSpaceDN/>
              <w:bidi w:val="0"/>
              <w:adjustRightInd/>
              <w:snapToGrid w:val="0"/>
              <w:spacing w:line="320" w:lineRule="exact"/>
              <w:ind w:left="0" w:leftChars="0" w:right="0" w:rightChars="0" w:firstLine="0" w:firstLineChars="0"/>
              <w:jc w:val="left"/>
              <w:textAlignment w:val="center"/>
              <w:outlineLvl w:val="9"/>
              <w:rPr>
                <w:rFonts w:hint="eastAsia" w:ascii="宋体" w:hAnsi="宋体" w:eastAsia="宋体" w:cs="宋体"/>
                <w:b/>
                <w:bCs/>
                <w:color w:val="auto"/>
                <w:sz w:val="22"/>
                <w:szCs w:val="22"/>
                <w:highlight w:val="none"/>
              </w:rPr>
            </w:pPr>
            <w:r>
              <w:rPr>
                <w:rFonts w:hint="eastAsia" w:ascii="宋体" w:hAnsi="宋体" w:eastAsia="宋体" w:cs="宋体"/>
                <w:b/>
                <w:bCs/>
                <w:color w:val="auto"/>
                <w:kern w:val="0"/>
                <w:sz w:val="22"/>
                <w:szCs w:val="22"/>
                <w:highlight w:val="none"/>
              </w:rPr>
              <w:t>服务项</w:t>
            </w:r>
          </w:p>
        </w:tc>
        <w:tc>
          <w:tcPr>
            <w:tcW w:w="1057" w:type="dxa"/>
            <w:tcBorders>
              <w:top w:val="single" w:color="000000" w:sz="4" w:space="0"/>
              <w:left w:val="nil"/>
              <w:bottom w:val="single" w:color="000000" w:sz="4" w:space="0"/>
              <w:right w:val="single" w:color="000000" w:sz="4" w:space="0"/>
            </w:tcBorders>
            <w:shd w:val="clear" w:color="auto" w:fill="D9D9D9"/>
            <w:noWrap w:val="0"/>
            <w:vAlign w:val="center"/>
          </w:tcPr>
          <w:p w14:paraId="67D78CE4">
            <w:pPr>
              <w:keepNext w:val="0"/>
              <w:keepLines w:val="0"/>
              <w:pageBreakBefore w:val="0"/>
              <w:widowControl/>
              <w:kinsoku/>
              <w:wordWrap/>
              <w:overflowPunct/>
              <w:topLinePunct w:val="0"/>
              <w:autoSpaceDE/>
              <w:autoSpaceDN/>
              <w:bidi w:val="0"/>
              <w:adjustRightInd/>
              <w:snapToGrid w:val="0"/>
              <w:spacing w:line="320" w:lineRule="exact"/>
              <w:ind w:left="0" w:leftChars="0" w:right="0" w:rightChars="0" w:firstLine="0" w:firstLineChars="0"/>
              <w:jc w:val="center"/>
              <w:textAlignment w:val="center"/>
              <w:outlineLvl w:val="9"/>
              <w:rPr>
                <w:rFonts w:hint="eastAsia" w:ascii="宋体" w:hAnsi="宋体" w:eastAsia="宋体" w:cs="宋体"/>
                <w:b/>
                <w:bCs/>
                <w:color w:val="auto"/>
                <w:sz w:val="22"/>
                <w:szCs w:val="22"/>
                <w:highlight w:val="none"/>
              </w:rPr>
            </w:pPr>
            <w:r>
              <w:rPr>
                <w:rFonts w:hint="eastAsia" w:ascii="宋体" w:hAnsi="宋体" w:eastAsia="宋体" w:cs="宋体"/>
                <w:b/>
                <w:bCs/>
                <w:color w:val="auto"/>
                <w:kern w:val="0"/>
                <w:sz w:val="22"/>
                <w:szCs w:val="22"/>
                <w:highlight w:val="none"/>
              </w:rPr>
              <w:t>单位</w:t>
            </w:r>
          </w:p>
        </w:tc>
        <w:tc>
          <w:tcPr>
            <w:tcW w:w="1012" w:type="dxa"/>
            <w:tcBorders>
              <w:top w:val="single" w:color="000000" w:sz="4" w:space="0"/>
              <w:left w:val="nil"/>
              <w:bottom w:val="single" w:color="000000" w:sz="4" w:space="0"/>
              <w:right w:val="single" w:color="000000" w:sz="4" w:space="0"/>
            </w:tcBorders>
            <w:shd w:val="clear" w:color="auto" w:fill="D9D9D9"/>
            <w:noWrap w:val="0"/>
            <w:vAlign w:val="center"/>
          </w:tcPr>
          <w:p w14:paraId="11074034">
            <w:pPr>
              <w:keepNext w:val="0"/>
              <w:keepLines w:val="0"/>
              <w:pageBreakBefore w:val="0"/>
              <w:widowControl/>
              <w:kinsoku/>
              <w:wordWrap/>
              <w:overflowPunct/>
              <w:topLinePunct w:val="0"/>
              <w:autoSpaceDE/>
              <w:autoSpaceDN/>
              <w:bidi w:val="0"/>
              <w:adjustRightInd/>
              <w:snapToGrid w:val="0"/>
              <w:spacing w:line="320" w:lineRule="exact"/>
              <w:ind w:left="0" w:leftChars="0" w:right="0" w:rightChars="0" w:firstLine="0" w:firstLineChars="0"/>
              <w:jc w:val="center"/>
              <w:textAlignment w:val="center"/>
              <w:outlineLvl w:val="9"/>
              <w:rPr>
                <w:rFonts w:hint="eastAsia" w:ascii="宋体" w:hAnsi="宋体" w:eastAsia="宋体" w:cs="宋体"/>
                <w:b/>
                <w:bCs/>
                <w:color w:val="auto"/>
                <w:sz w:val="22"/>
                <w:szCs w:val="22"/>
                <w:highlight w:val="none"/>
              </w:rPr>
            </w:pPr>
            <w:r>
              <w:rPr>
                <w:rFonts w:hint="eastAsia" w:ascii="宋体" w:hAnsi="宋体" w:eastAsia="宋体" w:cs="宋体"/>
                <w:b/>
                <w:bCs/>
                <w:color w:val="auto"/>
                <w:kern w:val="0"/>
                <w:sz w:val="22"/>
                <w:szCs w:val="22"/>
                <w:highlight w:val="none"/>
              </w:rPr>
              <w:t>数量</w:t>
            </w:r>
          </w:p>
        </w:tc>
      </w:tr>
      <w:tr w14:paraId="3B48001F">
        <w:tblPrEx>
          <w:tblCellMar>
            <w:top w:w="0" w:type="dxa"/>
            <w:left w:w="108" w:type="dxa"/>
            <w:bottom w:w="0" w:type="dxa"/>
            <w:right w:w="108" w:type="dxa"/>
          </w:tblCellMar>
        </w:tblPrEx>
        <w:trPr>
          <w:trHeight w:val="330" w:hRule="atLeast"/>
          <w:jc w:val="center"/>
        </w:trPr>
        <w:tc>
          <w:tcPr>
            <w:tcW w:w="1343" w:type="dxa"/>
            <w:vMerge w:val="restart"/>
            <w:tcBorders>
              <w:top w:val="nil"/>
              <w:left w:val="single" w:color="000000" w:sz="4" w:space="0"/>
              <w:right w:val="single" w:color="000000" w:sz="4" w:space="0"/>
            </w:tcBorders>
            <w:shd w:val="clear" w:color="auto" w:fill="auto"/>
            <w:noWrap w:val="0"/>
            <w:vAlign w:val="center"/>
          </w:tcPr>
          <w:p w14:paraId="10C1DF8D">
            <w:pPr>
              <w:keepNext w:val="0"/>
              <w:keepLines w:val="0"/>
              <w:pageBreakBefore w:val="0"/>
              <w:widowControl/>
              <w:kinsoku/>
              <w:wordWrap/>
              <w:overflowPunct/>
              <w:topLinePunct w:val="0"/>
              <w:autoSpaceDE/>
              <w:autoSpaceDN/>
              <w:bidi w:val="0"/>
              <w:adjustRightInd/>
              <w:snapToGrid w:val="0"/>
              <w:spacing w:line="320" w:lineRule="exact"/>
              <w:ind w:left="0" w:leftChars="0" w:right="0" w:rightChars="0" w:firstLine="0" w:firstLineChars="0"/>
              <w:jc w:val="center"/>
              <w:textAlignment w:val="center"/>
              <w:outlineLvl w:val="9"/>
              <w:rPr>
                <w:rFonts w:hint="eastAsia" w:ascii="宋体" w:hAnsi="宋体" w:eastAsia="宋体" w:cs="宋体"/>
                <w:b/>
                <w:bCs/>
                <w:color w:val="auto"/>
                <w:sz w:val="22"/>
                <w:szCs w:val="22"/>
                <w:highlight w:val="none"/>
              </w:rPr>
            </w:pPr>
            <w:r>
              <w:rPr>
                <w:rFonts w:hint="eastAsia" w:ascii="宋体" w:hAnsi="宋体" w:eastAsia="宋体" w:cs="宋体"/>
                <w:b/>
                <w:bCs/>
                <w:color w:val="auto"/>
                <w:kern w:val="0"/>
                <w:sz w:val="22"/>
                <w:szCs w:val="22"/>
                <w:highlight w:val="none"/>
              </w:rPr>
              <w:t>计算服务</w:t>
            </w:r>
          </w:p>
        </w:tc>
        <w:tc>
          <w:tcPr>
            <w:tcW w:w="1782" w:type="dxa"/>
            <w:vMerge w:val="restart"/>
            <w:tcBorders>
              <w:top w:val="nil"/>
              <w:left w:val="nil"/>
              <w:bottom w:val="single" w:color="000000" w:sz="4" w:space="0"/>
              <w:right w:val="single" w:color="000000" w:sz="4" w:space="0"/>
            </w:tcBorders>
            <w:shd w:val="clear" w:color="auto" w:fill="FFFFFF"/>
            <w:noWrap w:val="0"/>
            <w:vAlign w:val="center"/>
          </w:tcPr>
          <w:p w14:paraId="570BDAE2">
            <w:pPr>
              <w:keepNext w:val="0"/>
              <w:keepLines w:val="0"/>
              <w:widowControl/>
              <w:suppressLineNumbers w:val="0"/>
              <w:jc w:val="center"/>
              <w:textAlignment w:val="center"/>
              <w:rPr>
                <w:rFonts w:hint="eastAsia" w:ascii="宋体" w:hAnsi="宋体" w:eastAsia="宋体" w:cs="宋体"/>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平台云主机服务</w:t>
            </w:r>
          </w:p>
        </w:tc>
        <w:tc>
          <w:tcPr>
            <w:tcW w:w="3102" w:type="dxa"/>
            <w:tcBorders>
              <w:top w:val="single" w:color="000000" w:sz="4" w:space="0"/>
              <w:left w:val="nil"/>
              <w:bottom w:val="single" w:color="000000" w:sz="4" w:space="0"/>
              <w:right w:val="single" w:color="000000" w:sz="4" w:space="0"/>
            </w:tcBorders>
            <w:shd w:val="clear" w:color="auto" w:fill="FFFFFF"/>
            <w:noWrap w:val="0"/>
            <w:vAlign w:val="center"/>
          </w:tcPr>
          <w:p w14:paraId="2650038F">
            <w:pPr>
              <w:keepNext w:val="0"/>
              <w:keepLines w:val="0"/>
              <w:widowControl/>
              <w:suppressLineNumbers w:val="0"/>
              <w:jc w:val="left"/>
              <w:textAlignment w:val="center"/>
              <w:rPr>
                <w:rFonts w:hint="eastAsia" w:ascii="宋体" w:hAnsi="宋体" w:eastAsia="宋体" w:cs="宋体"/>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vCPU（vCPU ARM架构主频不低于2.4GHz，C86和x86主频不低于2.2GHz，平均虚拟化率，即物理CPU/虚拟CPU≥1/4，虚拟CPU利用率不低于物理CPU的25% ）</w:t>
            </w:r>
          </w:p>
        </w:tc>
        <w:tc>
          <w:tcPr>
            <w:tcW w:w="1057" w:type="dxa"/>
            <w:tcBorders>
              <w:top w:val="single" w:color="000000" w:sz="4" w:space="0"/>
              <w:left w:val="nil"/>
              <w:bottom w:val="single" w:color="000000" w:sz="4" w:space="0"/>
              <w:right w:val="single" w:color="000000" w:sz="4" w:space="0"/>
            </w:tcBorders>
            <w:shd w:val="clear" w:color="auto" w:fill="FFFFFF"/>
            <w:noWrap w:val="0"/>
            <w:vAlign w:val="center"/>
          </w:tcPr>
          <w:p w14:paraId="6C05F8B3">
            <w:pPr>
              <w:keepNext w:val="0"/>
              <w:keepLines w:val="0"/>
              <w:widowControl/>
              <w:suppressLineNumbers w:val="0"/>
              <w:jc w:val="center"/>
              <w:textAlignment w:val="center"/>
              <w:rPr>
                <w:rFonts w:hint="default" w:ascii="宋体" w:hAnsi="宋体" w:eastAsia="宋体" w:cs="宋体"/>
                <w:color w:val="auto"/>
                <w:sz w:val="22"/>
                <w:szCs w:val="22"/>
                <w:highlight w:val="none"/>
                <w:lang w:val="en-US"/>
              </w:rPr>
            </w:pPr>
            <w:r>
              <w:rPr>
                <w:rFonts w:hint="eastAsia" w:ascii="宋体" w:hAnsi="宋体" w:eastAsia="宋体" w:cs="宋体"/>
                <w:i w:val="0"/>
                <w:iCs w:val="0"/>
                <w:color w:val="auto"/>
                <w:kern w:val="0"/>
                <w:sz w:val="22"/>
                <w:szCs w:val="22"/>
                <w:highlight w:val="none"/>
                <w:u w:val="none"/>
                <w:lang w:val="en-US" w:eastAsia="zh-CN" w:bidi="ar"/>
              </w:rPr>
              <w:t>1 CPU/月</w:t>
            </w:r>
          </w:p>
        </w:tc>
        <w:tc>
          <w:tcPr>
            <w:tcW w:w="1012" w:type="dxa"/>
            <w:tcBorders>
              <w:top w:val="single" w:color="000000" w:sz="4" w:space="0"/>
              <w:left w:val="nil"/>
              <w:bottom w:val="single" w:color="000000" w:sz="4" w:space="0"/>
              <w:right w:val="single" w:color="000000" w:sz="4" w:space="0"/>
            </w:tcBorders>
            <w:shd w:val="clear" w:color="auto" w:fill="FFFFFF"/>
            <w:noWrap w:val="0"/>
            <w:vAlign w:val="center"/>
          </w:tcPr>
          <w:p w14:paraId="5C9BBDBF">
            <w:pPr>
              <w:keepNext w:val="0"/>
              <w:keepLines w:val="0"/>
              <w:widowControl/>
              <w:suppressLineNumbers w:val="0"/>
              <w:jc w:val="center"/>
              <w:textAlignment w:val="center"/>
              <w:rPr>
                <w:rFonts w:hint="eastAsia" w:ascii="宋体" w:hAnsi="宋体" w:eastAsia="宋体" w:cs="宋体"/>
                <w:color w:val="auto"/>
                <w:kern w:val="0"/>
                <w:sz w:val="22"/>
                <w:szCs w:val="22"/>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1866</w:t>
            </w:r>
          </w:p>
        </w:tc>
      </w:tr>
      <w:tr w14:paraId="17B03D88">
        <w:tblPrEx>
          <w:tblCellMar>
            <w:top w:w="0" w:type="dxa"/>
            <w:left w:w="108" w:type="dxa"/>
            <w:bottom w:w="0" w:type="dxa"/>
            <w:right w:w="108" w:type="dxa"/>
          </w:tblCellMar>
        </w:tblPrEx>
        <w:trPr>
          <w:trHeight w:val="330" w:hRule="atLeast"/>
          <w:jc w:val="center"/>
        </w:trPr>
        <w:tc>
          <w:tcPr>
            <w:tcW w:w="1343" w:type="dxa"/>
            <w:vMerge w:val="continue"/>
            <w:tcBorders>
              <w:left w:val="single" w:color="000000" w:sz="4" w:space="0"/>
              <w:right w:val="single" w:color="000000" w:sz="4" w:space="0"/>
            </w:tcBorders>
            <w:shd w:val="clear" w:color="auto" w:fill="auto"/>
            <w:noWrap w:val="0"/>
            <w:vAlign w:val="center"/>
          </w:tcPr>
          <w:p w14:paraId="6B7A5159">
            <w:pPr>
              <w:keepNext w:val="0"/>
              <w:keepLines w:val="0"/>
              <w:pageBreakBefore w:val="0"/>
              <w:widowControl/>
              <w:kinsoku/>
              <w:wordWrap/>
              <w:overflowPunct/>
              <w:topLinePunct w:val="0"/>
              <w:autoSpaceDE/>
              <w:autoSpaceDN/>
              <w:bidi w:val="0"/>
              <w:adjustRightInd/>
              <w:snapToGrid w:val="0"/>
              <w:spacing w:line="320" w:lineRule="exact"/>
              <w:ind w:left="0" w:leftChars="0" w:right="0" w:rightChars="0" w:firstLine="0" w:firstLineChars="0"/>
              <w:jc w:val="left"/>
              <w:outlineLvl w:val="9"/>
              <w:rPr>
                <w:rFonts w:hint="eastAsia" w:ascii="宋体" w:hAnsi="宋体" w:eastAsia="宋体" w:cs="宋体"/>
                <w:b/>
                <w:bCs/>
                <w:color w:val="auto"/>
                <w:sz w:val="22"/>
                <w:szCs w:val="22"/>
                <w:highlight w:val="none"/>
              </w:rPr>
            </w:pPr>
          </w:p>
        </w:tc>
        <w:tc>
          <w:tcPr>
            <w:tcW w:w="1782" w:type="dxa"/>
            <w:vMerge w:val="continue"/>
            <w:tcBorders>
              <w:top w:val="nil"/>
              <w:left w:val="nil"/>
              <w:bottom w:val="single" w:color="000000" w:sz="4" w:space="0"/>
              <w:right w:val="single" w:color="000000" w:sz="4" w:space="0"/>
            </w:tcBorders>
            <w:shd w:val="clear" w:color="auto" w:fill="auto"/>
            <w:noWrap w:val="0"/>
            <w:vAlign w:val="center"/>
          </w:tcPr>
          <w:p w14:paraId="2B8C3F5F">
            <w:pPr>
              <w:jc w:val="center"/>
              <w:rPr>
                <w:rFonts w:hint="eastAsia" w:ascii="宋体" w:hAnsi="宋体" w:eastAsia="宋体" w:cs="宋体"/>
                <w:color w:val="auto"/>
                <w:sz w:val="22"/>
                <w:szCs w:val="22"/>
                <w:highlight w:val="none"/>
              </w:rPr>
            </w:pPr>
          </w:p>
        </w:tc>
        <w:tc>
          <w:tcPr>
            <w:tcW w:w="3102" w:type="dxa"/>
            <w:tcBorders>
              <w:top w:val="single" w:color="000000" w:sz="4" w:space="0"/>
              <w:left w:val="nil"/>
              <w:bottom w:val="single" w:color="000000" w:sz="4" w:space="0"/>
              <w:right w:val="single" w:color="000000" w:sz="4" w:space="0"/>
            </w:tcBorders>
            <w:shd w:val="clear" w:color="auto" w:fill="FFFFFF"/>
            <w:noWrap w:val="0"/>
            <w:vAlign w:val="center"/>
          </w:tcPr>
          <w:p w14:paraId="1B473D3D">
            <w:pPr>
              <w:keepNext w:val="0"/>
              <w:keepLines w:val="0"/>
              <w:widowControl/>
              <w:suppressLineNumbers w:val="0"/>
              <w:jc w:val="left"/>
              <w:textAlignment w:val="center"/>
              <w:rPr>
                <w:rFonts w:hint="eastAsia" w:ascii="宋体" w:hAnsi="宋体" w:eastAsia="宋体" w:cs="宋体"/>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内存</w:t>
            </w:r>
          </w:p>
        </w:tc>
        <w:tc>
          <w:tcPr>
            <w:tcW w:w="1057" w:type="dxa"/>
            <w:tcBorders>
              <w:top w:val="single" w:color="000000" w:sz="4" w:space="0"/>
              <w:left w:val="nil"/>
              <w:bottom w:val="single" w:color="000000" w:sz="4" w:space="0"/>
              <w:right w:val="single" w:color="000000" w:sz="4" w:space="0"/>
            </w:tcBorders>
            <w:shd w:val="clear" w:color="auto" w:fill="FFFFFF"/>
            <w:noWrap w:val="0"/>
            <w:vAlign w:val="center"/>
          </w:tcPr>
          <w:p w14:paraId="10B8415D">
            <w:pPr>
              <w:keepNext w:val="0"/>
              <w:keepLines w:val="0"/>
              <w:widowControl/>
              <w:suppressLineNumbers w:val="0"/>
              <w:jc w:val="center"/>
              <w:textAlignment w:val="center"/>
              <w:rPr>
                <w:rFonts w:hint="default" w:ascii="宋体" w:hAnsi="宋体" w:eastAsia="宋体" w:cs="宋体"/>
                <w:color w:val="auto"/>
                <w:sz w:val="22"/>
                <w:szCs w:val="22"/>
                <w:highlight w:val="none"/>
                <w:lang w:val="en-US"/>
              </w:rPr>
            </w:pPr>
            <w:r>
              <w:rPr>
                <w:rFonts w:hint="eastAsia" w:ascii="宋体" w:hAnsi="宋体" w:eastAsia="宋体" w:cs="宋体"/>
                <w:i w:val="0"/>
                <w:iCs w:val="0"/>
                <w:color w:val="auto"/>
                <w:kern w:val="0"/>
                <w:sz w:val="22"/>
                <w:szCs w:val="22"/>
                <w:highlight w:val="none"/>
                <w:u w:val="none"/>
                <w:lang w:val="en-US" w:eastAsia="zh-CN" w:bidi="ar"/>
              </w:rPr>
              <w:t>1 GB/月</w:t>
            </w:r>
          </w:p>
        </w:tc>
        <w:tc>
          <w:tcPr>
            <w:tcW w:w="1012" w:type="dxa"/>
            <w:tcBorders>
              <w:top w:val="single" w:color="000000" w:sz="4" w:space="0"/>
              <w:left w:val="nil"/>
              <w:bottom w:val="single" w:color="000000" w:sz="4" w:space="0"/>
              <w:right w:val="single" w:color="000000" w:sz="4" w:space="0"/>
            </w:tcBorders>
            <w:shd w:val="clear" w:color="auto" w:fill="FFFFFF"/>
            <w:noWrap w:val="0"/>
            <w:vAlign w:val="center"/>
          </w:tcPr>
          <w:p w14:paraId="13988CD5">
            <w:pPr>
              <w:keepNext w:val="0"/>
              <w:keepLines w:val="0"/>
              <w:widowControl/>
              <w:suppressLineNumbers w:val="0"/>
              <w:jc w:val="center"/>
              <w:textAlignment w:val="center"/>
              <w:rPr>
                <w:rFonts w:hint="default" w:ascii="宋体" w:hAnsi="宋体" w:eastAsia="宋体" w:cs="宋体"/>
                <w:color w:val="auto"/>
                <w:kern w:val="0"/>
                <w:sz w:val="22"/>
                <w:szCs w:val="22"/>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5576</w:t>
            </w:r>
          </w:p>
        </w:tc>
      </w:tr>
      <w:tr w14:paraId="7E93BDC8">
        <w:tblPrEx>
          <w:tblCellMar>
            <w:top w:w="0" w:type="dxa"/>
            <w:left w:w="108" w:type="dxa"/>
            <w:bottom w:w="0" w:type="dxa"/>
            <w:right w:w="108" w:type="dxa"/>
          </w:tblCellMar>
        </w:tblPrEx>
        <w:trPr>
          <w:trHeight w:val="855" w:hRule="atLeast"/>
          <w:jc w:val="center"/>
        </w:trPr>
        <w:tc>
          <w:tcPr>
            <w:tcW w:w="1343" w:type="dxa"/>
            <w:vMerge w:val="continue"/>
            <w:tcBorders>
              <w:left w:val="single" w:color="000000" w:sz="4" w:space="0"/>
              <w:right w:val="single" w:color="000000" w:sz="4" w:space="0"/>
            </w:tcBorders>
            <w:shd w:val="clear" w:color="auto" w:fill="auto"/>
            <w:noWrap w:val="0"/>
            <w:vAlign w:val="center"/>
          </w:tcPr>
          <w:p w14:paraId="1C107DA2">
            <w:pPr>
              <w:keepNext w:val="0"/>
              <w:keepLines w:val="0"/>
              <w:pageBreakBefore w:val="0"/>
              <w:widowControl/>
              <w:kinsoku/>
              <w:wordWrap/>
              <w:overflowPunct/>
              <w:topLinePunct w:val="0"/>
              <w:autoSpaceDE/>
              <w:autoSpaceDN/>
              <w:bidi w:val="0"/>
              <w:adjustRightInd/>
              <w:snapToGrid w:val="0"/>
              <w:spacing w:line="320" w:lineRule="exact"/>
              <w:ind w:left="0" w:leftChars="0" w:right="0" w:rightChars="0" w:firstLine="0" w:firstLineChars="0"/>
              <w:jc w:val="left"/>
              <w:outlineLvl w:val="9"/>
              <w:rPr>
                <w:rFonts w:hint="eastAsia" w:ascii="宋体" w:hAnsi="宋体" w:eastAsia="宋体" w:cs="宋体"/>
                <w:b/>
                <w:bCs/>
                <w:color w:val="auto"/>
                <w:sz w:val="22"/>
                <w:szCs w:val="22"/>
                <w:highlight w:val="none"/>
              </w:rPr>
            </w:pPr>
          </w:p>
        </w:tc>
        <w:tc>
          <w:tcPr>
            <w:tcW w:w="1782" w:type="dxa"/>
            <w:tcBorders>
              <w:top w:val="single" w:color="000000" w:sz="4" w:space="0"/>
              <w:left w:val="nil"/>
              <w:right w:val="single" w:color="000000" w:sz="4" w:space="0"/>
            </w:tcBorders>
            <w:shd w:val="clear" w:color="auto" w:fill="FFFFFF"/>
            <w:noWrap w:val="0"/>
            <w:vAlign w:val="center"/>
          </w:tcPr>
          <w:p w14:paraId="39F16110">
            <w:pPr>
              <w:keepNext w:val="0"/>
              <w:keepLines w:val="0"/>
              <w:widowControl/>
              <w:suppressLineNumbers w:val="0"/>
              <w:jc w:val="center"/>
              <w:textAlignment w:val="center"/>
              <w:rPr>
                <w:rFonts w:hint="eastAsia" w:ascii="宋体" w:hAnsi="宋体" w:eastAsia="宋体" w:cs="宋体"/>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物理服务器租用服务</w:t>
            </w:r>
          </w:p>
        </w:tc>
        <w:tc>
          <w:tcPr>
            <w:tcW w:w="3102" w:type="dxa"/>
            <w:tcBorders>
              <w:top w:val="single" w:color="000000" w:sz="4" w:space="0"/>
              <w:left w:val="nil"/>
              <w:bottom w:val="single" w:color="000000" w:sz="4" w:space="0"/>
              <w:right w:val="single" w:color="000000" w:sz="4" w:space="0"/>
            </w:tcBorders>
            <w:shd w:val="clear" w:color="auto" w:fill="FFFFFF"/>
            <w:noWrap w:val="0"/>
            <w:vAlign w:val="center"/>
          </w:tcPr>
          <w:p w14:paraId="61C3F4ED">
            <w:pPr>
              <w:keepNext w:val="0"/>
              <w:keepLines w:val="0"/>
              <w:widowControl/>
              <w:suppressLineNumbers w:val="0"/>
              <w:jc w:val="left"/>
              <w:textAlignment w:val="center"/>
              <w:rPr>
                <w:rFonts w:hint="eastAsia" w:ascii="宋体" w:hAnsi="宋体" w:eastAsia="宋体" w:cs="宋体"/>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配置1：双路每CPU核数≥32核，主频≥2.0GHz，128G内存，2块600GSAS硬盘，2个HBA卡，2个万兆端口</w:t>
            </w:r>
          </w:p>
        </w:tc>
        <w:tc>
          <w:tcPr>
            <w:tcW w:w="1057" w:type="dxa"/>
            <w:tcBorders>
              <w:top w:val="single" w:color="000000" w:sz="4" w:space="0"/>
              <w:left w:val="nil"/>
              <w:bottom w:val="single" w:color="000000" w:sz="4" w:space="0"/>
              <w:right w:val="single" w:color="000000" w:sz="4" w:space="0"/>
            </w:tcBorders>
            <w:shd w:val="clear" w:color="auto" w:fill="FFFFFF"/>
            <w:noWrap w:val="0"/>
            <w:vAlign w:val="center"/>
          </w:tcPr>
          <w:p w14:paraId="345F1CC7">
            <w:pPr>
              <w:keepNext w:val="0"/>
              <w:keepLines w:val="0"/>
              <w:widowControl/>
              <w:suppressLineNumbers w:val="0"/>
              <w:jc w:val="center"/>
              <w:textAlignment w:val="center"/>
              <w:rPr>
                <w:rFonts w:hint="default" w:ascii="宋体" w:hAnsi="宋体" w:eastAsia="宋体" w:cs="宋体"/>
                <w:color w:val="auto"/>
                <w:sz w:val="22"/>
                <w:szCs w:val="22"/>
                <w:highlight w:val="none"/>
                <w:lang w:val="en-US"/>
              </w:rPr>
            </w:pPr>
            <w:r>
              <w:rPr>
                <w:rFonts w:hint="eastAsia" w:ascii="宋体" w:hAnsi="宋体" w:eastAsia="宋体" w:cs="宋体"/>
                <w:i w:val="0"/>
                <w:iCs w:val="0"/>
                <w:color w:val="auto"/>
                <w:kern w:val="0"/>
                <w:sz w:val="22"/>
                <w:szCs w:val="22"/>
                <w:highlight w:val="none"/>
                <w:u w:val="none"/>
                <w:lang w:val="en-US" w:eastAsia="zh-CN" w:bidi="ar"/>
              </w:rPr>
              <w:t>1台/月</w:t>
            </w:r>
          </w:p>
        </w:tc>
        <w:tc>
          <w:tcPr>
            <w:tcW w:w="1012" w:type="dxa"/>
            <w:tcBorders>
              <w:top w:val="single" w:color="000000" w:sz="4" w:space="0"/>
              <w:left w:val="nil"/>
              <w:bottom w:val="single" w:color="000000" w:sz="4" w:space="0"/>
              <w:right w:val="single" w:color="000000" w:sz="4" w:space="0"/>
            </w:tcBorders>
            <w:shd w:val="clear" w:color="auto" w:fill="FFFFFF"/>
            <w:noWrap w:val="0"/>
            <w:vAlign w:val="center"/>
          </w:tcPr>
          <w:p w14:paraId="0AD32763">
            <w:pPr>
              <w:keepNext w:val="0"/>
              <w:keepLines w:val="0"/>
              <w:widowControl/>
              <w:suppressLineNumbers w:val="0"/>
              <w:jc w:val="center"/>
              <w:textAlignment w:val="center"/>
              <w:rPr>
                <w:rFonts w:hint="default" w:ascii="宋体" w:hAnsi="宋体" w:eastAsia="宋体" w:cs="宋体"/>
                <w:color w:val="auto"/>
                <w:kern w:val="0"/>
                <w:sz w:val="22"/>
                <w:szCs w:val="22"/>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16</w:t>
            </w:r>
          </w:p>
        </w:tc>
      </w:tr>
      <w:tr w14:paraId="710A105C">
        <w:tblPrEx>
          <w:tblCellMar>
            <w:top w:w="0" w:type="dxa"/>
            <w:left w:w="108" w:type="dxa"/>
            <w:bottom w:w="0" w:type="dxa"/>
            <w:right w:w="108" w:type="dxa"/>
          </w:tblCellMar>
        </w:tblPrEx>
        <w:trPr>
          <w:trHeight w:val="510" w:hRule="atLeast"/>
          <w:jc w:val="center"/>
        </w:trPr>
        <w:tc>
          <w:tcPr>
            <w:tcW w:w="1343" w:type="dxa"/>
            <w:vMerge w:val="restart"/>
            <w:tcBorders>
              <w:top w:val="single" w:color="000000" w:sz="4" w:space="0"/>
              <w:left w:val="single" w:color="000000" w:sz="4" w:space="0"/>
              <w:right w:val="single" w:color="000000" w:sz="4" w:space="0"/>
            </w:tcBorders>
            <w:shd w:val="clear" w:color="auto" w:fill="auto"/>
            <w:noWrap w:val="0"/>
            <w:vAlign w:val="center"/>
          </w:tcPr>
          <w:p w14:paraId="3C0FD384">
            <w:pPr>
              <w:keepNext w:val="0"/>
              <w:keepLines w:val="0"/>
              <w:pageBreakBefore w:val="0"/>
              <w:widowControl/>
              <w:kinsoku/>
              <w:wordWrap/>
              <w:overflowPunct/>
              <w:topLinePunct w:val="0"/>
              <w:autoSpaceDE/>
              <w:autoSpaceDN/>
              <w:bidi w:val="0"/>
              <w:adjustRightInd/>
              <w:snapToGrid w:val="0"/>
              <w:spacing w:line="320" w:lineRule="exact"/>
              <w:ind w:left="0" w:leftChars="0" w:right="0" w:rightChars="0" w:firstLine="0" w:firstLineChars="0"/>
              <w:jc w:val="center"/>
              <w:textAlignment w:val="center"/>
              <w:outlineLvl w:val="9"/>
              <w:rPr>
                <w:rFonts w:hint="eastAsia" w:ascii="宋体" w:hAnsi="宋体" w:eastAsia="宋体" w:cs="宋体"/>
                <w:b/>
                <w:bCs/>
                <w:color w:val="auto"/>
                <w:sz w:val="22"/>
                <w:szCs w:val="22"/>
                <w:highlight w:val="none"/>
              </w:rPr>
            </w:pPr>
            <w:r>
              <w:rPr>
                <w:rFonts w:hint="eastAsia" w:ascii="宋体" w:hAnsi="宋体" w:eastAsia="宋体" w:cs="宋体"/>
                <w:b/>
                <w:bCs/>
                <w:color w:val="auto"/>
                <w:kern w:val="0"/>
                <w:sz w:val="22"/>
                <w:szCs w:val="22"/>
                <w:highlight w:val="none"/>
              </w:rPr>
              <w:t>存储服务</w:t>
            </w:r>
          </w:p>
        </w:tc>
        <w:tc>
          <w:tcPr>
            <w:tcW w:w="1782" w:type="dxa"/>
            <w:tcBorders>
              <w:top w:val="single" w:color="000000" w:sz="4" w:space="0"/>
              <w:left w:val="nil"/>
              <w:bottom w:val="single" w:color="000000" w:sz="4" w:space="0"/>
              <w:right w:val="single" w:color="000000" w:sz="4" w:space="0"/>
            </w:tcBorders>
            <w:shd w:val="clear" w:color="auto" w:fill="FFFFFF"/>
            <w:noWrap w:val="0"/>
            <w:vAlign w:val="center"/>
          </w:tcPr>
          <w:p w14:paraId="76F7FE18">
            <w:pPr>
              <w:keepNext w:val="0"/>
              <w:keepLines w:val="0"/>
              <w:widowControl/>
              <w:suppressLineNumbers w:val="0"/>
              <w:jc w:val="center"/>
              <w:textAlignment w:val="center"/>
              <w:rPr>
                <w:rFonts w:hint="eastAsia" w:ascii="宋体" w:hAnsi="宋体" w:eastAsia="宋体" w:cs="宋体"/>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普通性能存储</w:t>
            </w:r>
          </w:p>
        </w:tc>
        <w:tc>
          <w:tcPr>
            <w:tcW w:w="3102" w:type="dxa"/>
            <w:tcBorders>
              <w:top w:val="single" w:color="000000" w:sz="4" w:space="0"/>
              <w:left w:val="nil"/>
              <w:bottom w:val="single" w:color="000000" w:sz="4" w:space="0"/>
              <w:right w:val="single" w:color="000000" w:sz="4" w:space="0"/>
            </w:tcBorders>
            <w:shd w:val="clear" w:color="auto" w:fill="FFFFFF"/>
            <w:noWrap w:val="0"/>
            <w:vAlign w:val="center"/>
          </w:tcPr>
          <w:p w14:paraId="4A648C66">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普通存储（单盘技术指标: 单盘IOPS 2000-5000）</w:t>
            </w:r>
          </w:p>
        </w:tc>
        <w:tc>
          <w:tcPr>
            <w:tcW w:w="1057" w:type="dxa"/>
            <w:tcBorders>
              <w:top w:val="single" w:color="000000" w:sz="4" w:space="0"/>
              <w:left w:val="nil"/>
              <w:bottom w:val="single" w:color="000000" w:sz="4" w:space="0"/>
              <w:right w:val="single" w:color="000000" w:sz="4" w:space="0"/>
            </w:tcBorders>
            <w:shd w:val="clear" w:color="auto" w:fill="FFFFFF"/>
            <w:noWrap w:val="0"/>
            <w:vAlign w:val="center"/>
          </w:tcPr>
          <w:p w14:paraId="3CB2DB31">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100 GB/月</w:t>
            </w:r>
          </w:p>
        </w:tc>
        <w:tc>
          <w:tcPr>
            <w:tcW w:w="1012" w:type="dxa"/>
            <w:tcBorders>
              <w:top w:val="single" w:color="000000" w:sz="4" w:space="0"/>
              <w:left w:val="nil"/>
              <w:bottom w:val="single" w:color="000000" w:sz="4" w:space="0"/>
              <w:right w:val="single" w:color="000000" w:sz="4" w:space="0"/>
            </w:tcBorders>
            <w:shd w:val="clear" w:color="auto" w:fill="FFFFFF"/>
            <w:noWrap w:val="0"/>
            <w:vAlign w:val="center"/>
          </w:tcPr>
          <w:p w14:paraId="35F0DFDD">
            <w:pPr>
              <w:keepNext w:val="0"/>
              <w:keepLines w:val="0"/>
              <w:widowControl/>
              <w:suppressLineNumbers w:val="0"/>
              <w:jc w:val="center"/>
              <w:textAlignment w:val="center"/>
              <w:rPr>
                <w:rFonts w:hint="eastAsia" w:ascii="宋体" w:hAnsi="宋体" w:eastAsia="宋体" w:cs="宋体"/>
                <w:color w:val="auto"/>
                <w:kern w:val="0"/>
                <w:sz w:val="22"/>
                <w:szCs w:val="22"/>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400</w:t>
            </w:r>
          </w:p>
        </w:tc>
      </w:tr>
      <w:tr w14:paraId="0980CE65">
        <w:tblPrEx>
          <w:tblCellMar>
            <w:top w:w="0" w:type="dxa"/>
            <w:left w:w="108" w:type="dxa"/>
            <w:bottom w:w="0" w:type="dxa"/>
            <w:right w:w="108" w:type="dxa"/>
          </w:tblCellMar>
        </w:tblPrEx>
        <w:trPr>
          <w:trHeight w:val="510" w:hRule="atLeast"/>
          <w:jc w:val="center"/>
        </w:trPr>
        <w:tc>
          <w:tcPr>
            <w:tcW w:w="1343" w:type="dxa"/>
            <w:vMerge w:val="continue"/>
            <w:tcBorders>
              <w:left w:val="single" w:color="000000" w:sz="4" w:space="0"/>
              <w:right w:val="single" w:color="000000" w:sz="4" w:space="0"/>
            </w:tcBorders>
            <w:shd w:val="clear" w:color="auto" w:fill="auto"/>
            <w:noWrap w:val="0"/>
            <w:vAlign w:val="center"/>
          </w:tcPr>
          <w:p w14:paraId="6782E577">
            <w:pPr>
              <w:keepNext w:val="0"/>
              <w:keepLines w:val="0"/>
              <w:pageBreakBefore w:val="0"/>
              <w:widowControl/>
              <w:kinsoku/>
              <w:wordWrap/>
              <w:overflowPunct/>
              <w:topLinePunct w:val="0"/>
              <w:autoSpaceDE/>
              <w:autoSpaceDN/>
              <w:bidi w:val="0"/>
              <w:adjustRightInd/>
              <w:snapToGrid w:val="0"/>
              <w:spacing w:line="320" w:lineRule="exact"/>
              <w:ind w:left="0" w:leftChars="0" w:right="0" w:rightChars="0" w:firstLine="0" w:firstLineChars="0"/>
              <w:jc w:val="left"/>
              <w:outlineLvl w:val="9"/>
              <w:rPr>
                <w:rFonts w:hint="eastAsia" w:ascii="宋体" w:hAnsi="宋体" w:eastAsia="宋体" w:cs="宋体"/>
                <w:b/>
                <w:bCs/>
                <w:color w:val="auto"/>
                <w:sz w:val="22"/>
                <w:szCs w:val="22"/>
                <w:highlight w:val="none"/>
              </w:rPr>
            </w:pPr>
          </w:p>
        </w:tc>
        <w:tc>
          <w:tcPr>
            <w:tcW w:w="1782" w:type="dxa"/>
            <w:tcBorders>
              <w:top w:val="single" w:color="000000" w:sz="4" w:space="0"/>
              <w:left w:val="nil"/>
              <w:bottom w:val="single" w:color="000000" w:sz="4" w:space="0"/>
              <w:right w:val="single" w:color="000000" w:sz="4" w:space="0"/>
            </w:tcBorders>
            <w:shd w:val="clear" w:color="auto" w:fill="FFFFFF"/>
            <w:noWrap w:val="0"/>
            <w:vAlign w:val="center"/>
          </w:tcPr>
          <w:p w14:paraId="5737128E">
            <w:pPr>
              <w:keepNext w:val="0"/>
              <w:keepLines w:val="0"/>
              <w:widowControl/>
              <w:suppressLineNumbers w:val="0"/>
              <w:jc w:val="center"/>
              <w:textAlignment w:val="center"/>
              <w:rPr>
                <w:rFonts w:hint="eastAsia" w:ascii="宋体" w:hAnsi="宋体" w:eastAsia="宋体" w:cs="宋体"/>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高性能存储</w:t>
            </w:r>
          </w:p>
        </w:tc>
        <w:tc>
          <w:tcPr>
            <w:tcW w:w="3102" w:type="dxa"/>
            <w:tcBorders>
              <w:top w:val="single" w:color="000000" w:sz="4" w:space="0"/>
              <w:left w:val="nil"/>
              <w:bottom w:val="single" w:color="000000" w:sz="4" w:space="0"/>
              <w:right w:val="single" w:color="000000" w:sz="4" w:space="0"/>
            </w:tcBorders>
            <w:shd w:val="clear" w:color="auto" w:fill="FFFFFF"/>
            <w:noWrap w:val="0"/>
            <w:vAlign w:val="center"/>
          </w:tcPr>
          <w:p w14:paraId="731DC009">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高性能存储（单盘技术指标：单盘IOPS 10000-25000）</w:t>
            </w:r>
          </w:p>
        </w:tc>
        <w:tc>
          <w:tcPr>
            <w:tcW w:w="1057" w:type="dxa"/>
            <w:tcBorders>
              <w:top w:val="single" w:color="000000" w:sz="4" w:space="0"/>
              <w:left w:val="nil"/>
              <w:bottom w:val="single" w:color="000000" w:sz="4" w:space="0"/>
              <w:right w:val="single" w:color="000000" w:sz="4" w:space="0"/>
            </w:tcBorders>
            <w:shd w:val="clear" w:color="auto" w:fill="FFFFFF"/>
            <w:noWrap w:val="0"/>
            <w:vAlign w:val="center"/>
          </w:tcPr>
          <w:p w14:paraId="4050D923">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100 GB/月</w:t>
            </w:r>
          </w:p>
        </w:tc>
        <w:tc>
          <w:tcPr>
            <w:tcW w:w="1012" w:type="dxa"/>
            <w:tcBorders>
              <w:top w:val="single" w:color="000000" w:sz="4" w:space="0"/>
              <w:left w:val="nil"/>
              <w:bottom w:val="single" w:color="000000" w:sz="4" w:space="0"/>
              <w:right w:val="single" w:color="000000" w:sz="4" w:space="0"/>
            </w:tcBorders>
            <w:shd w:val="clear" w:color="auto" w:fill="FFFFFF"/>
            <w:noWrap w:val="0"/>
            <w:vAlign w:val="center"/>
          </w:tcPr>
          <w:p w14:paraId="27BF7ACD">
            <w:pPr>
              <w:keepNext w:val="0"/>
              <w:keepLines w:val="0"/>
              <w:widowControl/>
              <w:suppressLineNumbers w:val="0"/>
              <w:jc w:val="center"/>
              <w:textAlignment w:val="center"/>
              <w:rPr>
                <w:rFonts w:hint="eastAsia" w:ascii="宋体" w:hAnsi="宋体" w:eastAsia="宋体" w:cs="宋体"/>
                <w:color w:val="auto"/>
                <w:kern w:val="0"/>
                <w:sz w:val="22"/>
                <w:szCs w:val="22"/>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2168.8</w:t>
            </w:r>
          </w:p>
        </w:tc>
      </w:tr>
      <w:tr w14:paraId="6EB98694">
        <w:tblPrEx>
          <w:tblCellMar>
            <w:top w:w="0" w:type="dxa"/>
            <w:left w:w="108" w:type="dxa"/>
            <w:bottom w:w="0" w:type="dxa"/>
            <w:right w:w="108" w:type="dxa"/>
          </w:tblCellMar>
        </w:tblPrEx>
        <w:trPr>
          <w:trHeight w:val="510" w:hRule="atLeast"/>
          <w:jc w:val="center"/>
        </w:trPr>
        <w:tc>
          <w:tcPr>
            <w:tcW w:w="1343" w:type="dxa"/>
            <w:vMerge w:val="continue"/>
            <w:tcBorders>
              <w:left w:val="single" w:color="000000" w:sz="4" w:space="0"/>
              <w:right w:val="single" w:color="000000" w:sz="4" w:space="0"/>
            </w:tcBorders>
            <w:shd w:val="clear" w:color="auto" w:fill="auto"/>
            <w:noWrap w:val="0"/>
            <w:vAlign w:val="center"/>
          </w:tcPr>
          <w:p w14:paraId="39640877">
            <w:pPr>
              <w:keepNext w:val="0"/>
              <w:keepLines w:val="0"/>
              <w:pageBreakBefore w:val="0"/>
              <w:widowControl/>
              <w:kinsoku/>
              <w:wordWrap/>
              <w:overflowPunct/>
              <w:topLinePunct w:val="0"/>
              <w:autoSpaceDE/>
              <w:autoSpaceDN/>
              <w:bidi w:val="0"/>
              <w:adjustRightInd/>
              <w:snapToGrid w:val="0"/>
              <w:spacing w:line="320" w:lineRule="exact"/>
              <w:ind w:left="0" w:leftChars="0" w:right="0" w:rightChars="0" w:firstLine="0" w:firstLineChars="0"/>
              <w:jc w:val="left"/>
              <w:outlineLvl w:val="9"/>
              <w:rPr>
                <w:rFonts w:hint="eastAsia" w:ascii="宋体" w:hAnsi="宋体" w:eastAsia="宋体" w:cs="宋体"/>
                <w:b/>
                <w:bCs/>
                <w:color w:val="auto"/>
                <w:sz w:val="22"/>
                <w:szCs w:val="22"/>
                <w:highlight w:val="none"/>
              </w:rPr>
            </w:pPr>
          </w:p>
        </w:tc>
        <w:tc>
          <w:tcPr>
            <w:tcW w:w="1782" w:type="dxa"/>
            <w:tcBorders>
              <w:top w:val="single" w:color="000000" w:sz="4" w:space="0"/>
              <w:left w:val="nil"/>
              <w:bottom w:val="single" w:color="000000" w:sz="4" w:space="0"/>
              <w:right w:val="single" w:color="000000" w:sz="4" w:space="0"/>
            </w:tcBorders>
            <w:shd w:val="clear" w:color="auto" w:fill="FFFFFF"/>
            <w:noWrap w:val="0"/>
            <w:vAlign w:val="center"/>
          </w:tcPr>
          <w:p w14:paraId="23CA2EAC">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本地备份服务</w:t>
            </w:r>
          </w:p>
        </w:tc>
        <w:tc>
          <w:tcPr>
            <w:tcW w:w="3102" w:type="dxa"/>
            <w:tcBorders>
              <w:top w:val="single" w:color="000000" w:sz="4" w:space="0"/>
              <w:left w:val="nil"/>
              <w:bottom w:val="single" w:color="000000" w:sz="4" w:space="0"/>
              <w:right w:val="single" w:color="000000" w:sz="4" w:space="0"/>
            </w:tcBorders>
            <w:shd w:val="clear" w:color="auto" w:fill="FFFFFF"/>
            <w:noWrap w:val="0"/>
            <w:vAlign w:val="center"/>
          </w:tcPr>
          <w:p w14:paraId="133619E7">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通过备份策略实现文件、操作系统、数据库的本地备份（不包含备份存储空间）</w:t>
            </w:r>
          </w:p>
        </w:tc>
        <w:tc>
          <w:tcPr>
            <w:tcW w:w="1057" w:type="dxa"/>
            <w:tcBorders>
              <w:top w:val="single" w:color="000000" w:sz="4" w:space="0"/>
              <w:left w:val="nil"/>
              <w:bottom w:val="single" w:color="000000" w:sz="4" w:space="0"/>
              <w:right w:val="single" w:color="000000" w:sz="4" w:space="0"/>
            </w:tcBorders>
            <w:shd w:val="clear" w:color="auto" w:fill="FFFFFF"/>
            <w:noWrap w:val="0"/>
            <w:vAlign w:val="center"/>
          </w:tcPr>
          <w:p w14:paraId="7A41AB82">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100 GB/月</w:t>
            </w:r>
          </w:p>
        </w:tc>
        <w:tc>
          <w:tcPr>
            <w:tcW w:w="1012" w:type="dxa"/>
            <w:tcBorders>
              <w:top w:val="single" w:color="000000" w:sz="4" w:space="0"/>
              <w:left w:val="nil"/>
              <w:bottom w:val="single" w:color="000000" w:sz="4" w:space="0"/>
              <w:right w:val="single" w:color="000000" w:sz="4" w:space="0"/>
            </w:tcBorders>
            <w:shd w:val="clear" w:color="auto" w:fill="FFFFFF"/>
            <w:noWrap w:val="0"/>
            <w:vAlign w:val="center"/>
          </w:tcPr>
          <w:p w14:paraId="7B95BE4D">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192</w:t>
            </w:r>
          </w:p>
        </w:tc>
      </w:tr>
      <w:tr w14:paraId="43BEDB75">
        <w:tblPrEx>
          <w:tblCellMar>
            <w:top w:w="0" w:type="dxa"/>
            <w:left w:w="108" w:type="dxa"/>
            <w:bottom w:w="0" w:type="dxa"/>
            <w:right w:w="108" w:type="dxa"/>
          </w:tblCellMar>
        </w:tblPrEx>
        <w:trPr>
          <w:trHeight w:val="330" w:hRule="atLeast"/>
          <w:jc w:val="center"/>
        </w:trPr>
        <w:tc>
          <w:tcPr>
            <w:tcW w:w="1343" w:type="dxa"/>
            <w:vMerge w:val="restart"/>
            <w:tcBorders>
              <w:top w:val="single" w:color="000000" w:sz="4" w:space="0"/>
              <w:left w:val="single" w:color="auto" w:sz="4" w:space="0"/>
              <w:right w:val="single" w:color="000000" w:sz="4" w:space="0"/>
            </w:tcBorders>
            <w:shd w:val="clear" w:color="auto" w:fill="auto"/>
            <w:noWrap w:val="0"/>
            <w:vAlign w:val="center"/>
          </w:tcPr>
          <w:p w14:paraId="193F0AFD">
            <w:pPr>
              <w:keepNext w:val="0"/>
              <w:keepLines w:val="0"/>
              <w:pageBreakBefore w:val="0"/>
              <w:widowControl/>
              <w:kinsoku/>
              <w:wordWrap/>
              <w:overflowPunct/>
              <w:topLinePunct w:val="0"/>
              <w:autoSpaceDE/>
              <w:autoSpaceDN/>
              <w:bidi w:val="0"/>
              <w:adjustRightInd/>
              <w:snapToGrid w:val="0"/>
              <w:spacing w:line="320" w:lineRule="exact"/>
              <w:ind w:left="0" w:leftChars="0" w:right="0" w:rightChars="0" w:firstLine="0" w:firstLineChars="0"/>
              <w:jc w:val="center"/>
              <w:textAlignment w:val="center"/>
              <w:outlineLvl w:val="9"/>
              <w:rPr>
                <w:rFonts w:hint="eastAsia" w:ascii="宋体" w:hAnsi="宋体" w:eastAsia="宋体" w:cs="宋体"/>
                <w:b/>
                <w:bCs/>
                <w:color w:val="auto"/>
                <w:sz w:val="22"/>
                <w:szCs w:val="22"/>
                <w:highlight w:val="none"/>
              </w:rPr>
            </w:pPr>
            <w:r>
              <w:rPr>
                <w:rFonts w:hint="eastAsia" w:ascii="宋体" w:hAnsi="宋体" w:eastAsia="宋体" w:cs="宋体"/>
                <w:b/>
                <w:bCs/>
                <w:color w:val="auto"/>
                <w:kern w:val="0"/>
                <w:sz w:val="22"/>
                <w:szCs w:val="22"/>
                <w:highlight w:val="none"/>
              </w:rPr>
              <w:t>网络服务</w:t>
            </w:r>
          </w:p>
        </w:tc>
        <w:tc>
          <w:tcPr>
            <w:tcW w:w="1782" w:type="dxa"/>
            <w:vMerge w:val="restart"/>
            <w:tcBorders>
              <w:top w:val="nil"/>
              <w:left w:val="nil"/>
              <w:bottom w:val="single" w:color="000000" w:sz="4" w:space="0"/>
              <w:right w:val="single" w:color="000000" w:sz="4" w:space="0"/>
            </w:tcBorders>
            <w:shd w:val="clear" w:color="auto" w:fill="FFFFFF"/>
            <w:noWrap w:val="0"/>
            <w:vAlign w:val="center"/>
          </w:tcPr>
          <w:p w14:paraId="15B405B0">
            <w:pPr>
              <w:keepNext w:val="0"/>
              <w:keepLines w:val="0"/>
              <w:widowControl/>
              <w:suppressLineNumbers w:val="0"/>
              <w:jc w:val="center"/>
              <w:textAlignment w:val="center"/>
              <w:rPr>
                <w:rFonts w:hint="eastAsia" w:ascii="宋体" w:hAnsi="宋体" w:eastAsia="宋体" w:cs="宋体"/>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互联网链路服务</w:t>
            </w:r>
          </w:p>
        </w:tc>
        <w:tc>
          <w:tcPr>
            <w:tcW w:w="3102" w:type="dxa"/>
            <w:tcBorders>
              <w:top w:val="single" w:color="000000" w:sz="4" w:space="0"/>
              <w:left w:val="nil"/>
              <w:bottom w:val="single" w:color="000000" w:sz="4" w:space="0"/>
              <w:right w:val="single" w:color="000000" w:sz="4" w:space="0"/>
            </w:tcBorders>
            <w:shd w:val="clear" w:color="auto" w:fill="FFFFFF"/>
            <w:noWrap w:val="0"/>
            <w:vAlign w:val="center"/>
          </w:tcPr>
          <w:p w14:paraId="603AB5D6">
            <w:pPr>
              <w:keepNext w:val="0"/>
              <w:keepLines w:val="0"/>
              <w:widowControl/>
              <w:suppressLineNumbers w:val="0"/>
              <w:jc w:val="left"/>
              <w:textAlignment w:val="center"/>
              <w:rPr>
                <w:rFonts w:hint="eastAsia" w:ascii="宋体" w:hAnsi="宋体" w:eastAsia="宋体" w:cs="宋体"/>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互联网链路带宽，提供多线运行商接入服务，保证稳定可靠。</w:t>
            </w:r>
          </w:p>
        </w:tc>
        <w:tc>
          <w:tcPr>
            <w:tcW w:w="1057" w:type="dxa"/>
            <w:tcBorders>
              <w:top w:val="single" w:color="000000" w:sz="4" w:space="0"/>
              <w:left w:val="nil"/>
              <w:bottom w:val="single" w:color="000000" w:sz="4" w:space="0"/>
              <w:right w:val="single" w:color="000000" w:sz="4" w:space="0"/>
            </w:tcBorders>
            <w:shd w:val="clear" w:color="auto" w:fill="FFFFFF"/>
            <w:noWrap w:val="0"/>
            <w:vAlign w:val="center"/>
          </w:tcPr>
          <w:p w14:paraId="174C8469">
            <w:pPr>
              <w:keepNext w:val="0"/>
              <w:keepLines w:val="0"/>
              <w:widowControl/>
              <w:suppressLineNumbers w:val="0"/>
              <w:jc w:val="center"/>
              <w:textAlignment w:val="center"/>
              <w:rPr>
                <w:rFonts w:hint="default" w:ascii="宋体" w:hAnsi="宋体" w:eastAsia="宋体" w:cs="宋体"/>
                <w:color w:val="auto"/>
                <w:sz w:val="22"/>
                <w:szCs w:val="22"/>
                <w:highlight w:val="none"/>
                <w:lang w:val="en-US"/>
              </w:rPr>
            </w:pPr>
            <w:r>
              <w:rPr>
                <w:rFonts w:hint="eastAsia" w:ascii="宋体" w:hAnsi="宋体" w:eastAsia="宋体" w:cs="宋体"/>
                <w:i w:val="0"/>
                <w:iCs w:val="0"/>
                <w:color w:val="auto"/>
                <w:kern w:val="0"/>
                <w:sz w:val="22"/>
                <w:szCs w:val="22"/>
                <w:highlight w:val="none"/>
                <w:u w:val="none"/>
                <w:lang w:val="en-US" w:eastAsia="zh-CN" w:bidi="ar"/>
              </w:rPr>
              <w:t>1 Mb/月</w:t>
            </w:r>
          </w:p>
        </w:tc>
        <w:tc>
          <w:tcPr>
            <w:tcW w:w="1012" w:type="dxa"/>
            <w:tcBorders>
              <w:top w:val="single" w:color="000000" w:sz="4" w:space="0"/>
              <w:left w:val="nil"/>
              <w:bottom w:val="single" w:color="000000" w:sz="4" w:space="0"/>
              <w:right w:val="single" w:color="000000" w:sz="4" w:space="0"/>
            </w:tcBorders>
            <w:shd w:val="clear" w:color="auto" w:fill="FFFFFF"/>
            <w:noWrap w:val="0"/>
            <w:vAlign w:val="center"/>
          </w:tcPr>
          <w:p w14:paraId="0AC8C24C">
            <w:pPr>
              <w:keepNext w:val="0"/>
              <w:keepLines w:val="0"/>
              <w:widowControl/>
              <w:suppressLineNumbers w:val="0"/>
              <w:jc w:val="center"/>
              <w:textAlignment w:val="center"/>
              <w:rPr>
                <w:rFonts w:hint="eastAsia" w:ascii="宋体" w:hAnsi="宋体" w:eastAsia="宋体" w:cs="宋体"/>
                <w:color w:val="auto"/>
                <w:kern w:val="0"/>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500</w:t>
            </w:r>
          </w:p>
        </w:tc>
      </w:tr>
      <w:tr w14:paraId="2FE05D87">
        <w:tblPrEx>
          <w:tblCellMar>
            <w:top w:w="0" w:type="dxa"/>
            <w:left w:w="108" w:type="dxa"/>
            <w:bottom w:w="0" w:type="dxa"/>
            <w:right w:w="108" w:type="dxa"/>
          </w:tblCellMar>
        </w:tblPrEx>
        <w:trPr>
          <w:trHeight w:val="510" w:hRule="atLeast"/>
          <w:jc w:val="center"/>
        </w:trPr>
        <w:tc>
          <w:tcPr>
            <w:tcW w:w="1343" w:type="dxa"/>
            <w:vMerge w:val="continue"/>
            <w:tcBorders>
              <w:left w:val="single" w:color="auto" w:sz="4" w:space="0"/>
              <w:right w:val="single" w:color="000000" w:sz="4" w:space="0"/>
            </w:tcBorders>
            <w:shd w:val="clear" w:color="auto" w:fill="auto"/>
            <w:noWrap w:val="0"/>
            <w:vAlign w:val="center"/>
          </w:tcPr>
          <w:p w14:paraId="4EE7C1ED">
            <w:pPr>
              <w:keepNext w:val="0"/>
              <w:keepLines w:val="0"/>
              <w:pageBreakBefore w:val="0"/>
              <w:widowControl/>
              <w:kinsoku/>
              <w:wordWrap/>
              <w:overflowPunct/>
              <w:topLinePunct w:val="0"/>
              <w:autoSpaceDE/>
              <w:autoSpaceDN/>
              <w:bidi w:val="0"/>
              <w:adjustRightInd/>
              <w:snapToGrid w:val="0"/>
              <w:spacing w:line="320" w:lineRule="exact"/>
              <w:ind w:left="0" w:leftChars="0" w:right="0" w:rightChars="0" w:firstLine="0" w:firstLineChars="0"/>
              <w:jc w:val="left"/>
              <w:outlineLvl w:val="9"/>
              <w:rPr>
                <w:rFonts w:hint="eastAsia" w:ascii="宋体" w:hAnsi="宋体" w:eastAsia="宋体" w:cs="宋体"/>
                <w:b/>
                <w:bCs/>
                <w:color w:val="auto"/>
                <w:sz w:val="22"/>
                <w:szCs w:val="22"/>
                <w:highlight w:val="none"/>
              </w:rPr>
            </w:pPr>
          </w:p>
        </w:tc>
        <w:tc>
          <w:tcPr>
            <w:tcW w:w="1782" w:type="dxa"/>
            <w:vMerge w:val="continue"/>
            <w:tcBorders>
              <w:top w:val="nil"/>
              <w:left w:val="nil"/>
              <w:bottom w:val="single" w:color="000000" w:sz="4" w:space="0"/>
              <w:right w:val="single" w:color="000000" w:sz="4" w:space="0"/>
            </w:tcBorders>
            <w:shd w:val="clear" w:color="auto" w:fill="auto"/>
            <w:noWrap w:val="0"/>
            <w:vAlign w:val="center"/>
          </w:tcPr>
          <w:p w14:paraId="5139C66E">
            <w:pPr>
              <w:jc w:val="center"/>
              <w:rPr>
                <w:rFonts w:hint="eastAsia" w:ascii="宋体" w:hAnsi="宋体" w:eastAsia="宋体" w:cs="宋体"/>
                <w:color w:val="auto"/>
                <w:sz w:val="22"/>
                <w:szCs w:val="22"/>
                <w:highlight w:val="none"/>
              </w:rPr>
            </w:pPr>
          </w:p>
        </w:tc>
        <w:tc>
          <w:tcPr>
            <w:tcW w:w="3102" w:type="dxa"/>
            <w:tcBorders>
              <w:top w:val="single" w:color="000000" w:sz="4" w:space="0"/>
              <w:left w:val="nil"/>
              <w:bottom w:val="single" w:color="000000" w:sz="4" w:space="0"/>
              <w:right w:val="single" w:color="000000" w:sz="4" w:space="0"/>
            </w:tcBorders>
            <w:shd w:val="clear" w:color="auto" w:fill="FFFFFF"/>
            <w:noWrap w:val="0"/>
            <w:vAlign w:val="center"/>
          </w:tcPr>
          <w:p w14:paraId="1ECADC28">
            <w:pPr>
              <w:keepNext w:val="0"/>
              <w:keepLines w:val="0"/>
              <w:widowControl/>
              <w:suppressLineNumbers w:val="0"/>
              <w:jc w:val="left"/>
              <w:textAlignment w:val="center"/>
              <w:rPr>
                <w:rFonts w:hint="eastAsia" w:ascii="宋体" w:hAnsi="宋体" w:eastAsia="宋体" w:cs="宋体"/>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互联网IP地址租用服务、并提供备案服务</w:t>
            </w:r>
          </w:p>
        </w:tc>
        <w:tc>
          <w:tcPr>
            <w:tcW w:w="1057" w:type="dxa"/>
            <w:tcBorders>
              <w:top w:val="single" w:color="000000" w:sz="4" w:space="0"/>
              <w:left w:val="nil"/>
              <w:bottom w:val="single" w:color="000000" w:sz="4" w:space="0"/>
              <w:right w:val="single" w:color="000000" w:sz="4" w:space="0"/>
            </w:tcBorders>
            <w:shd w:val="clear" w:color="auto" w:fill="FFFFFF"/>
            <w:noWrap w:val="0"/>
            <w:vAlign w:val="center"/>
          </w:tcPr>
          <w:p w14:paraId="1C6B7D8C">
            <w:pPr>
              <w:keepNext w:val="0"/>
              <w:keepLines w:val="0"/>
              <w:widowControl/>
              <w:suppressLineNumbers w:val="0"/>
              <w:jc w:val="center"/>
              <w:textAlignment w:val="center"/>
              <w:rPr>
                <w:rFonts w:hint="default" w:ascii="宋体" w:hAnsi="宋体" w:eastAsia="宋体" w:cs="宋体"/>
                <w:color w:val="auto"/>
                <w:sz w:val="22"/>
                <w:szCs w:val="22"/>
                <w:highlight w:val="none"/>
                <w:lang w:val="en-US"/>
              </w:rPr>
            </w:pPr>
            <w:r>
              <w:rPr>
                <w:rFonts w:hint="eastAsia" w:ascii="宋体" w:hAnsi="宋体" w:eastAsia="宋体" w:cs="宋体"/>
                <w:i w:val="0"/>
                <w:iCs w:val="0"/>
                <w:color w:val="auto"/>
                <w:kern w:val="0"/>
                <w:sz w:val="22"/>
                <w:szCs w:val="22"/>
                <w:highlight w:val="none"/>
                <w:u w:val="none"/>
                <w:lang w:val="en-US" w:eastAsia="zh-CN" w:bidi="ar"/>
              </w:rPr>
              <w:t>1 IP/月</w:t>
            </w:r>
          </w:p>
        </w:tc>
        <w:tc>
          <w:tcPr>
            <w:tcW w:w="1012" w:type="dxa"/>
            <w:tcBorders>
              <w:top w:val="single" w:color="000000" w:sz="4" w:space="0"/>
              <w:left w:val="nil"/>
              <w:bottom w:val="single" w:color="000000" w:sz="4" w:space="0"/>
              <w:right w:val="single" w:color="000000" w:sz="4" w:space="0"/>
            </w:tcBorders>
            <w:shd w:val="clear" w:color="auto" w:fill="FFFFFF"/>
            <w:noWrap w:val="0"/>
            <w:vAlign w:val="center"/>
          </w:tcPr>
          <w:p w14:paraId="31EA6A9C">
            <w:pPr>
              <w:keepNext w:val="0"/>
              <w:keepLines w:val="0"/>
              <w:widowControl/>
              <w:suppressLineNumbers w:val="0"/>
              <w:jc w:val="center"/>
              <w:textAlignment w:val="center"/>
              <w:rPr>
                <w:rFonts w:hint="eastAsia" w:ascii="宋体" w:hAnsi="宋体" w:eastAsia="宋体" w:cs="宋体"/>
                <w:color w:val="auto"/>
                <w:kern w:val="0"/>
                <w:sz w:val="22"/>
                <w:szCs w:val="22"/>
                <w:highlight w:val="none"/>
                <w:lang w:eastAsia="zh-CN"/>
              </w:rPr>
            </w:pPr>
            <w:r>
              <w:rPr>
                <w:rFonts w:hint="eastAsia" w:ascii="宋体" w:hAnsi="宋体" w:eastAsia="宋体" w:cs="宋体"/>
                <w:i w:val="0"/>
                <w:iCs w:val="0"/>
                <w:color w:val="auto"/>
                <w:kern w:val="0"/>
                <w:sz w:val="22"/>
                <w:szCs w:val="22"/>
                <w:highlight w:val="none"/>
                <w:u w:val="none"/>
                <w:lang w:val="en-US" w:eastAsia="zh-CN" w:bidi="ar"/>
              </w:rPr>
              <w:t>1</w:t>
            </w:r>
          </w:p>
        </w:tc>
      </w:tr>
      <w:tr w14:paraId="15CBEC3D">
        <w:tblPrEx>
          <w:tblCellMar>
            <w:top w:w="0" w:type="dxa"/>
            <w:left w:w="108" w:type="dxa"/>
            <w:bottom w:w="0" w:type="dxa"/>
            <w:right w:w="108" w:type="dxa"/>
          </w:tblCellMar>
        </w:tblPrEx>
        <w:trPr>
          <w:trHeight w:val="510" w:hRule="atLeast"/>
          <w:jc w:val="center"/>
        </w:trPr>
        <w:tc>
          <w:tcPr>
            <w:tcW w:w="1343" w:type="dxa"/>
            <w:vMerge w:val="continue"/>
            <w:tcBorders>
              <w:left w:val="single" w:color="auto" w:sz="4" w:space="0"/>
              <w:right w:val="single" w:color="000000" w:sz="4" w:space="0"/>
            </w:tcBorders>
            <w:shd w:val="clear" w:color="auto" w:fill="auto"/>
            <w:noWrap w:val="0"/>
            <w:vAlign w:val="center"/>
          </w:tcPr>
          <w:p w14:paraId="3B6DB78C">
            <w:pPr>
              <w:keepNext w:val="0"/>
              <w:keepLines w:val="0"/>
              <w:pageBreakBefore w:val="0"/>
              <w:widowControl/>
              <w:kinsoku/>
              <w:wordWrap/>
              <w:overflowPunct/>
              <w:topLinePunct w:val="0"/>
              <w:autoSpaceDE/>
              <w:autoSpaceDN/>
              <w:bidi w:val="0"/>
              <w:adjustRightInd/>
              <w:snapToGrid w:val="0"/>
              <w:spacing w:line="320" w:lineRule="exact"/>
              <w:ind w:left="0" w:leftChars="0" w:right="0" w:rightChars="0" w:firstLine="0" w:firstLineChars="0"/>
              <w:jc w:val="left"/>
              <w:outlineLvl w:val="9"/>
              <w:rPr>
                <w:rFonts w:hint="eastAsia" w:ascii="宋体" w:hAnsi="宋体" w:eastAsia="宋体" w:cs="宋体"/>
                <w:b/>
                <w:bCs/>
                <w:color w:val="auto"/>
                <w:sz w:val="22"/>
                <w:szCs w:val="22"/>
                <w:highlight w:val="none"/>
              </w:rPr>
            </w:pPr>
          </w:p>
        </w:tc>
        <w:tc>
          <w:tcPr>
            <w:tcW w:w="1782" w:type="dxa"/>
            <w:tcBorders>
              <w:top w:val="single" w:color="000000" w:sz="4" w:space="0"/>
              <w:left w:val="nil"/>
              <w:bottom w:val="single" w:color="000000" w:sz="4" w:space="0"/>
              <w:right w:val="single" w:color="000000" w:sz="4" w:space="0"/>
            </w:tcBorders>
            <w:shd w:val="clear" w:color="auto" w:fill="FFFFFF"/>
            <w:noWrap w:val="0"/>
            <w:vAlign w:val="center"/>
          </w:tcPr>
          <w:p w14:paraId="4E5C5C5A">
            <w:pPr>
              <w:keepNext w:val="0"/>
              <w:keepLines w:val="0"/>
              <w:widowControl/>
              <w:suppressLineNumbers w:val="0"/>
              <w:jc w:val="center"/>
              <w:textAlignment w:val="center"/>
              <w:rPr>
                <w:rFonts w:hint="eastAsia" w:ascii="宋体" w:hAnsi="宋体" w:eastAsia="宋体" w:cs="宋体"/>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主机负载均衡服务</w:t>
            </w:r>
          </w:p>
        </w:tc>
        <w:tc>
          <w:tcPr>
            <w:tcW w:w="3102" w:type="dxa"/>
            <w:tcBorders>
              <w:top w:val="single" w:color="000000" w:sz="4" w:space="0"/>
              <w:left w:val="nil"/>
              <w:bottom w:val="single" w:color="000000" w:sz="4" w:space="0"/>
              <w:right w:val="single" w:color="000000" w:sz="4" w:space="0"/>
            </w:tcBorders>
            <w:shd w:val="clear" w:color="auto" w:fill="FFFFFF"/>
            <w:noWrap w:val="0"/>
            <w:vAlign w:val="center"/>
          </w:tcPr>
          <w:p w14:paraId="1F21B43A">
            <w:pPr>
              <w:keepNext w:val="0"/>
              <w:keepLines w:val="0"/>
              <w:widowControl/>
              <w:suppressLineNumbers w:val="0"/>
              <w:jc w:val="left"/>
              <w:textAlignment w:val="center"/>
              <w:rPr>
                <w:rFonts w:hint="eastAsia" w:ascii="宋体" w:hAnsi="宋体" w:eastAsia="宋体" w:cs="宋体"/>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提供主机应用集群负载均衡服务。</w:t>
            </w:r>
          </w:p>
        </w:tc>
        <w:tc>
          <w:tcPr>
            <w:tcW w:w="1057" w:type="dxa"/>
            <w:tcBorders>
              <w:top w:val="single" w:color="000000" w:sz="4" w:space="0"/>
              <w:left w:val="nil"/>
              <w:bottom w:val="single" w:color="000000" w:sz="4" w:space="0"/>
              <w:right w:val="single" w:color="000000" w:sz="4" w:space="0"/>
            </w:tcBorders>
            <w:shd w:val="clear" w:color="auto" w:fill="FFFFFF"/>
            <w:noWrap w:val="0"/>
            <w:vAlign w:val="center"/>
          </w:tcPr>
          <w:p w14:paraId="5C792364">
            <w:pPr>
              <w:keepNext w:val="0"/>
              <w:keepLines w:val="0"/>
              <w:widowControl/>
              <w:suppressLineNumbers w:val="0"/>
              <w:jc w:val="center"/>
              <w:textAlignment w:val="center"/>
              <w:rPr>
                <w:rFonts w:hint="default" w:ascii="宋体" w:hAnsi="宋体" w:eastAsia="宋体" w:cs="宋体"/>
                <w:color w:val="auto"/>
                <w:sz w:val="22"/>
                <w:szCs w:val="22"/>
                <w:highlight w:val="none"/>
                <w:lang w:val="en-US"/>
              </w:rPr>
            </w:pPr>
            <w:r>
              <w:rPr>
                <w:rFonts w:hint="eastAsia" w:ascii="宋体" w:hAnsi="宋体" w:eastAsia="宋体" w:cs="宋体"/>
                <w:i w:val="0"/>
                <w:iCs w:val="0"/>
                <w:color w:val="auto"/>
                <w:kern w:val="0"/>
                <w:sz w:val="22"/>
                <w:szCs w:val="22"/>
                <w:highlight w:val="none"/>
                <w:u w:val="none"/>
                <w:lang w:val="en-US" w:eastAsia="zh-CN" w:bidi="ar"/>
              </w:rPr>
              <w:t>1 IP（内网）/月</w:t>
            </w:r>
          </w:p>
        </w:tc>
        <w:tc>
          <w:tcPr>
            <w:tcW w:w="1012" w:type="dxa"/>
            <w:tcBorders>
              <w:top w:val="single" w:color="000000" w:sz="4" w:space="0"/>
              <w:left w:val="nil"/>
              <w:bottom w:val="single" w:color="000000" w:sz="4" w:space="0"/>
              <w:right w:val="single" w:color="000000" w:sz="4" w:space="0"/>
            </w:tcBorders>
            <w:shd w:val="clear" w:color="auto" w:fill="FFFFFF"/>
            <w:noWrap w:val="0"/>
            <w:vAlign w:val="center"/>
          </w:tcPr>
          <w:p w14:paraId="727D9E0A">
            <w:pPr>
              <w:keepNext w:val="0"/>
              <w:keepLines w:val="0"/>
              <w:widowControl/>
              <w:suppressLineNumbers w:val="0"/>
              <w:jc w:val="center"/>
              <w:textAlignment w:val="center"/>
              <w:rPr>
                <w:rFonts w:hint="eastAsia" w:ascii="宋体" w:hAnsi="宋体" w:eastAsia="宋体" w:cs="宋体"/>
                <w:color w:val="auto"/>
                <w:kern w:val="0"/>
                <w:sz w:val="22"/>
                <w:szCs w:val="22"/>
                <w:highlight w:val="none"/>
                <w:lang w:eastAsia="zh-CN"/>
              </w:rPr>
            </w:pPr>
            <w:r>
              <w:rPr>
                <w:rFonts w:hint="eastAsia" w:ascii="宋体" w:hAnsi="宋体" w:eastAsia="宋体" w:cs="宋体"/>
                <w:i w:val="0"/>
                <w:iCs w:val="0"/>
                <w:color w:val="auto"/>
                <w:kern w:val="0"/>
                <w:sz w:val="22"/>
                <w:szCs w:val="22"/>
                <w:highlight w:val="none"/>
                <w:u w:val="none"/>
                <w:lang w:val="en-US" w:eastAsia="zh-CN" w:bidi="ar"/>
              </w:rPr>
              <w:t>2</w:t>
            </w:r>
          </w:p>
        </w:tc>
      </w:tr>
      <w:tr w14:paraId="06FA069A">
        <w:tblPrEx>
          <w:tblCellMar>
            <w:top w:w="0" w:type="dxa"/>
            <w:left w:w="108" w:type="dxa"/>
            <w:bottom w:w="0" w:type="dxa"/>
            <w:right w:w="108" w:type="dxa"/>
          </w:tblCellMar>
        </w:tblPrEx>
        <w:trPr>
          <w:trHeight w:val="510" w:hRule="atLeast"/>
          <w:jc w:val="center"/>
        </w:trPr>
        <w:tc>
          <w:tcPr>
            <w:tcW w:w="1343" w:type="dxa"/>
            <w:vMerge w:val="continue"/>
            <w:tcBorders>
              <w:left w:val="single" w:color="auto" w:sz="4" w:space="0"/>
              <w:right w:val="single" w:color="000000" w:sz="4" w:space="0"/>
            </w:tcBorders>
            <w:shd w:val="clear" w:color="auto" w:fill="auto"/>
            <w:noWrap w:val="0"/>
            <w:vAlign w:val="center"/>
          </w:tcPr>
          <w:p w14:paraId="216F323C">
            <w:pPr>
              <w:keepNext w:val="0"/>
              <w:keepLines w:val="0"/>
              <w:pageBreakBefore w:val="0"/>
              <w:widowControl/>
              <w:kinsoku/>
              <w:wordWrap/>
              <w:overflowPunct/>
              <w:topLinePunct w:val="0"/>
              <w:autoSpaceDE/>
              <w:autoSpaceDN/>
              <w:bidi w:val="0"/>
              <w:adjustRightInd/>
              <w:snapToGrid w:val="0"/>
              <w:spacing w:line="320" w:lineRule="exact"/>
              <w:ind w:left="0" w:leftChars="0" w:right="0" w:rightChars="0" w:firstLine="0" w:firstLineChars="0"/>
              <w:jc w:val="left"/>
              <w:outlineLvl w:val="9"/>
              <w:rPr>
                <w:rFonts w:hint="eastAsia" w:ascii="宋体" w:hAnsi="宋体" w:eastAsia="宋体" w:cs="宋体"/>
                <w:b/>
                <w:bCs/>
                <w:color w:val="auto"/>
                <w:sz w:val="22"/>
                <w:szCs w:val="22"/>
                <w:highlight w:val="none"/>
              </w:rPr>
            </w:pPr>
          </w:p>
        </w:tc>
        <w:tc>
          <w:tcPr>
            <w:tcW w:w="1782" w:type="dxa"/>
            <w:tcBorders>
              <w:top w:val="single" w:color="000000" w:sz="4" w:space="0"/>
              <w:left w:val="nil"/>
              <w:bottom w:val="single" w:color="000000" w:sz="4" w:space="0"/>
              <w:right w:val="single" w:color="000000" w:sz="4" w:space="0"/>
            </w:tcBorders>
            <w:shd w:val="clear" w:color="auto" w:fill="FFFFFF"/>
            <w:noWrap w:val="0"/>
            <w:vAlign w:val="center"/>
          </w:tcPr>
          <w:p w14:paraId="56BE4472">
            <w:pPr>
              <w:keepNext w:val="0"/>
              <w:keepLines w:val="0"/>
              <w:widowControl/>
              <w:suppressLineNumbers w:val="0"/>
              <w:jc w:val="center"/>
              <w:textAlignment w:val="center"/>
              <w:rPr>
                <w:rFonts w:hint="eastAsia" w:ascii="宋体" w:hAnsi="宋体" w:eastAsia="宋体" w:cs="宋体"/>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远程接入服务</w:t>
            </w:r>
          </w:p>
        </w:tc>
        <w:tc>
          <w:tcPr>
            <w:tcW w:w="3102" w:type="dxa"/>
            <w:tcBorders>
              <w:top w:val="single" w:color="000000" w:sz="4" w:space="0"/>
              <w:left w:val="nil"/>
              <w:bottom w:val="single" w:color="000000" w:sz="4" w:space="0"/>
              <w:right w:val="single" w:color="000000" w:sz="4" w:space="0"/>
            </w:tcBorders>
            <w:shd w:val="clear" w:color="auto" w:fill="FFFFFF"/>
            <w:noWrap w:val="0"/>
            <w:vAlign w:val="center"/>
          </w:tcPr>
          <w:p w14:paraId="79353FD4">
            <w:pPr>
              <w:keepNext w:val="0"/>
              <w:keepLines w:val="0"/>
              <w:widowControl/>
              <w:suppressLineNumbers w:val="0"/>
              <w:jc w:val="left"/>
              <w:textAlignment w:val="center"/>
              <w:rPr>
                <w:rFonts w:hint="eastAsia" w:ascii="宋体" w:hAnsi="宋体" w:eastAsia="宋体" w:cs="宋体"/>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每个账号结合身份验证通过VPN远程接入堡垒机进行维护</w:t>
            </w:r>
          </w:p>
        </w:tc>
        <w:tc>
          <w:tcPr>
            <w:tcW w:w="1057" w:type="dxa"/>
            <w:tcBorders>
              <w:top w:val="single" w:color="000000" w:sz="4" w:space="0"/>
              <w:left w:val="nil"/>
              <w:bottom w:val="single" w:color="000000" w:sz="4" w:space="0"/>
              <w:right w:val="single" w:color="000000" w:sz="4" w:space="0"/>
            </w:tcBorders>
            <w:shd w:val="clear" w:color="auto" w:fill="FFFFFF"/>
            <w:noWrap w:val="0"/>
            <w:vAlign w:val="center"/>
          </w:tcPr>
          <w:p w14:paraId="5CFA6A71">
            <w:pPr>
              <w:keepNext w:val="0"/>
              <w:keepLines w:val="0"/>
              <w:widowControl/>
              <w:suppressLineNumbers w:val="0"/>
              <w:jc w:val="center"/>
              <w:textAlignment w:val="center"/>
              <w:rPr>
                <w:rFonts w:hint="default" w:ascii="宋体" w:hAnsi="宋体" w:eastAsia="宋体" w:cs="宋体"/>
                <w:color w:val="auto"/>
                <w:sz w:val="22"/>
                <w:szCs w:val="22"/>
                <w:highlight w:val="none"/>
                <w:lang w:val="en-US"/>
              </w:rPr>
            </w:pPr>
            <w:r>
              <w:rPr>
                <w:rFonts w:hint="eastAsia" w:ascii="宋体" w:hAnsi="宋体" w:eastAsia="宋体" w:cs="宋体"/>
                <w:i w:val="0"/>
                <w:iCs w:val="0"/>
                <w:color w:val="auto"/>
                <w:kern w:val="0"/>
                <w:sz w:val="22"/>
                <w:szCs w:val="22"/>
                <w:highlight w:val="none"/>
                <w:u w:val="none"/>
                <w:lang w:val="en-US" w:eastAsia="zh-CN" w:bidi="ar"/>
              </w:rPr>
              <w:t>1账号/月</w:t>
            </w:r>
          </w:p>
        </w:tc>
        <w:tc>
          <w:tcPr>
            <w:tcW w:w="1012" w:type="dxa"/>
            <w:tcBorders>
              <w:top w:val="single" w:color="000000" w:sz="4" w:space="0"/>
              <w:left w:val="nil"/>
              <w:bottom w:val="single" w:color="000000" w:sz="4" w:space="0"/>
              <w:right w:val="single" w:color="000000" w:sz="4" w:space="0"/>
            </w:tcBorders>
            <w:shd w:val="clear" w:color="auto" w:fill="FFFFFF"/>
            <w:noWrap w:val="0"/>
            <w:vAlign w:val="center"/>
          </w:tcPr>
          <w:p w14:paraId="27C815C8">
            <w:pPr>
              <w:keepNext w:val="0"/>
              <w:keepLines w:val="0"/>
              <w:widowControl/>
              <w:suppressLineNumbers w:val="0"/>
              <w:jc w:val="center"/>
              <w:textAlignment w:val="center"/>
              <w:rPr>
                <w:rFonts w:hint="default" w:ascii="宋体" w:hAnsi="宋体" w:eastAsia="宋体" w:cs="宋体"/>
                <w:color w:val="auto"/>
                <w:kern w:val="0"/>
                <w:sz w:val="22"/>
                <w:szCs w:val="22"/>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19</w:t>
            </w:r>
          </w:p>
        </w:tc>
      </w:tr>
      <w:tr w14:paraId="1EAEBB5E">
        <w:tblPrEx>
          <w:tblCellMar>
            <w:top w:w="0" w:type="dxa"/>
            <w:left w:w="108" w:type="dxa"/>
            <w:bottom w:w="0" w:type="dxa"/>
            <w:right w:w="108" w:type="dxa"/>
          </w:tblCellMar>
        </w:tblPrEx>
        <w:trPr>
          <w:trHeight w:val="648" w:hRule="atLeast"/>
          <w:jc w:val="center"/>
        </w:trPr>
        <w:tc>
          <w:tcPr>
            <w:tcW w:w="1343" w:type="dxa"/>
            <w:vMerge w:val="continue"/>
            <w:tcBorders>
              <w:left w:val="single" w:color="auto" w:sz="4" w:space="0"/>
              <w:right w:val="single" w:color="000000" w:sz="4" w:space="0"/>
            </w:tcBorders>
            <w:shd w:val="clear" w:color="auto" w:fill="auto"/>
            <w:noWrap w:val="0"/>
            <w:vAlign w:val="center"/>
          </w:tcPr>
          <w:p w14:paraId="0443BD50">
            <w:pPr>
              <w:keepNext w:val="0"/>
              <w:keepLines w:val="0"/>
              <w:pageBreakBefore w:val="0"/>
              <w:widowControl/>
              <w:kinsoku/>
              <w:wordWrap/>
              <w:overflowPunct/>
              <w:topLinePunct w:val="0"/>
              <w:autoSpaceDE/>
              <w:autoSpaceDN/>
              <w:bidi w:val="0"/>
              <w:adjustRightInd/>
              <w:snapToGrid w:val="0"/>
              <w:spacing w:line="320" w:lineRule="exact"/>
              <w:ind w:left="0" w:leftChars="0" w:right="0" w:rightChars="0" w:firstLine="0" w:firstLineChars="0"/>
              <w:jc w:val="left"/>
              <w:outlineLvl w:val="9"/>
              <w:rPr>
                <w:rFonts w:hint="eastAsia" w:ascii="宋体" w:hAnsi="宋体" w:eastAsia="宋体" w:cs="宋体"/>
                <w:b/>
                <w:bCs/>
                <w:color w:val="auto"/>
                <w:sz w:val="22"/>
                <w:szCs w:val="22"/>
                <w:highlight w:val="none"/>
              </w:rPr>
            </w:pPr>
          </w:p>
        </w:tc>
        <w:tc>
          <w:tcPr>
            <w:tcW w:w="1782" w:type="dxa"/>
            <w:tcBorders>
              <w:top w:val="single" w:color="000000" w:sz="4" w:space="0"/>
              <w:left w:val="nil"/>
              <w:bottom w:val="single" w:color="000000" w:sz="4" w:space="0"/>
              <w:right w:val="single" w:color="000000" w:sz="4" w:space="0"/>
            </w:tcBorders>
            <w:shd w:val="clear" w:color="auto" w:fill="FFFFFF"/>
            <w:noWrap w:val="0"/>
            <w:vAlign w:val="center"/>
          </w:tcPr>
          <w:p w14:paraId="3628BA59">
            <w:pPr>
              <w:keepNext w:val="0"/>
              <w:keepLines w:val="0"/>
              <w:widowControl/>
              <w:suppressLineNumbers w:val="0"/>
              <w:jc w:val="center"/>
              <w:textAlignment w:val="center"/>
              <w:rPr>
                <w:rFonts w:hint="eastAsia" w:ascii="宋体" w:hAnsi="宋体" w:eastAsia="宋体" w:cs="宋体"/>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VPN服务</w:t>
            </w:r>
          </w:p>
        </w:tc>
        <w:tc>
          <w:tcPr>
            <w:tcW w:w="3102" w:type="dxa"/>
            <w:tcBorders>
              <w:top w:val="single" w:color="000000" w:sz="4" w:space="0"/>
              <w:left w:val="nil"/>
              <w:bottom w:val="single" w:color="000000" w:sz="4" w:space="0"/>
              <w:right w:val="single" w:color="000000" w:sz="4" w:space="0"/>
            </w:tcBorders>
            <w:shd w:val="clear" w:color="auto" w:fill="FFFFFF"/>
            <w:noWrap w:val="0"/>
            <w:vAlign w:val="center"/>
          </w:tcPr>
          <w:p w14:paraId="19E7170D">
            <w:pPr>
              <w:keepNext w:val="0"/>
              <w:keepLines w:val="0"/>
              <w:widowControl/>
              <w:suppressLineNumbers w:val="0"/>
              <w:jc w:val="left"/>
              <w:textAlignment w:val="center"/>
              <w:rPr>
                <w:rFonts w:hint="eastAsia" w:ascii="宋体" w:hAnsi="宋体" w:eastAsia="宋体" w:cs="宋体"/>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用户通过SSL VPN访问业务系统</w:t>
            </w:r>
          </w:p>
        </w:tc>
        <w:tc>
          <w:tcPr>
            <w:tcW w:w="1057" w:type="dxa"/>
            <w:tcBorders>
              <w:top w:val="single" w:color="000000" w:sz="4" w:space="0"/>
              <w:left w:val="nil"/>
              <w:bottom w:val="single" w:color="000000" w:sz="4" w:space="0"/>
              <w:right w:val="single" w:color="000000" w:sz="4" w:space="0"/>
            </w:tcBorders>
            <w:shd w:val="clear" w:color="auto" w:fill="FFFFFF"/>
            <w:noWrap w:val="0"/>
            <w:vAlign w:val="center"/>
          </w:tcPr>
          <w:p w14:paraId="051696FD">
            <w:pPr>
              <w:keepNext w:val="0"/>
              <w:keepLines w:val="0"/>
              <w:widowControl/>
              <w:suppressLineNumbers w:val="0"/>
              <w:jc w:val="center"/>
              <w:textAlignment w:val="center"/>
              <w:rPr>
                <w:rFonts w:hint="default" w:ascii="宋体" w:hAnsi="宋体" w:eastAsia="宋体" w:cs="宋体"/>
                <w:color w:val="auto"/>
                <w:sz w:val="22"/>
                <w:szCs w:val="22"/>
                <w:highlight w:val="none"/>
                <w:lang w:val="en-US"/>
              </w:rPr>
            </w:pPr>
            <w:r>
              <w:rPr>
                <w:rFonts w:hint="eastAsia" w:ascii="宋体" w:hAnsi="宋体" w:eastAsia="宋体" w:cs="宋体"/>
                <w:i w:val="0"/>
                <w:iCs w:val="0"/>
                <w:color w:val="auto"/>
                <w:kern w:val="0"/>
                <w:sz w:val="22"/>
                <w:szCs w:val="22"/>
                <w:highlight w:val="none"/>
                <w:u w:val="none"/>
                <w:lang w:val="en-US" w:eastAsia="zh-CN" w:bidi="ar"/>
              </w:rPr>
              <w:t>1套/月</w:t>
            </w:r>
          </w:p>
        </w:tc>
        <w:tc>
          <w:tcPr>
            <w:tcW w:w="1012" w:type="dxa"/>
            <w:tcBorders>
              <w:top w:val="single" w:color="000000" w:sz="4" w:space="0"/>
              <w:left w:val="nil"/>
              <w:bottom w:val="single" w:color="000000" w:sz="4" w:space="0"/>
              <w:right w:val="single" w:color="000000" w:sz="4" w:space="0"/>
            </w:tcBorders>
            <w:shd w:val="clear" w:color="auto" w:fill="FFFFFF"/>
            <w:noWrap w:val="0"/>
            <w:vAlign w:val="center"/>
          </w:tcPr>
          <w:p w14:paraId="7DC7D76E">
            <w:pPr>
              <w:keepNext w:val="0"/>
              <w:keepLines w:val="0"/>
              <w:widowControl/>
              <w:suppressLineNumbers w:val="0"/>
              <w:jc w:val="center"/>
              <w:textAlignment w:val="center"/>
              <w:rPr>
                <w:rFonts w:hint="default" w:ascii="宋体" w:hAnsi="宋体" w:eastAsia="宋体" w:cs="宋体"/>
                <w:color w:val="auto"/>
                <w:kern w:val="0"/>
                <w:sz w:val="22"/>
                <w:szCs w:val="22"/>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19</w:t>
            </w:r>
          </w:p>
        </w:tc>
      </w:tr>
      <w:tr w14:paraId="5C3A2188">
        <w:tblPrEx>
          <w:tblCellMar>
            <w:top w:w="0" w:type="dxa"/>
            <w:left w:w="108" w:type="dxa"/>
            <w:bottom w:w="0" w:type="dxa"/>
            <w:right w:w="108" w:type="dxa"/>
          </w:tblCellMar>
        </w:tblPrEx>
        <w:trPr>
          <w:trHeight w:val="559" w:hRule="atLeast"/>
          <w:jc w:val="center"/>
        </w:trPr>
        <w:tc>
          <w:tcPr>
            <w:tcW w:w="1343" w:type="dxa"/>
            <w:vMerge w:val="continue"/>
            <w:tcBorders>
              <w:left w:val="single" w:color="auto" w:sz="4" w:space="0"/>
              <w:bottom w:val="single" w:color="auto" w:sz="4" w:space="0"/>
              <w:right w:val="single" w:color="000000" w:sz="4" w:space="0"/>
            </w:tcBorders>
            <w:shd w:val="clear" w:color="auto" w:fill="auto"/>
            <w:noWrap w:val="0"/>
            <w:vAlign w:val="center"/>
          </w:tcPr>
          <w:p w14:paraId="61C1B111">
            <w:pPr>
              <w:keepNext w:val="0"/>
              <w:keepLines w:val="0"/>
              <w:pageBreakBefore w:val="0"/>
              <w:widowControl/>
              <w:kinsoku/>
              <w:wordWrap/>
              <w:overflowPunct/>
              <w:topLinePunct w:val="0"/>
              <w:autoSpaceDE/>
              <w:autoSpaceDN/>
              <w:bidi w:val="0"/>
              <w:adjustRightInd/>
              <w:snapToGrid w:val="0"/>
              <w:spacing w:line="320" w:lineRule="exact"/>
              <w:ind w:left="0" w:leftChars="0" w:right="0" w:rightChars="0" w:firstLine="0" w:firstLineChars="0"/>
              <w:jc w:val="left"/>
              <w:outlineLvl w:val="9"/>
              <w:rPr>
                <w:rFonts w:hint="eastAsia" w:ascii="宋体" w:hAnsi="宋体" w:eastAsia="宋体" w:cs="宋体"/>
                <w:b/>
                <w:bCs/>
                <w:color w:val="auto"/>
                <w:sz w:val="22"/>
                <w:szCs w:val="22"/>
                <w:highlight w:val="none"/>
              </w:rPr>
            </w:pPr>
          </w:p>
        </w:tc>
        <w:tc>
          <w:tcPr>
            <w:tcW w:w="1782" w:type="dxa"/>
            <w:tcBorders>
              <w:top w:val="single" w:color="000000" w:sz="4" w:space="0"/>
              <w:left w:val="nil"/>
              <w:bottom w:val="single" w:color="auto" w:sz="4" w:space="0"/>
              <w:right w:val="single" w:color="000000" w:sz="4" w:space="0"/>
            </w:tcBorders>
            <w:shd w:val="clear" w:color="auto" w:fill="FFFFFF"/>
            <w:noWrap w:val="0"/>
            <w:vAlign w:val="center"/>
          </w:tcPr>
          <w:p w14:paraId="24B28C6D">
            <w:pPr>
              <w:keepNext w:val="0"/>
              <w:keepLines w:val="0"/>
              <w:pageBreakBefore w:val="0"/>
              <w:widowControl/>
              <w:kinsoku/>
              <w:wordWrap/>
              <w:overflowPunct/>
              <w:topLinePunct w:val="0"/>
              <w:autoSpaceDE/>
              <w:autoSpaceDN/>
              <w:bidi w:val="0"/>
              <w:adjustRightInd/>
              <w:snapToGrid w:val="0"/>
              <w:spacing w:line="320" w:lineRule="exact"/>
              <w:ind w:left="0" w:leftChars="0" w:right="0" w:rightChars="0" w:firstLine="0" w:firstLineChars="0"/>
              <w:jc w:val="center"/>
              <w:textAlignment w:val="center"/>
              <w:outlineLvl w:val="9"/>
              <w:rPr>
                <w:rFonts w:hint="eastAsia" w:ascii="宋体" w:hAnsi="宋体" w:eastAsia="宋体" w:cs="宋体"/>
                <w:color w:val="auto"/>
                <w:kern w:val="0"/>
                <w:sz w:val="22"/>
                <w:szCs w:val="22"/>
                <w:highlight w:val="none"/>
                <w:lang w:val="en-US" w:eastAsia="zh-CN" w:bidi="ar-SA"/>
              </w:rPr>
            </w:pPr>
            <w:r>
              <w:rPr>
                <w:rFonts w:hint="eastAsia" w:ascii="宋体" w:hAnsi="宋体" w:eastAsia="宋体" w:cs="宋体"/>
                <w:color w:val="auto"/>
                <w:sz w:val="22"/>
                <w:szCs w:val="22"/>
                <w:highlight w:val="none"/>
              </w:rPr>
              <w:t>SSL证书</w:t>
            </w:r>
          </w:p>
        </w:tc>
        <w:tc>
          <w:tcPr>
            <w:tcW w:w="3102" w:type="dxa"/>
            <w:tcBorders>
              <w:top w:val="single" w:color="000000" w:sz="4" w:space="0"/>
              <w:left w:val="nil"/>
              <w:bottom w:val="single" w:color="000000" w:sz="4" w:space="0"/>
              <w:right w:val="single" w:color="000000" w:sz="4" w:space="0"/>
            </w:tcBorders>
            <w:shd w:val="clear" w:color="auto" w:fill="FFFFFF"/>
            <w:noWrap w:val="0"/>
            <w:vAlign w:val="center"/>
          </w:tcPr>
          <w:p w14:paraId="7930AB81">
            <w:pPr>
              <w:keepNext w:val="0"/>
              <w:keepLines w:val="0"/>
              <w:pageBreakBefore w:val="0"/>
              <w:widowControl/>
              <w:kinsoku/>
              <w:wordWrap/>
              <w:overflowPunct/>
              <w:topLinePunct w:val="0"/>
              <w:autoSpaceDE/>
              <w:autoSpaceDN/>
              <w:bidi w:val="0"/>
              <w:adjustRightInd/>
              <w:snapToGrid w:val="0"/>
              <w:spacing w:line="320" w:lineRule="exact"/>
              <w:ind w:left="0" w:leftChars="0" w:right="0" w:rightChars="0" w:firstLine="0" w:firstLineChars="0"/>
              <w:jc w:val="left"/>
              <w:textAlignment w:val="center"/>
              <w:outlineLvl w:val="9"/>
              <w:rPr>
                <w:rFonts w:hint="eastAsia" w:ascii="宋体" w:hAnsi="宋体" w:eastAsia="宋体" w:cs="宋体"/>
                <w:color w:val="auto"/>
                <w:kern w:val="0"/>
                <w:sz w:val="22"/>
                <w:szCs w:val="22"/>
                <w:highlight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为网站提供https保护，对流量进行加密，防止数据被窃取。</w:t>
            </w:r>
          </w:p>
        </w:tc>
        <w:tc>
          <w:tcPr>
            <w:tcW w:w="1057" w:type="dxa"/>
            <w:tcBorders>
              <w:top w:val="single" w:color="000000" w:sz="4" w:space="0"/>
              <w:left w:val="nil"/>
              <w:bottom w:val="single" w:color="000000" w:sz="4" w:space="0"/>
              <w:right w:val="single" w:color="000000" w:sz="4" w:space="0"/>
            </w:tcBorders>
            <w:shd w:val="clear" w:color="auto" w:fill="FFFFFF"/>
            <w:noWrap w:val="0"/>
            <w:vAlign w:val="center"/>
          </w:tcPr>
          <w:p w14:paraId="175F9521">
            <w:pPr>
              <w:keepNext w:val="0"/>
              <w:keepLines w:val="0"/>
              <w:pageBreakBefore w:val="0"/>
              <w:widowControl/>
              <w:kinsoku/>
              <w:wordWrap/>
              <w:overflowPunct/>
              <w:topLinePunct w:val="0"/>
              <w:autoSpaceDE/>
              <w:autoSpaceDN/>
              <w:bidi w:val="0"/>
              <w:adjustRightInd/>
              <w:snapToGrid w:val="0"/>
              <w:spacing w:line="320" w:lineRule="exact"/>
              <w:ind w:left="0" w:leftChars="0" w:right="0" w:rightChars="0" w:firstLine="0" w:firstLineChars="0"/>
              <w:jc w:val="center"/>
              <w:textAlignment w:val="center"/>
              <w:outlineLvl w:val="9"/>
              <w:rPr>
                <w:rFonts w:hint="default" w:ascii="宋体" w:hAnsi="宋体" w:eastAsia="宋体" w:cs="宋体"/>
                <w:color w:val="auto"/>
                <w:kern w:val="0"/>
                <w:sz w:val="22"/>
                <w:szCs w:val="22"/>
                <w:highlight w:val="none"/>
                <w:lang w:val="en-US" w:eastAsia="zh-CN" w:bidi="ar-SA"/>
              </w:rPr>
            </w:pPr>
            <w:r>
              <w:rPr>
                <w:rFonts w:hint="eastAsia" w:ascii="宋体" w:hAnsi="宋体" w:eastAsia="宋体" w:cs="宋体"/>
                <w:color w:val="auto"/>
                <w:kern w:val="0"/>
                <w:sz w:val="22"/>
                <w:szCs w:val="22"/>
                <w:highlight w:val="none"/>
              </w:rPr>
              <w:t>1</w:t>
            </w:r>
            <w:r>
              <w:rPr>
                <w:rFonts w:hint="eastAsia" w:ascii="宋体" w:hAnsi="宋体" w:eastAsia="宋体" w:cs="宋体"/>
                <w:color w:val="auto"/>
                <w:kern w:val="0"/>
                <w:sz w:val="22"/>
                <w:szCs w:val="22"/>
                <w:highlight w:val="none"/>
                <w:lang w:val="en-US" w:eastAsia="zh-CN"/>
              </w:rPr>
              <w:t>域名/月</w:t>
            </w:r>
          </w:p>
        </w:tc>
        <w:tc>
          <w:tcPr>
            <w:tcW w:w="1012" w:type="dxa"/>
            <w:tcBorders>
              <w:top w:val="single" w:color="000000" w:sz="4" w:space="0"/>
              <w:left w:val="nil"/>
              <w:bottom w:val="single" w:color="000000" w:sz="4" w:space="0"/>
              <w:right w:val="single" w:color="000000" w:sz="4" w:space="0"/>
            </w:tcBorders>
            <w:shd w:val="clear" w:color="auto" w:fill="FFFFFF"/>
            <w:noWrap w:val="0"/>
            <w:vAlign w:val="center"/>
          </w:tcPr>
          <w:p w14:paraId="3A154AC2">
            <w:pPr>
              <w:keepNext w:val="0"/>
              <w:keepLines w:val="0"/>
              <w:widowControl/>
              <w:suppressLineNumbers w:val="0"/>
              <w:jc w:val="center"/>
              <w:textAlignment w:val="center"/>
              <w:rPr>
                <w:rFonts w:hint="eastAsia" w:ascii="宋体" w:hAnsi="宋体" w:eastAsia="宋体" w:cs="宋体"/>
                <w:color w:val="auto"/>
                <w:kern w:val="0"/>
                <w:sz w:val="22"/>
                <w:szCs w:val="22"/>
                <w:highlight w:val="none"/>
                <w:lang w:val="en-US" w:eastAsia="zh-CN" w:bidi="ar-SA"/>
              </w:rPr>
            </w:pPr>
            <w:r>
              <w:rPr>
                <w:rFonts w:hint="eastAsia" w:ascii="宋体" w:hAnsi="宋体" w:eastAsia="宋体" w:cs="宋体"/>
                <w:color w:val="auto"/>
                <w:kern w:val="0"/>
                <w:sz w:val="22"/>
                <w:szCs w:val="22"/>
                <w:highlight w:val="none"/>
                <w:lang w:val="en-US" w:eastAsia="zh-CN" w:bidi="ar-SA"/>
              </w:rPr>
              <w:t>1</w:t>
            </w:r>
          </w:p>
        </w:tc>
      </w:tr>
      <w:tr w14:paraId="51BC5B0B">
        <w:tblPrEx>
          <w:tblCellMar>
            <w:top w:w="0" w:type="dxa"/>
            <w:left w:w="108" w:type="dxa"/>
            <w:bottom w:w="0" w:type="dxa"/>
            <w:right w:w="108" w:type="dxa"/>
          </w:tblCellMar>
        </w:tblPrEx>
        <w:trPr>
          <w:trHeight w:val="1275" w:hRule="atLeast"/>
          <w:jc w:val="center"/>
        </w:trPr>
        <w:tc>
          <w:tcPr>
            <w:tcW w:w="1343" w:type="dxa"/>
            <w:vMerge w:val="continue"/>
            <w:tcBorders>
              <w:left w:val="single" w:color="auto" w:sz="4" w:space="0"/>
              <w:bottom w:val="single" w:color="auto" w:sz="4" w:space="0"/>
              <w:right w:val="single" w:color="000000" w:sz="4" w:space="0"/>
            </w:tcBorders>
            <w:shd w:val="clear" w:color="auto" w:fill="auto"/>
            <w:noWrap w:val="0"/>
            <w:vAlign w:val="center"/>
          </w:tcPr>
          <w:p w14:paraId="69051595">
            <w:pPr>
              <w:keepNext w:val="0"/>
              <w:keepLines w:val="0"/>
              <w:pageBreakBefore w:val="0"/>
              <w:widowControl/>
              <w:kinsoku/>
              <w:wordWrap/>
              <w:overflowPunct/>
              <w:topLinePunct w:val="0"/>
              <w:autoSpaceDE/>
              <w:autoSpaceDN/>
              <w:bidi w:val="0"/>
              <w:adjustRightInd/>
              <w:snapToGrid w:val="0"/>
              <w:spacing w:line="320" w:lineRule="exact"/>
              <w:ind w:left="0" w:leftChars="0" w:right="0" w:rightChars="0" w:firstLine="0" w:firstLineChars="0"/>
              <w:jc w:val="left"/>
              <w:outlineLvl w:val="9"/>
              <w:rPr>
                <w:rFonts w:hint="eastAsia" w:ascii="宋体" w:hAnsi="宋体" w:eastAsia="宋体" w:cs="宋体"/>
                <w:b/>
                <w:bCs/>
                <w:color w:val="auto"/>
                <w:sz w:val="22"/>
                <w:szCs w:val="22"/>
                <w:highlight w:val="none"/>
              </w:rPr>
            </w:pPr>
          </w:p>
        </w:tc>
        <w:tc>
          <w:tcPr>
            <w:tcW w:w="1782" w:type="dxa"/>
            <w:tcBorders>
              <w:top w:val="single" w:color="000000" w:sz="4" w:space="0"/>
              <w:left w:val="nil"/>
              <w:bottom w:val="single" w:color="auto" w:sz="4" w:space="0"/>
              <w:right w:val="single" w:color="000000" w:sz="4" w:space="0"/>
            </w:tcBorders>
            <w:shd w:val="clear" w:color="auto" w:fill="FFFFFF"/>
            <w:noWrap w:val="0"/>
            <w:vAlign w:val="center"/>
          </w:tcPr>
          <w:p w14:paraId="5ED0AC46">
            <w:pPr>
              <w:keepNext w:val="0"/>
              <w:keepLines w:val="0"/>
              <w:widowControl/>
              <w:suppressLineNumbers w:val="0"/>
              <w:jc w:val="center"/>
              <w:textAlignment w:val="center"/>
              <w:rPr>
                <w:rFonts w:hint="eastAsia" w:ascii="宋体" w:hAnsi="宋体" w:eastAsia="宋体" w:cs="宋体"/>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Web 应用防火墙（WAF）</w:t>
            </w:r>
          </w:p>
        </w:tc>
        <w:tc>
          <w:tcPr>
            <w:tcW w:w="3102" w:type="dxa"/>
            <w:tcBorders>
              <w:top w:val="single" w:color="000000" w:sz="4" w:space="0"/>
              <w:left w:val="nil"/>
              <w:bottom w:val="single" w:color="000000" w:sz="4" w:space="0"/>
              <w:right w:val="single" w:color="000000" w:sz="4" w:space="0"/>
            </w:tcBorders>
            <w:shd w:val="clear" w:color="auto" w:fill="FFFFFF"/>
            <w:noWrap w:val="0"/>
            <w:vAlign w:val="center"/>
          </w:tcPr>
          <w:p w14:paraId="3E374663">
            <w:pPr>
              <w:keepNext w:val="0"/>
              <w:keepLines w:val="0"/>
              <w:widowControl/>
              <w:suppressLineNumbers w:val="0"/>
              <w:jc w:val="left"/>
              <w:textAlignment w:val="center"/>
              <w:rPr>
                <w:rFonts w:hint="eastAsia" w:ascii="宋体" w:hAnsi="宋体" w:eastAsia="宋体" w:cs="宋体"/>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针对网站及 Web应用系统提供应用层安全防护，支持各类 SQL注入、XSS 攻击、网页木马、WEBSHELL 等 Web威胁防护 （200Mbps）</w:t>
            </w:r>
          </w:p>
        </w:tc>
        <w:tc>
          <w:tcPr>
            <w:tcW w:w="1057" w:type="dxa"/>
            <w:tcBorders>
              <w:top w:val="single" w:color="000000" w:sz="4" w:space="0"/>
              <w:left w:val="nil"/>
              <w:bottom w:val="single" w:color="000000" w:sz="4" w:space="0"/>
              <w:right w:val="single" w:color="000000" w:sz="4" w:space="0"/>
            </w:tcBorders>
            <w:shd w:val="clear" w:color="auto" w:fill="FFFFFF"/>
            <w:noWrap w:val="0"/>
            <w:vAlign w:val="center"/>
          </w:tcPr>
          <w:p w14:paraId="5F489F31">
            <w:pPr>
              <w:keepNext w:val="0"/>
              <w:keepLines w:val="0"/>
              <w:widowControl/>
              <w:suppressLineNumbers w:val="0"/>
              <w:jc w:val="center"/>
              <w:textAlignment w:val="center"/>
              <w:rPr>
                <w:rFonts w:hint="default" w:ascii="宋体" w:hAnsi="宋体" w:eastAsia="宋体" w:cs="宋体"/>
                <w:color w:val="auto"/>
                <w:sz w:val="22"/>
                <w:szCs w:val="22"/>
                <w:highlight w:val="none"/>
                <w:lang w:val="en-US"/>
              </w:rPr>
            </w:pPr>
            <w:r>
              <w:rPr>
                <w:rFonts w:hint="eastAsia" w:ascii="宋体" w:hAnsi="宋体" w:eastAsia="宋体" w:cs="宋体"/>
                <w:i w:val="0"/>
                <w:iCs w:val="0"/>
                <w:color w:val="auto"/>
                <w:kern w:val="0"/>
                <w:sz w:val="22"/>
                <w:szCs w:val="22"/>
                <w:highlight w:val="none"/>
                <w:u w:val="none"/>
                <w:lang w:val="en-US" w:eastAsia="zh-CN" w:bidi="ar"/>
              </w:rPr>
              <w:t>1套/月</w:t>
            </w:r>
          </w:p>
        </w:tc>
        <w:tc>
          <w:tcPr>
            <w:tcW w:w="1012" w:type="dxa"/>
            <w:tcBorders>
              <w:top w:val="single" w:color="000000" w:sz="4" w:space="0"/>
              <w:left w:val="nil"/>
              <w:bottom w:val="single" w:color="000000" w:sz="4" w:space="0"/>
              <w:right w:val="single" w:color="000000" w:sz="4" w:space="0"/>
            </w:tcBorders>
            <w:shd w:val="clear" w:color="auto" w:fill="FFFFFF"/>
            <w:noWrap w:val="0"/>
            <w:vAlign w:val="center"/>
          </w:tcPr>
          <w:p w14:paraId="33301AE5">
            <w:pPr>
              <w:keepNext w:val="0"/>
              <w:keepLines w:val="0"/>
              <w:widowControl/>
              <w:suppressLineNumbers w:val="0"/>
              <w:jc w:val="center"/>
              <w:textAlignment w:val="center"/>
              <w:rPr>
                <w:rFonts w:hint="eastAsia" w:ascii="宋体" w:hAnsi="宋体" w:eastAsia="宋体" w:cs="宋体"/>
                <w:color w:val="auto"/>
                <w:kern w:val="0"/>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2</w:t>
            </w:r>
          </w:p>
        </w:tc>
      </w:tr>
      <w:tr w14:paraId="772C8810">
        <w:tblPrEx>
          <w:tblCellMar>
            <w:top w:w="0" w:type="dxa"/>
            <w:left w:w="108" w:type="dxa"/>
            <w:bottom w:w="0" w:type="dxa"/>
            <w:right w:w="108" w:type="dxa"/>
          </w:tblCellMar>
        </w:tblPrEx>
        <w:trPr>
          <w:trHeight w:val="557" w:hRule="atLeast"/>
          <w:jc w:val="center"/>
        </w:trPr>
        <w:tc>
          <w:tcPr>
            <w:tcW w:w="8296" w:type="dxa"/>
            <w:gridSpan w:val="5"/>
            <w:tcBorders>
              <w:top w:val="single" w:color="auto" w:sz="4" w:space="0"/>
              <w:left w:val="single" w:color="auto" w:sz="4" w:space="0"/>
              <w:bottom w:val="single" w:color="auto" w:sz="4" w:space="0"/>
              <w:right w:val="single" w:color="auto" w:sz="4" w:space="0"/>
            </w:tcBorders>
            <w:shd w:val="clear" w:color="auto" w:fill="D7D7D7"/>
            <w:noWrap w:val="0"/>
            <w:vAlign w:val="center"/>
          </w:tcPr>
          <w:p w14:paraId="78CDFFD0">
            <w:pPr>
              <w:keepNext w:val="0"/>
              <w:keepLines w:val="0"/>
              <w:pageBreakBefore w:val="0"/>
              <w:widowControl/>
              <w:kinsoku/>
              <w:wordWrap/>
              <w:overflowPunct/>
              <w:topLinePunct w:val="0"/>
              <w:autoSpaceDE/>
              <w:autoSpaceDN/>
              <w:bidi w:val="0"/>
              <w:adjustRightInd w:val="0"/>
              <w:snapToGrid/>
              <w:spacing w:line="240" w:lineRule="auto"/>
              <w:jc w:val="center"/>
              <w:textAlignment w:val="center"/>
              <w:rPr>
                <w:rFonts w:hint="eastAsia" w:ascii="宋体" w:hAnsi="宋体" w:eastAsia="宋体" w:cs="宋体"/>
                <w:color w:val="auto"/>
                <w:kern w:val="0"/>
                <w:sz w:val="22"/>
                <w:szCs w:val="22"/>
                <w:highlight w:val="none"/>
                <w:lang w:val="en-US" w:eastAsia="zh-CN" w:bidi="ar-SA"/>
              </w:rPr>
            </w:pPr>
            <w:r>
              <w:rPr>
                <w:rFonts w:hint="eastAsia" w:ascii="宋体" w:hAnsi="宋体" w:eastAsia="宋体" w:cs="宋体"/>
                <w:sz w:val="24"/>
                <w:szCs w:val="24"/>
                <w:highlight w:val="none"/>
                <w:lang w:val="en-US" w:eastAsia="zh-CN"/>
              </w:rPr>
              <w:t>政务云资源-扩展资源清单</w:t>
            </w:r>
          </w:p>
        </w:tc>
      </w:tr>
      <w:tr w14:paraId="06C94E87">
        <w:tblPrEx>
          <w:tblCellMar>
            <w:top w:w="0" w:type="dxa"/>
            <w:left w:w="108" w:type="dxa"/>
            <w:bottom w:w="0" w:type="dxa"/>
            <w:right w:w="108" w:type="dxa"/>
          </w:tblCellMar>
        </w:tblPrEx>
        <w:trPr>
          <w:trHeight w:val="706" w:hRule="atLeast"/>
          <w:jc w:val="center"/>
        </w:trPr>
        <w:tc>
          <w:tcPr>
            <w:tcW w:w="1343" w:type="dxa"/>
            <w:tcBorders>
              <w:top w:val="single" w:color="auto" w:sz="4" w:space="0"/>
              <w:left w:val="single" w:color="auto" w:sz="4" w:space="0"/>
              <w:bottom w:val="single" w:color="auto" w:sz="4" w:space="0"/>
              <w:right w:val="single" w:color="auto" w:sz="4" w:space="0"/>
            </w:tcBorders>
            <w:shd w:val="clear" w:color="auto" w:fill="D7D7D7"/>
            <w:noWrap w:val="0"/>
            <w:vAlign w:val="center"/>
          </w:tcPr>
          <w:p w14:paraId="1911BD90">
            <w:pPr>
              <w:keepNext w:val="0"/>
              <w:keepLines w:val="0"/>
              <w:pageBreakBefore w:val="0"/>
              <w:widowControl/>
              <w:kinsoku/>
              <w:wordWrap/>
              <w:overflowPunct/>
              <w:topLinePunct w:val="0"/>
              <w:autoSpaceDE/>
              <w:autoSpaceDN/>
              <w:bidi w:val="0"/>
              <w:adjustRightInd w:val="0"/>
              <w:snapToGrid/>
              <w:spacing w:line="240" w:lineRule="auto"/>
              <w:jc w:val="center"/>
              <w:textAlignment w:val="center"/>
              <w:rPr>
                <w:rFonts w:hint="eastAsia" w:ascii="宋体" w:hAnsi="宋体" w:eastAsia="宋体" w:cs="宋体"/>
                <w:b/>
                <w:bCs/>
                <w:color w:val="auto"/>
                <w:kern w:val="0"/>
                <w:sz w:val="22"/>
                <w:szCs w:val="22"/>
                <w:highlight w:val="none"/>
              </w:rPr>
            </w:pPr>
            <w:r>
              <w:rPr>
                <w:rFonts w:hint="eastAsia" w:ascii="宋体" w:hAnsi="宋体" w:eastAsia="宋体" w:cs="宋体"/>
                <w:b w:val="0"/>
                <w:bCs w:val="0"/>
                <w:sz w:val="24"/>
                <w:szCs w:val="24"/>
                <w:highlight w:val="none"/>
                <w:lang w:val="en-US" w:eastAsia="zh-CN"/>
              </w:rPr>
              <w:t>服务类别</w:t>
            </w:r>
          </w:p>
        </w:tc>
        <w:tc>
          <w:tcPr>
            <w:tcW w:w="1782" w:type="dxa"/>
            <w:tcBorders>
              <w:top w:val="single" w:color="auto" w:sz="4" w:space="0"/>
              <w:left w:val="single" w:color="auto" w:sz="4" w:space="0"/>
              <w:bottom w:val="single" w:color="auto" w:sz="4" w:space="0"/>
              <w:right w:val="single" w:color="auto" w:sz="4" w:space="0"/>
            </w:tcBorders>
            <w:shd w:val="clear" w:color="auto" w:fill="D7D7D7"/>
            <w:noWrap w:val="0"/>
            <w:vAlign w:val="center"/>
          </w:tcPr>
          <w:p w14:paraId="0C9E3F64">
            <w:pPr>
              <w:keepNext w:val="0"/>
              <w:keepLines w:val="0"/>
              <w:pageBreakBefore w:val="0"/>
              <w:widowControl/>
              <w:kinsoku/>
              <w:wordWrap/>
              <w:overflowPunct/>
              <w:topLinePunct w:val="0"/>
              <w:autoSpaceDE/>
              <w:autoSpaceDN/>
              <w:bidi w:val="0"/>
              <w:adjustRightInd w:val="0"/>
              <w:snapToGrid/>
              <w:spacing w:line="240" w:lineRule="auto"/>
              <w:jc w:val="center"/>
              <w:textAlignment w:val="center"/>
              <w:rPr>
                <w:rFonts w:hint="eastAsia" w:ascii="宋体" w:hAnsi="宋体" w:eastAsia="宋体" w:cs="宋体"/>
                <w:color w:val="auto"/>
                <w:sz w:val="22"/>
                <w:szCs w:val="22"/>
                <w:highlight w:val="none"/>
              </w:rPr>
            </w:pPr>
            <w:r>
              <w:rPr>
                <w:rFonts w:hint="eastAsia" w:ascii="宋体" w:hAnsi="宋体" w:eastAsia="宋体" w:cs="宋体"/>
                <w:sz w:val="24"/>
                <w:szCs w:val="24"/>
                <w:highlight w:val="none"/>
                <w:lang w:val="en-US" w:eastAsia="zh-CN"/>
              </w:rPr>
              <w:t>服务子类</w:t>
            </w:r>
          </w:p>
        </w:tc>
        <w:tc>
          <w:tcPr>
            <w:tcW w:w="3102" w:type="dxa"/>
            <w:tcBorders>
              <w:top w:val="single" w:color="000000" w:sz="4" w:space="0"/>
              <w:left w:val="single" w:color="auto" w:sz="4" w:space="0"/>
              <w:bottom w:val="single" w:color="000000" w:sz="4" w:space="0"/>
              <w:right w:val="single" w:color="000000" w:sz="4" w:space="0"/>
            </w:tcBorders>
            <w:shd w:val="clear" w:color="auto" w:fill="D7D7D7"/>
            <w:noWrap w:val="0"/>
            <w:vAlign w:val="center"/>
          </w:tcPr>
          <w:p w14:paraId="2A923B1B">
            <w:pPr>
              <w:keepNext w:val="0"/>
              <w:keepLines w:val="0"/>
              <w:pageBreakBefore w:val="0"/>
              <w:widowControl/>
              <w:kinsoku/>
              <w:wordWrap/>
              <w:overflowPunct/>
              <w:topLinePunct w:val="0"/>
              <w:autoSpaceDE/>
              <w:autoSpaceDN/>
              <w:bidi w:val="0"/>
              <w:adjustRightInd w:val="0"/>
              <w:snapToGrid/>
              <w:spacing w:line="240" w:lineRule="auto"/>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sz w:val="24"/>
                <w:szCs w:val="24"/>
                <w:highlight w:val="none"/>
                <w:lang w:val="en-US" w:eastAsia="zh-CN"/>
              </w:rPr>
              <w:t>服务项</w:t>
            </w:r>
          </w:p>
        </w:tc>
        <w:tc>
          <w:tcPr>
            <w:tcW w:w="1057" w:type="dxa"/>
            <w:tcBorders>
              <w:top w:val="single" w:color="000000" w:sz="4" w:space="0"/>
              <w:left w:val="nil"/>
              <w:bottom w:val="single" w:color="000000" w:sz="4" w:space="0"/>
              <w:right w:val="single" w:color="000000" w:sz="4" w:space="0"/>
            </w:tcBorders>
            <w:shd w:val="clear" w:color="auto" w:fill="D7D7D7"/>
            <w:noWrap w:val="0"/>
            <w:vAlign w:val="center"/>
          </w:tcPr>
          <w:p w14:paraId="7E47CDA1">
            <w:pPr>
              <w:keepNext w:val="0"/>
              <w:keepLines w:val="0"/>
              <w:pageBreakBefore w:val="0"/>
              <w:widowControl/>
              <w:kinsoku/>
              <w:wordWrap/>
              <w:overflowPunct/>
              <w:topLinePunct w:val="0"/>
              <w:autoSpaceDE/>
              <w:autoSpaceDN/>
              <w:bidi w:val="0"/>
              <w:adjustRightInd w:val="0"/>
              <w:snapToGrid/>
              <w:spacing w:line="240" w:lineRule="auto"/>
              <w:jc w:val="center"/>
              <w:textAlignment w:val="center"/>
              <w:rPr>
                <w:rFonts w:hint="eastAsia" w:ascii="宋体" w:hAnsi="宋体" w:eastAsia="宋体" w:cs="宋体"/>
                <w:color w:val="auto"/>
                <w:kern w:val="0"/>
                <w:sz w:val="22"/>
                <w:szCs w:val="22"/>
                <w:highlight w:val="none"/>
              </w:rPr>
            </w:pPr>
            <w:r>
              <w:rPr>
                <w:rFonts w:hint="eastAsia" w:ascii="宋体" w:hAnsi="宋体" w:eastAsia="宋体" w:cs="宋体"/>
                <w:sz w:val="24"/>
                <w:szCs w:val="24"/>
                <w:highlight w:val="none"/>
                <w:lang w:val="en-US" w:eastAsia="zh-CN"/>
              </w:rPr>
              <w:t>单位</w:t>
            </w:r>
          </w:p>
        </w:tc>
        <w:tc>
          <w:tcPr>
            <w:tcW w:w="1012" w:type="dxa"/>
            <w:tcBorders>
              <w:top w:val="single" w:color="000000" w:sz="4" w:space="0"/>
              <w:left w:val="nil"/>
              <w:bottom w:val="single" w:color="000000" w:sz="4" w:space="0"/>
              <w:right w:val="single" w:color="000000" w:sz="4" w:space="0"/>
            </w:tcBorders>
            <w:shd w:val="clear" w:color="auto" w:fill="D7D7D7"/>
            <w:noWrap w:val="0"/>
            <w:vAlign w:val="center"/>
          </w:tcPr>
          <w:p w14:paraId="79071D3B">
            <w:pPr>
              <w:keepNext w:val="0"/>
              <w:keepLines w:val="0"/>
              <w:pageBreakBefore w:val="0"/>
              <w:widowControl/>
              <w:kinsoku/>
              <w:wordWrap/>
              <w:overflowPunct/>
              <w:topLinePunct w:val="0"/>
              <w:autoSpaceDE/>
              <w:autoSpaceDN/>
              <w:bidi w:val="0"/>
              <w:adjustRightInd w:val="0"/>
              <w:snapToGrid/>
              <w:spacing w:line="240" w:lineRule="auto"/>
              <w:jc w:val="center"/>
              <w:textAlignment w:val="center"/>
              <w:rPr>
                <w:rFonts w:hint="eastAsia" w:ascii="宋体" w:hAnsi="宋体" w:eastAsia="宋体" w:cs="宋体"/>
                <w:color w:val="auto"/>
                <w:kern w:val="0"/>
                <w:sz w:val="22"/>
                <w:szCs w:val="22"/>
                <w:highlight w:val="none"/>
                <w:lang w:val="en-US" w:eastAsia="zh-CN" w:bidi="ar-SA"/>
              </w:rPr>
            </w:pPr>
            <w:r>
              <w:rPr>
                <w:rFonts w:hint="eastAsia" w:ascii="宋体" w:hAnsi="宋体" w:eastAsia="宋体" w:cs="宋体"/>
                <w:sz w:val="24"/>
                <w:szCs w:val="24"/>
                <w:highlight w:val="none"/>
                <w:lang w:val="en-US" w:eastAsia="zh-CN"/>
              </w:rPr>
              <w:t>数量</w:t>
            </w:r>
          </w:p>
        </w:tc>
      </w:tr>
      <w:tr w14:paraId="2AE53F91">
        <w:tblPrEx>
          <w:tblCellMar>
            <w:top w:w="0" w:type="dxa"/>
            <w:left w:w="108" w:type="dxa"/>
            <w:bottom w:w="0" w:type="dxa"/>
            <w:right w:w="108" w:type="dxa"/>
          </w:tblCellMar>
        </w:tblPrEx>
        <w:trPr>
          <w:trHeight w:val="706" w:hRule="atLeast"/>
          <w:jc w:val="center"/>
        </w:trPr>
        <w:tc>
          <w:tcPr>
            <w:tcW w:w="134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9EA57E6">
            <w:pPr>
              <w:keepNext w:val="0"/>
              <w:keepLines w:val="0"/>
              <w:pageBreakBefore w:val="0"/>
              <w:widowControl/>
              <w:kinsoku/>
              <w:wordWrap/>
              <w:overflowPunct/>
              <w:topLinePunct w:val="0"/>
              <w:autoSpaceDE/>
              <w:autoSpaceDN/>
              <w:bidi w:val="0"/>
              <w:adjustRightInd/>
              <w:snapToGrid w:val="0"/>
              <w:spacing w:line="320" w:lineRule="exact"/>
              <w:ind w:left="0" w:leftChars="0" w:right="0" w:rightChars="0" w:firstLine="0" w:firstLineChars="0"/>
              <w:jc w:val="center"/>
              <w:textAlignment w:val="center"/>
              <w:outlineLvl w:val="9"/>
              <w:rPr>
                <w:rFonts w:hint="eastAsia" w:ascii="宋体" w:hAnsi="宋体" w:eastAsia="宋体" w:cs="宋体"/>
                <w:b/>
                <w:bCs/>
                <w:color w:val="auto"/>
                <w:kern w:val="2"/>
                <w:sz w:val="22"/>
                <w:szCs w:val="22"/>
                <w:highlight w:val="none"/>
                <w:lang w:val="en-US" w:eastAsia="zh-CN" w:bidi="ar-SA"/>
              </w:rPr>
            </w:pPr>
            <w:r>
              <w:rPr>
                <w:rFonts w:hint="eastAsia" w:ascii="宋体" w:hAnsi="宋体" w:eastAsia="宋体" w:cs="宋体"/>
                <w:b/>
                <w:bCs/>
                <w:color w:val="auto"/>
                <w:kern w:val="0"/>
                <w:sz w:val="22"/>
                <w:szCs w:val="22"/>
                <w:highlight w:val="none"/>
              </w:rPr>
              <w:t>基础软件支撑服务</w:t>
            </w:r>
          </w:p>
        </w:tc>
        <w:tc>
          <w:tcPr>
            <w:tcW w:w="178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4E8BCCE">
            <w:pPr>
              <w:keepNext w:val="0"/>
              <w:keepLines w:val="0"/>
              <w:widowControl/>
              <w:suppressLineNumbers w:val="0"/>
              <w:jc w:val="center"/>
              <w:textAlignment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商用操作系统套餐</w:t>
            </w:r>
          </w:p>
        </w:tc>
        <w:tc>
          <w:tcPr>
            <w:tcW w:w="3102"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77CEDCAE">
            <w:pPr>
              <w:keepNext w:val="0"/>
              <w:keepLines w:val="0"/>
              <w:widowControl/>
              <w:suppressLineNumbers w:val="0"/>
              <w:jc w:val="left"/>
              <w:textAlignment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rPr>
              <w:t>Windows Server套餐、银河麒麟、统信uos：租用、安装及维护</w:t>
            </w:r>
          </w:p>
        </w:tc>
        <w:tc>
          <w:tcPr>
            <w:tcW w:w="1057" w:type="dxa"/>
            <w:tcBorders>
              <w:top w:val="single" w:color="000000" w:sz="4" w:space="0"/>
              <w:left w:val="nil"/>
              <w:bottom w:val="single" w:color="000000" w:sz="4" w:space="0"/>
              <w:right w:val="single" w:color="000000" w:sz="4" w:space="0"/>
            </w:tcBorders>
            <w:shd w:val="clear" w:color="auto" w:fill="FFFFFF"/>
            <w:noWrap w:val="0"/>
            <w:vAlign w:val="center"/>
          </w:tcPr>
          <w:p w14:paraId="27315C7F">
            <w:pPr>
              <w:keepNext w:val="0"/>
              <w:keepLines w:val="0"/>
              <w:widowControl/>
              <w:suppressLineNumbers w:val="0"/>
              <w:jc w:val="center"/>
              <w:textAlignment w:val="center"/>
              <w:rPr>
                <w:rFonts w:hint="default" w:ascii="宋体" w:hAnsi="宋体" w:eastAsia="宋体" w:cs="宋体"/>
                <w:color w:val="auto"/>
                <w:kern w:val="2"/>
                <w:sz w:val="22"/>
                <w:szCs w:val="22"/>
                <w:highlight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1个云主机/月</w:t>
            </w:r>
          </w:p>
        </w:tc>
        <w:tc>
          <w:tcPr>
            <w:tcW w:w="1012" w:type="dxa"/>
            <w:tcBorders>
              <w:top w:val="single" w:color="000000" w:sz="4" w:space="0"/>
              <w:left w:val="nil"/>
              <w:bottom w:val="single" w:color="000000" w:sz="4" w:space="0"/>
              <w:right w:val="single" w:color="000000" w:sz="4" w:space="0"/>
            </w:tcBorders>
            <w:shd w:val="clear" w:color="auto" w:fill="FFFFFF"/>
            <w:noWrap w:val="0"/>
            <w:vAlign w:val="center"/>
          </w:tcPr>
          <w:p w14:paraId="23B7FC08">
            <w:pPr>
              <w:keepNext w:val="0"/>
              <w:keepLines w:val="0"/>
              <w:widowControl/>
              <w:suppressLineNumbers w:val="0"/>
              <w:jc w:val="center"/>
              <w:textAlignment w:val="center"/>
              <w:rPr>
                <w:rFonts w:hint="eastAsia" w:ascii="宋体" w:hAnsi="宋体" w:eastAsia="宋体" w:cs="宋体"/>
                <w:color w:val="auto"/>
                <w:kern w:val="0"/>
                <w:sz w:val="22"/>
                <w:szCs w:val="22"/>
                <w:highlight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155</w:t>
            </w:r>
          </w:p>
        </w:tc>
      </w:tr>
      <w:tr w14:paraId="42FD0EC4">
        <w:tblPrEx>
          <w:tblCellMar>
            <w:top w:w="0" w:type="dxa"/>
            <w:left w:w="108" w:type="dxa"/>
            <w:bottom w:w="0" w:type="dxa"/>
            <w:right w:w="108" w:type="dxa"/>
          </w:tblCellMar>
        </w:tblPrEx>
        <w:trPr>
          <w:trHeight w:val="706" w:hRule="atLeast"/>
          <w:jc w:val="center"/>
        </w:trPr>
        <w:tc>
          <w:tcPr>
            <w:tcW w:w="1343" w:type="dxa"/>
            <w:vMerge w:val="restart"/>
            <w:tcBorders>
              <w:top w:val="single" w:color="auto" w:sz="4" w:space="0"/>
              <w:left w:val="single" w:color="auto" w:sz="4" w:space="0"/>
              <w:right w:val="single" w:color="auto" w:sz="4" w:space="0"/>
            </w:tcBorders>
            <w:shd w:val="clear" w:color="auto" w:fill="auto"/>
            <w:noWrap w:val="0"/>
            <w:vAlign w:val="center"/>
          </w:tcPr>
          <w:p w14:paraId="2CB9B336">
            <w:pPr>
              <w:keepNext w:val="0"/>
              <w:keepLines w:val="0"/>
              <w:pageBreakBefore w:val="0"/>
              <w:widowControl/>
              <w:kinsoku/>
              <w:wordWrap/>
              <w:overflowPunct/>
              <w:topLinePunct w:val="0"/>
              <w:autoSpaceDE/>
              <w:autoSpaceDN/>
              <w:bidi w:val="0"/>
              <w:adjustRightInd/>
              <w:snapToGrid w:val="0"/>
              <w:spacing w:line="320" w:lineRule="exact"/>
              <w:ind w:left="0" w:leftChars="0" w:right="0" w:rightChars="0" w:firstLine="0" w:firstLineChars="0"/>
              <w:jc w:val="center"/>
              <w:textAlignment w:val="center"/>
              <w:outlineLvl w:val="9"/>
              <w:rPr>
                <w:rFonts w:hint="eastAsia" w:ascii="宋体" w:hAnsi="宋体" w:eastAsia="宋体" w:cs="宋体"/>
                <w:b/>
                <w:bCs/>
                <w:color w:val="auto"/>
                <w:kern w:val="2"/>
                <w:sz w:val="22"/>
                <w:szCs w:val="22"/>
                <w:highlight w:val="none"/>
                <w:lang w:val="en-US" w:eastAsia="zh-CN" w:bidi="ar-SA"/>
              </w:rPr>
            </w:pPr>
            <w:r>
              <w:rPr>
                <w:rFonts w:hint="eastAsia" w:ascii="宋体" w:hAnsi="宋体" w:eastAsia="宋体" w:cs="宋体"/>
                <w:b/>
                <w:bCs/>
                <w:color w:val="auto"/>
                <w:kern w:val="0"/>
                <w:sz w:val="22"/>
                <w:szCs w:val="22"/>
                <w:highlight w:val="none"/>
              </w:rPr>
              <w:t>安全</w:t>
            </w:r>
            <w:r>
              <w:rPr>
                <w:rFonts w:hint="eastAsia" w:ascii="宋体" w:hAnsi="宋体" w:eastAsia="宋体" w:cs="宋体"/>
                <w:b/>
                <w:bCs/>
                <w:color w:val="auto"/>
                <w:kern w:val="0"/>
                <w:sz w:val="22"/>
                <w:szCs w:val="22"/>
                <w:highlight w:val="none"/>
                <w:lang w:val="en-US" w:eastAsia="zh-CN"/>
              </w:rPr>
              <w:t>监测及防护</w:t>
            </w:r>
            <w:r>
              <w:rPr>
                <w:rFonts w:hint="eastAsia" w:ascii="宋体" w:hAnsi="宋体" w:eastAsia="宋体" w:cs="宋体"/>
                <w:b/>
                <w:bCs/>
                <w:color w:val="auto"/>
                <w:kern w:val="0"/>
                <w:sz w:val="22"/>
                <w:szCs w:val="22"/>
                <w:highlight w:val="none"/>
              </w:rPr>
              <w:t>服务</w:t>
            </w:r>
          </w:p>
          <w:p w14:paraId="7DCA13E9">
            <w:pPr>
              <w:keepNext w:val="0"/>
              <w:keepLines w:val="0"/>
              <w:pageBreakBefore w:val="0"/>
              <w:widowControl/>
              <w:kinsoku/>
              <w:wordWrap/>
              <w:overflowPunct/>
              <w:topLinePunct w:val="0"/>
              <w:autoSpaceDE/>
              <w:autoSpaceDN/>
              <w:bidi w:val="0"/>
              <w:adjustRightInd/>
              <w:snapToGrid w:val="0"/>
              <w:spacing w:line="320" w:lineRule="exact"/>
              <w:ind w:left="0" w:leftChars="0" w:right="0" w:rightChars="0" w:firstLine="0" w:firstLineChars="0"/>
              <w:jc w:val="center"/>
              <w:textAlignment w:val="center"/>
              <w:outlineLvl w:val="9"/>
              <w:rPr>
                <w:rFonts w:hint="eastAsia" w:ascii="宋体" w:hAnsi="宋体" w:eastAsia="宋体" w:cs="宋体"/>
                <w:b/>
                <w:bCs/>
                <w:color w:val="auto"/>
                <w:kern w:val="0"/>
                <w:sz w:val="22"/>
                <w:szCs w:val="22"/>
                <w:highlight w:val="none"/>
              </w:rPr>
            </w:pPr>
          </w:p>
        </w:tc>
        <w:tc>
          <w:tcPr>
            <w:tcW w:w="178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948C9E1">
            <w:pPr>
              <w:keepNext w:val="0"/>
              <w:keepLines w:val="0"/>
              <w:widowControl/>
              <w:suppressLineNumbers w:val="0"/>
              <w:jc w:val="center"/>
              <w:textAlignment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主机杀毒服务</w:t>
            </w:r>
          </w:p>
        </w:tc>
        <w:tc>
          <w:tcPr>
            <w:tcW w:w="3102"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1864AE94">
            <w:pPr>
              <w:keepNext w:val="0"/>
              <w:keepLines w:val="0"/>
              <w:widowControl/>
              <w:suppressLineNumbers w:val="0"/>
              <w:jc w:val="left"/>
              <w:textAlignment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bCs/>
                <w:color w:val="auto"/>
                <w:sz w:val="22"/>
                <w:szCs w:val="22"/>
                <w:highlight w:val="none"/>
                <w:lang w:bidi="ar"/>
              </w:rPr>
              <w:t>对云主机进行定期的病毒查杀，杀毒软件集中控制，对网络性能无影响</w:t>
            </w:r>
          </w:p>
        </w:tc>
        <w:tc>
          <w:tcPr>
            <w:tcW w:w="1057" w:type="dxa"/>
            <w:tcBorders>
              <w:top w:val="single" w:color="000000" w:sz="4" w:space="0"/>
              <w:left w:val="nil"/>
              <w:bottom w:val="single" w:color="000000" w:sz="4" w:space="0"/>
              <w:right w:val="single" w:color="000000" w:sz="4" w:space="0"/>
            </w:tcBorders>
            <w:shd w:val="clear" w:color="auto" w:fill="FFFFFF"/>
            <w:noWrap w:val="0"/>
            <w:vAlign w:val="center"/>
          </w:tcPr>
          <w:p w14:paraId="14A5E673">
            <w:pPr>
              <w:keepNext w:val="0"/>
              <w:keepLines w:val="0"/>
              <w:widowControl/>
              <w:suppressLineNumbers w:val="0"/>
              <w:jc w:val="center"/>
              <w:textAlignment w:val="center"/>
              <w:rPr>
                <w:rFonts w:hint="default" w:ascii="宋体" w:hAnsi="宋体" w:eastAsia="宋体" w:cs="宋体"/>
                <w:color w:val="auto"/>
                <w:kern w:val="2"/>
                <w:sz w:val="22"/>
                <w:szCs w:val="22"/>
                <w:highlight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1台/月</w:t>
            </w:r>
          </w:p>
        </w:tc>
        <w:tc>
          <w:tcPr>
            <w:tcW w:w="1012" w:type="dxa"/>
            <w:tcBorders>
              <w:top w:val="single" w:color="000000" w:sz="4" w:space="0"/>
              <w:left w:val="nil"/>
              <w:bottom w:val="single" w:color="000000" w:sz="4" w:space="0"/>
              <w:right w:val="single" w:color="000000" w:sz="4" w:space="0"/>
            </w:tcBorders>
            <w:shd w:val="clear" w:color="auto" w:fill="FFFFFF"/>
            <w:noWrap w:val="0"/>
            <w:vAlign w:val="center"/>
          </w:tcPr>
          <w:p w14:paraId="6148DEAD">
            <w:pPr>
              <w:keepNext w:val="0"/>
              <w:keepLines w:val="0"/>
              <w:widowControl/>
              <w:suppressLineNumbers w:val="0"/>
              <w:jc w:val="center"/>
              <w:textAlignment w:val="center"/>
              <w:rPr>
                <w:rFonts w:hint="eastAsia" w:ascii="宋体" w:hAnsi="宋体" w:eastAsia="宋体" w:cs="宋体"/>
                <w:color w:val="auto"/>
                <w:kern w:val="0"/>
                <w:sz w:val="22"/>
                <w:szCs w:val="22"/>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155</w:t>
            </w:r>
          </w:p>
        </w:tc>
      </w:tr>
      <w:tr w14:paraId="0F0C6D5E">
        <w:tblPrEx>
          <w:tblCellMar>
            <w:top w:w="0" w:type="dxa"/>
            <w:left w:w="108" w:type="dxa"/>
            <w:bottom w:w="0" w:type="dxa"/>
            <w:right w:w="108" w:type="dxa"/>
          </w:tblCellMar>
        </w:tblPrEx>
        <w:trPr>
          <w:trHeight w:val="706" w:hRule="atLeast"/>
          <w:jc w:val="center"/>
        </w:trPr>
        <w:tc>
          <w:tcPr>
            <w:tcW w:w="1343" w:type="dxa"/>
            <w:vMerge w:val="continue"/>
            <w:tcBorders>
              <w:left w:val="single" w:color="auto" w:sz="4" w:space="0"/>
              <w:right w:val="single" w:color="auto" w:sz="4" w:space="0"/>
            </w:tcBorders>
            <w:shd w:val="clear" w:color="auto" w:fill="auto"/>
            <w:noWrap w:val="0"/>
            <w:vAlign w:val="center"/>
          </w:tcPr>
          <w:p w14:paraId="29A7E871">
            <w:pPr>
              <w:keepNext w:val="0"/>
              <w:keepLines w:val="0"/>
              <w:pageBreakBefore w:val="0"/>
              <w:widowControl/>
              <w:kinsoku/>
              <w:wordWrap/>
              <w:overflowPunct/>
              <w:topLinePunct w:val="0"/>
              <w:autoSpaceDE/>
              <w:autoSpaceDN/>
              <w:bidi w:val="0"/>
              <w:adjustRightInd/>
              <w:snapToGrid w:val="0"/>
              <w:spacing w:line="320" w:lineRule="exact"/>
              <w:ind w:left="0" w:leftChars="0" w:right="0" w:rightChars="0" w:firstLine="0" w:firstLineChars="0"/>
              <w:jc w:val="center"/>
              <w:textAlignment w:val="center"/>
              <w:outlineLvl w:val="9"/>
              <w:rPr>
                <w:rFonts w:hint="eastAsia" w:ascii="宋体" w:hAnsi="宋体" w:eastAsia="宋体" w:cs="宋体"/>
                <w:b/>
                <w:bCs/>
                <w:color w:val="auto"/>
                <w:kern w:val="0"/>
                <w:sz w:val="22"/>
                <w:szCs w:val="22"/>
                <w:highlight w:val="none"/>
              </w:rPr>
            </w:pPr>
          </w:p>
        </w:tc>
        <w:tc>
          <w:tcPr>
            <w:tcW w:w="178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4186655">
            <w:pPr>
              <w:keepNext w:val="0"/>
              <w:keepLines w:val="0"/>
              <w:widowControl/>
              <w:suppressLineNumbers w:val="0"/>
              <w:jc w:val="center"/>
              <w:textAlignment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主机防护</w:t>
            </w:r>
          </w:p>
        </w:tc>
        <w:tc>
          <w:tcPr>
            <w:tcW w:w="3102"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3E118927">
            <w:pPr>
              <w:keepNext w:val="0"/>
              <w:keepLines w:val="0"/>
              <w:widowControl/>
              <w:suppressLineNumbers w:val="0"/>
              <w:jc w:val="left"/>
              <w:textAlignment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bCs/>
                <w:color w:val="auto"/>
                <w:sz w:val="22"/>
                <w:szCs w:val="22"/>
                <w:highlight w:val="none"/>
                <w:lang w:bidi="ar"/>
              </w:rPr>
              <w:t>提供符合等保三级要求的主机权限管理及安全防护</w:t>
            </w:r>
          </w:p>
        </w:tc>
        <w:tc>
          <w:tcPr>
            <w:tcW w:w="1057" w:type="dxa"/>
            <w:tcBorders>
              <w:top w:val="single" w:color="000000" w:sz="4" w:space="0"/>
              <w:left w:val="nil"/>
              <w:bottom w:val="single" w:color="000000" w:sz="4" w:space="0"/>
              <w:right w:val="single" w:color="000000" w:sz="4" w:space="0"/>
            </w:tcBorders>
            <w:shd w:val="clear" w:color="auto" w:fill="FFFFFF"/>
            <w:noWrap w:val="0"/>
            <w:vAlign w:val="center"/>
          </w:tcPr>
          <w:p w14:paraId="5457439A">
            <w:pPr>
              <w:keepNext w:val="0"/>
              <w:keepLines w:val="0"/>
              <w:widowControl/>
              <w:suppressLineNumbers w:val="0"/>
              <w:jc w:val="center"/>
              <w:textAlignment w:val="center"/>
              <w:rPr>
                <w:rFonts w:hint="default" w:ascii="宋体" w:hAnsi="宋体" w:eastAsia="宋体" w:cs="宋体"/>
                <w:color w:val="auto"/>
                <w:kern w:val="2"/>
                <w:sz w:val="22"/>
                <w:szCs w:val="22"/>
                <w:highlight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1台/月</w:t>
            </w:r>
          </w:p>
        </w:tc>
        <w:tc>
          <w:tcPr>
            <w:tcW w:w="1012" w:type="dxa"/>
            <w:tcBorders>
              <w:top w:val="single" w:color="000000" w:sz="4" w:space="0"/>
              <w:left w:val="nil"/>
              <w:bottom w:val="single" w:color="000000" w:sz="4" w:space="0"/>
              <w:right w:val="single" w:color="000000" w:sz="4" w:space="0"/>
            </w:tcBorders>
            <w:shd w:val="clear" w:color="auto" w:fill="FFFFFF"/>
            <w:noWrap w:val="0"/>
            <w:vAlign w:val="center"/>
          </w:tcPr>
          <w:p w14:paraId="440D2AE1">
            <w:pPr>
              <w:keepNext w:val="0"/>
              <w:keepLines w:val="0"/>
              <w:widowControl/>
              <w:suppressLineNumbers w:val="0"/>
              <w:jc w:val="center"/>
              <w:textAlignment w:val="center"/>
              <w:rPr>
                <w:rFonts w:hint="eastAsia" w:ascii="宋体" w:hAnsi="宋体" w:eastAsia="宋体" w:cs="宋体"/>
                <w:color w:val="auto"/>
                <w:kern w:val="0"/>
                <w:sz w:val="22"/>
                <w:szCs w:val="22"/>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155</w:t>
            </w:r>
          </w:p>
        </w:tc>
      </w:tr>
      <w:tr w14:paraId="58DE604B">
        <w:tblPrEx>
          <w:tblCellMar>
            <w:top w:w="0" w:type="dxa"/>
            <w:left w:w="108" w:type="dxa"/>
            <w:bottom w:w="0" w:type="dxa"/>
            <w:right w:w="108" w:type="dxa"/>
          </w:tblCellMar>
        </w:tblPrEx>
        <w:trPr>
          <w:trHeight w:val="706" w:hRule="atLeast"/>
          <w:jc w:val="center"/>
        </w:trPr>
        <w:tc>
          <w:tcPr>
            <w:tcW w:w="1343" w:type="dxa"/>
            <w:vMerge w:val="continue"/>
            <w:tcBorders>
              <w:left w:val="single" w:color="auto" w:sz="4" w:space="0"/>
              <w:right w:val="single" w:color="auto" w:sz="4" w:space="0"/>
            </w:tcBorders>
            <w:shd w:val="clear" w:color="auto" w:fill="auto"/>
            <w:noWrap w:val="0"/>
            <w:vAlign w:val="center"/>
          </w:tcPr>
          <w:p w14:paraId="066381B6">
            <w:pPr>
              <w:keepNext w:val="0"/>
              <w:keepLines w:val="0"/>
              <w:pageBreakBefore w:val="0"/>
              <w:widowControl/>
              <w:kinsoku/>
              <w:wordWrap/>
              <w:overflowPunct/>
              <w:topLinePunct w:val="0"/>
              <w:autoSpaceDE/>
              <w:autoSpaceDN/>
              <w:bidi w:val="0"/>
              <w:adjustRightInd/>
              <w:snapToGrid w:val="0"/>
              <w:spacing w:line="320" w:lineRule="exact"/>
              <w:ind w:left="0" w:leftChars="0" w:right="0" w:rightChars="0" w:firstLine="0" w:firstLineChars="0"/>
              <w:jc w:val="center"/>
              <w:textAlignment w:val="center"/>
              <w:outlineLvl w:val="9"/>
              <w:rPr>
                <w:rFonts w:hint="eastAsia" w:ascii="宋体" w:hAnsi="宋体" w:eastAsia="宋体" w:cs="宋体"/>
                <w:b/>
                <w:bCs/>
                <w:color w:val="auto"/>
                <w:kern w:val="0"/>
                <w:sz w:val="22"/>
                <w:szCs w:val="22"/>
                <w:highlight w:val="none"/>
              </w:rPr>
            </w:pPr>
          </w:p>
        </w:tc>
        <w:tc>
          <w:tcPr>
            <w:tcW w:w="178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FC8617C">
            <w:pPr>
              <w:keepNext w:val="0"/>
              <w:keepLines w:val="0"/>
              <w:widowControl/>
              <w:suppressLineNumbers w:val="0"/>
              <w:jc w:val="center"/>
              <w:textAlignment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主机安全加固</w:t>
            </w:r>
          </w:p>
        </w:tc>
        <w:tc>
          <w:tcPr>
            <w:tcW w:w="3102"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7B80EE95">
            <w:pPr>
              <w:keepNext w:val="0"/>
              <w:keepLines w:val="0"/>
              <w:widowControl/>
              <w:suppressLineNumbers w:val="0"/>
              <w:jc w:val="left"/>
              <w:textAlignment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bCs/>
                <w:color w:val="auto"/>
                <w:sz w:val="22"/>
                <w:szCs w:val="22"/>
                <w:highlight w:val="none"/>
                <w:lang w:bidi="ar"/>
              </w:rPr>
              <w:t>针对漏扫或等级测评结果对操作系统进行安全加固，用以解决等级测评结果中所显示的漏洞</w:t>
            </w:r>
          </w:p>
        </w:tc>
        <w:tc>
          <w:tcPr>
            <w:tcW w:w="1057" w:type="dxa"/>
            <w:tcBorders>
              <w:top w:val="single" w:color="000000" w:sz="4" w:space="0"/>
              <w:left w:val="nil"/>
              <w:bottom w:val="single" w:color="000000" w:sz="4" w:space="0"/>
              <w:right w:val="single" w:color="000000" w:sz="4" w:space="0"/>
            </w:tcBorders>
            <w:shd w:val="clear" w:color="auto" w:fill="FFFFFF"/>
            <w:noWrap w:val="0"/>
            <w:vAlign w:val="center"/>
          </w:tcPr>
          <w:p w14:paraId="48FA569F">
            <w:pPr>
              <w:keepNext w:val="0"/>
              <w:keepLines w:val="0"/>
              <w:widowControl/>
              <w:suppressLineNumbers w:val="0"/>
              <w:jc w:val="center"/>
              <w:textAlignment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1台次</w:t>
            </w:r>
          </w:p>
        </w:tc>
        <w:tc>
          <w:tcPr>
            <w:tcW w:w="1012" w:type="dxa"/>
            <w:tcBorders>
              <w:top w:val="single" w:color="000000" w:sz="4" w:space="0"/>
              <w:left w:val="nil"/>
              <w:bottom w:val="single" w:color="000000" w:sz="4" w:space="0"/>
              <w:right w:val="single" w:color="000000" w:sz="4" w:space="0"/>
            </w:tcBorders>
            <w:shd w:val="clear" w:color="auto" w:fill="FFFFFF"/>
            <w:noWrap w:val="0"/>
            <w:vAlign w:val="center"/>
          </w:tcPr>
          <w:p w14:paraId="7FFF69AA">
            <w:pPr>
              <w:keepNext w:val="0"/>
              <w:keepLines w:val="0"/>
              <w:widowControl/>
              <w:suppressLineNumbers w:val="0"/>
              <w:jc w:val="center"/>
              <w:textAlignment w:val="center"/>
              <w:rPr>
                <w:rFonts w:hint="eastAsia" w:ascii="宋体" w:hAnsi="宋体" w:eastAsia="宋体" w:cs="宋体"/>
                <w:color w:val="auto"/>
                <w:kern w:val="0"/>
                <w:sz w:val="22"/>
                <w:szCs w:val="22"/>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310</w:t>
            </w:r>
          </w:p>
        </w:tc>
      </w:tr>
      <w:tr w14:paraId="78BE751D">
        <w:tblPrEx>
          <w:tblCellMar>
            <w:top w:w="0" w:type="dxa"/>
            <w:left w:w="108" w:type="dxa"/>
            <w:bottom w:w="0" w:type="dxa"/>
            <w:right w:w="108" w:type="dxa"/>
          </w:tblCellMar>
        </w:tblPrEx>
        <w:trPr>
          <w:trHeight w:val="706" w:hRule="atLeast"/>
          <w:jc w:val="center"/>
        </w:trPr>
        <w:tc>
          <w:tcPr>
            <w:tcW w:w="1343" w:type="dxa"/>
            <w:vMerge w:val="continue"/>
            <w:tcBorders>
              <w:left w:val="single" w:color="auto" w:sz="4" w:space="0"/>
              <w:right w:val="single" w:color="auto" w:sz="4" w:space="0"/>
            </w:tcBorders>
            <w:shd w:val="clear" w:color="auto" w:fill="auto"/>
            <w:noWrap w:val="0"/>
            <w:vAlign w:val="center"/>
          </w:tcPr>
          <w:p w14:paraId="1ACAAD5A">
            <w:pPr>
              <w:keepNext w:val="0"/>
              <w:keepLines w:val="0"/>
              <w:pageBreakBefore w:val="0"/>
              <w:widowControl/>
              <w:kinsoku/>
              <w:wordWrap/>
              <w:overflowPunct/>
              <w:topLinePunct w:val="0"/>
              <w:autoSpaceDE/>
              <w:autoSpaceDN/>
              <w:bidi w:val="0"/>
              <w:adjustRightInd/>
              <w:snapToGrid w:val="0"/>
              <w:spacing w:line="320" w:lineRule="exact"/>
              <w:ind w:left="0" w:leftChars="0" w:right="0" w:rightChars="0" w:firstLine="0" w:firstLineChars="0"/>
              <w:jc w:val="center"/>
              <w:textAlignment w:val="center"/>
              <w:outlineLvl w:val="9"/>
              <w:rPr>
                <w:rFonts w:hint="eastAsia" w:ascii="宋体" w:hAnsi="宋体" w:eastAsia="宋体" w:cs="宋体"/>
                <w:b/>
                <w:bCs/>
                <w:color w:val="auto"/>
                <w:kern w:val="0"/>
                <w:sz w:val="22"/>
                <w:szCs w:val="22"/>
                <w:highlight w:val="none"/>
              </w:rPr>
            </w:pPr>
          </w:p>
        </w:tc>
        <w:tc>
          <w:tcPr>
            <w:tcW w:w="178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1159014">
            <w:pPr>
              <w:keepNext w:val="0"/>
              <w:keepLines w:val="0"/>
              <w:widowControl/>
              <w:suppressLineNumbers w:val="0"/>
              <w:jc w:val="center"/>
              <w:textAlignment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网页防篡改服务</w:t>
            </w:r>
          </w:p>
        </w:tc>
        <w:tc>
          <w:tcPr>
            <w:tcW w:w="3102"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1FAAAB77">
            <w:pPr>
              <w:keepNext w:val="0"/>
              <w:keepLines w:val="0"/>
              <w:widowControl/>
              <w:suppressLineNumbers w:val="0"/>
              <w:jc w:val="left"/>
              <w:textAlignment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bCs/>
                <w:color w:val="auto"/>
                <w:sz w:val="22"/>
                <w:szCs w:val="22"/>
                <w:highlight w:val="none"/>
                <w:lang w:bidi="ar"/>
              </w:rPr>
              <w:t>通过防篡改软件对用户页面进行实时防护，减少用户页面被恶意篡改的可能性</w:t>
            </w:r>
          </w:p>
        </w:tc>
        <w:tc>
          <w:tcPr>
            <w:tcW w:w="1057" w:type="dxa"/>
            <w:tcBorders>
              <w:top w:val="single" w:color="000000" w:sz="4" w:space="0"/>
              <w:left w:val="nil"/>
              <w:bottom w:val="single" w:color="000000" w:sz="4" w:space="0"/>
              <w:right w:val="single" w:color="000000" w:sz="4" w:space="0"/>
            </w:tcBorders>
            <w:shd w:val="clear" w:color="auto" w:fill="FFFFFF"/>
            <w:noWrap w:val="0"/>
            <w:vAlign w:val="center"/>
          </w:tcPr>
          <w:p w14:paraId="235527BC">
            <w:pPr>
              <w:keepNext w:val="0"/>
              <w:keepLines w:val="0"/>
              <w:widowControl/>
              <w:suppressLineNumbers w:val="0"/>
              <w:jc w:val="center"/>
              <w:textAlignment w:val="center"/>
              <w:rPr>
                <w:rFonts w:hint="default" w:ascii="宋体" w:hAnsi="宋体" w:eastAsia="宋体" w:cs="宋体"/>
                <w:color w:val="auto"/>
                <w:kern w:val="2"/>
                <w:sz w:val="22"/>
                <w:szCs w:val="22"/>
                <w:highlight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1监控点/月</w:t>
            </w:r>
          </w:p>
        </w:tc>
        <w:tc>
          <w:tcPr>
            <w:tcW w:w="1012" w:type="dxa"/>
            <w:tcBorders>
              <w:top w:val="single" w:color="000000" w:sz="4" w:space="0"/>
              <w:left w:val="nil"/>
              <w:bottom w:val="single" w:color="000000" w:sz="4" w:space="0"/>
              <w:right w:val="single" w:color="000000" w:sz="4" w:space="0"/>
            </w:tcBorders>
            <w:shd w:val="clear" w:color="auto" w:fill="FFFFFF"/>
            <w:noWrap w:val="0"/>
            <w:vAlign w:val="center"/>
          </w:tcPr>
          <w:p w14:paraId="5B292F90">
            <w:pPr>
              <w:keepNext w:val="0"/>
              <w:keepLines w:val="0"/>
              <w:widowControl/>
              <w:suppressLineNumbers w:val="0"/>
              <w:jc w:val="center"/>
              <w:textAlignment w:val="center"/>
              <w:rPr>
                <w:rFonts w:hint="eastAsia" w:ascii="宋体" w:hAnsi="宋体" w:eastAsia="宋体" w:cs="宋体"/>
                <w:color w:val="auto"/>
                <w:kern w:val="0"/>
                <w:sz w:val="22"/>
                <w:szCs w:val="22"/>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4</w:t>
            </w:r>
          </w:p>
        </w:tc>
      </w:tr>
      <w:tr w14:paraId="46CD1BCC">
        <w:tblPrEx>
          <w:tblCellMar>
            <w:top w:w="0" w:type="dxa"/>
            <w:left w:w="108" w:type="dxa"/>
            <w:bottom w:w="0" w:type="dxa"/>
            <w:right w:w="108" w:type="dxa"/>
          </w:tblCellMar>
        </w:tblPrEx>
        <w:trPr>
          <w:trHeight w:val="706" w:hRule="atLeast"/>
          <w:jc w:val="center"/>
        </w:trPr>
        <w:tc>
          <w:tcPr>
            <w:tcW w:w="1343" w:type="dxa"/>
            <w:vMerge w:val="continue"/>
            <w:tcBorders>
              <w:left w:val="single" w:color="auto" w:sz="4" w:space="0"/>
              <w:right w:val="single" w:color="auto" w:sz="4" w:space="0"/>
            </w:tcBorders>
            <w:shd w:val="clear" w:color="auto" w:fill="auto"/>
            <w:noWrap w:val="0"/>
            <w:vAlign w:val="center"/>
          </w:tcPr>
          <w:p w14:paraId="7CDE4B01">
            <w:pPr>
              <w:keepNext w:val="0"/>
              <w:keepLines w:val="0"/>
              <w:pageBreakBefore w:val="0"/>
              <w:widowControl/>
              <w:kinsoku/>
              <w:wordWrap/>
              <w:overflowPunct/>
              <w:topLinePunct w:val="0"/>
              <w:autoSpaceDE/>
              <w:autoSpaceDN/>
              <w:bidi w:val="0"/>
              <w:adjustRightInd/>
              <w:snapToGrid w:val="0"/>
              <w:spacing w:line="320" w:lineRule="exact"/>
              <w:ind w:left="0" w:leftChars="0" w:right="0" w:rightChars="0" w:firstLine="0" w:firstLineChars="0"/>
              <w:jc w:val="center"/>
              <w:textAlignment w:val="center"/>
              <w:outlineLvl w:val="9"/>
              <w:rPr>
                <w:rFonts w:hint="eastAsia" w:ascii="宋体" w:hAnsi="宋体" w:eastAsia="宋体" w:cs="宋体"/>
                <w:b/>
                <w:bCs/>
                <w:color w:val="auto"/>
                <w:kern w:val="0"/>
                <w:sz w:val="22"/>
                <w:szCs w:val="22"/>
                <w:highlight w:val="none"/>
              </w:rPr>
            </w:pPr>
          </w:p>
        </w:tc>
        <w:tc>
          <w:tcPr>
            <w:tcW w:w="178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48AF81F">
            <w:pPr>
              <w:keepNext w:val="0"/>
              <w:keepLines w:val="0"/>
              <w:widowControl/>
              <w:suppressLineNumbers w:val="0"/>
              <w:jc w:val="center"/>
              <w:textAlignment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主机漏洞扫描</w:t>
            </w:r>
          </w:p>
        </w:tc>
        <w:tc>
          <w:tcPr>
            <w:tcW w:w="3102"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736C9243">
            <w:pPr>
              <w:keepNext w:val="0"/>
              <w:keepLines w:val="0"/>
              <w:widowControl/>
              <w:suppressLineNumbers w:val="0"/>
              <w:jc w:val="left"/>
              <w:textAlignment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bCs/>
                <w:color w:val="auto"/>
                <w:sz w:val="22"/>
                <w:szCs w:val="22"/>
                <w:highlight w:val="none"/>
                <w:lang w:bidi="ar"/>
              </w:rPr>
              <w:t>为用户提供针对主机层面的安全扫描服务，并反馈相关结果</w:t>
            </w:r>
          </w:p>
        </w:tc>
        <w:tc>
          <w:tcPr>
            <w:tcW w:w="1057" w:type="dxa"/>
            <w:tcBorders>
              <w:top w:val="single" w:color="000000" w:sz="4" w:space="0"/>
              <w:left w:val="nil"/>
              <w:bottom w:val="single" w:color="000000" w:sz="4" w:space="0"/>
              <w:right w:val="single" w:color="000000" w:sz="4" w:space="0"/>
            </w:tcBorders>
            <w:shd w:val="clear" w:color="auto" w:fill="FFFFFF"/>
            <w:noWrap w:val="0"/>
            <w:vAlign w:val="center"/>
          </w:tcPr>
          <w:p w14:paraId="346DAA7E">
            <w:pPr>
              <w:keepNext w:val="0"/>
              <w:keepLines w:val="0"/>
              <w:widowControl/>
              <w:suppressLineNumbers w:val="0"/>
              <w:jc w:val="center"/>
              <w:textAlignment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1台次</w:t>
            </w:r>
          </w:p>
        </w:tc>
        <w:tc>
          <w:tcPr>
            <w:tcW w:w="1012" w:type="dxa"/>
            <w:tcBorders>
              <w:top w:val="single" w:color="000000" w:sz="4" w:space="0"/>
              <w:left w:val="nil"/>
              <w:bottom w:val="single" w:color="000000" w:sz="4" w:space="0"/>
              <w:right w:val="single" w:color="000000" w:sz="4" w:space="0"/>
            </w:tcBorders>
            <w:shd w:val="clear" w:color="auto" w:fill="FFFFFF"/>
            <w:noWrap w:val="0"/>
            <w:vAlign w:val="center"/>
          </w:tcPr>
          <w:p w14:paraId="17F98303">
            <w:pPr>
              <w:keepNext w:val="0"/>
              <w:keepLines w:val="0"/>
              <w:widowControl/>
              <w:suppressLineNumbers w:val="0"/>
              <w:jc w:val="center"/>
              <w:textAlignment w:val="center"/>
              <w:rPr>
                <w:rFonts w:hint="eastAsia" w:ascii="宋体" w:hAnsi="宋体" w:eastAsia="宋体" w:cs="宋体"/>
                <w:color w:val="auto"/>
                <w:kern w:val="0"/>
                <w:sz w:val="22"/>
                <w:szCs w:val="22"/>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310</w:t>
            </w:r>
          </w:p>
        </w:tc>
      </w:tr>
      <w:tr w14:paraId="5EAD1BBE">
        <w:tblPrEx>
          <w:tblCellMar>
            <w:top w:w="0" w:type="dxa"/>
            <w:left w:w="108" w:type="dxa"/>
            <w:bottom w:w="0" w:type="dxa"/>
            <w:right w:w="108" w:type="dxa"/>
          </w:tblCellMar>
        </w:tblPrEx>
        <w:trPr>
          <w:trHeight w:val="706" w:hRule="atLeast"/>
          <w:jc w:val="center"/>
        </w:trPr>
        <w:tc>
          <w:tcPr>
            <w:tcW w:w="1343" w:type="dxa"/>
            <w:vMerge w:val="continue"/>
            <w:tcBorders>
              <w:left w:val="single" w:color="auto" w:sz="4" w:space="0"/>
              <w:right w:val="single" w:color="auto" w:sz="4" w:space="0"/>
            </w:tcBorders>
            <w:shd w:val="clear" w:color="auto" w:fill="auto"/>
            <w:noWrap w:val="0"/>
            <w:vAlign w:val="center"/>
          </w:tcPr>
          <w:p w14:paraId="063022FF">
            <w:pPr>
              <w:keepNext w:val="0"/>
              <w:keepLines w:val="0"/>
              <w:pageBreakBefore w:val="0"/>
              <w:widowControl/>
              <w:kinsoku/>
              <w:wordWrap/>
              <w:overflowPunct/>
              <w:topLinePunct w:val="0"/>
              <w:autoSpaceDE/>
              <w:autoSpaceDN/>
              <w:bidi w:val="0"/>
              <w:adjustRightInd/>
              <w:snapToGrid w:val="0"/>
              <w:spacing w:line="320" w:lineRule="exact"/>
              <w:ind w:left="0" w:leftChars="0" w:right="0" w:rightChars="0" w:firstLine="0" w:firstLineChars="0"/>
              <w:jc w:val="center"/>
              <w:textAlignment w:val="center"/>
              <w:outlineLvl w:val="9"/>
              <w:rPr>
                <w:rFonts w:hint="eastAsia" w:ascii="宋体" w:hAnsi="宋体" w:eastAsia="宋体" w:cs="宋体"/>
                <w:b/>
                <w:bCs/>
                <w:color w:val="auto"/>
                <w:kern w:val="0"/>
                <w:sz w:val="22"/>
                <w:szCs w:val="22"/>
                <w:highlight w:val="none"/>
              </w:rPr>
            </w:pPr>
          </w:p>
        </w:tc>
        <w:tc>
          <w:tcPr>
            <w:tcW w:w="178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ED2321A">
            <w:pPr>
              <w:keepNext w:val="0"/>
              <w:keepLines w:val="0"/>
              <w:widowControl/>
              <w:suppressLineNumbers w:val="0"/>
              <w:jc w:val="center"/>
              <w:textAlignment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主机日志分析</w:t>
            </w:r>
          </w:p>
        </w:tc>
        <w:tc>
          <w:tcPr>
            <w:tcW w:w="3102"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12ED8478">
            <w:pPr>
              <w:keepNext w:val="0"/>
              <w:keepLines w:val="0"/>
              <w:widowControl/>
              <w:suppressLineNumbers w:val="0"/>
              <w:jc w:val="left"/>
              <w:textAlignment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bCs/>
                <w:color w:val="auto"/>
                <w:sz w:val="22"/>
                <w:szCs w:val="22"/>
                <w:highlight w:val="none"/>
                <w:lang w:bidi="ar"/>
              </w:rPr>
              <w:t>针对操作系统进行日志收集</w:t>
            </w:r>
            <w:r>
              <w:rPr>
                <w:rFonts w:hint="eastAsia" w:ascii="宋体" w:hAnsi="宋体" w:eastAsia="宋体" w:cs="宋体"/>
                <w:bCs/>
                <w:color w:val="auto"/>
                <w:sz w:val="22"/>
                <w:szCs w:val="22"/>
                <w:highlight w:val="none"/>
                <w:lang w:eastAsia="zh-CN" w:bidi="ar"/>
              </w:rPr>
              <w:t>，</w:t>
            </w:r>
            <w:r>
              <w:rPr>
                <w:rFonts w:hint="eastAsia" w:ascii="宋体" w:hAnsi="宋体" w:eastAsia="宋体" w:cs="宋体"/>
                <w:bCs/>
                <w:color w:val="auto"/>
                <w:sz w:val="22"/>
                <w:szCs w:val="22"/>
                <w:highlight w:val="none"/>
                <w:lang w:bidi="ar"/>
              </w:rPr>
              <w:t>并且进行分析，并将结果反馈给用户，用于了解主机安全情况及资源使用情况</w:t>
            </w:r>
          </w:p>
        </w:tc>
        <w:tc>
          <w:tcPr>
            <w:tcW w:w="1057" w:type="dxa"/>
            <w:tcBorders>
              <w:top w:val="single" w:color="000000" w:sz="4" w:space="0"/>
              <w:left w:val="nil"/>
              <w:bottom w:val="single" w:color="000000" w:sz="4" w:space="0"/>
              <w:right w:val="single" w:color="000000" w:sz="4" w:space="0"/>
            </w:tcBorders>
            <w:shd w:val="clear" w:color="auto" w:fill="FFFFFF"/>
            <w:noWrap w:val="0"/>
            <w:vAlign w:val="center"/>
          </w:tcPr>
          <w:p w14:paraId="27B23B11">
            <w:pPr>
              <w:keepNext w:val="0"/>
              <w:keepLines w:val="0"/>
              <w:widowControl/>
              <w:suppressLineNumbers w:val="0"/>
              <w:jc w:val="center"/>
              <w:textAlignment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1台次</w:t>
            </w:r>
          </w:p>
        </w:tc>
        <w:tc>
          <w:tcPr>
            <w:tcW w:w="1012" w:type="dxa"/>
            <w:tcBorders>
              <w:top w:val="single" w:color="000000" w:sz="4" w:space="0"/>
              <w:left w:val="nil"/>
              <w:bottom w:val="single" w:color="000000" w:sz="4" w:space="0"/>
              <w:right w:val="single" w:color="000000" w:sz="4" w:space="0"/>
            </w:tcBorders>
            <w:shd w:val="clear" w:color="auto" w:fill="FFFFFF"/>
            <w:noWrap w:val="0"/>
            <w:vAlign w:val="center"/>
          </w:tcPr>
          <w:p w14:paraId="34DCCF06">
            <w:pPr>
              <w:keepNext w:val="0"/>
              <w:keepLines w:val="0"/>
              <w:widowControl/>
              <w:suppressLineNumbers w:val="0"/>
              <w:jc w:val="center"/>
              <w:textAlignment w:val="center"/>
              <w:rPr>
                <w:rFonts w:hint="eastAsia" w:ascii="宋体" w:hAnsi="宋体" w:eastAsia="宋体" w:cs="宋体"/>
                <w:color w:val="auto"/>
                <w:kern w:val="0"/>
                <w:sz w:val="22"/>
                <w:szCs w:val="22"/>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155</w:t>
            </w:r>
          </w:p>
        </w:tc>
      </w:tr>
      <w:tr w14:paraId="2E0940C5">
        <w:tblPrEx>
          <w:tblCellMar>
            <w:top w:w="0" w:type="dxa"/>
            <w:left w:w="108" w:type="dxa"/>
            <w:bottom w:w="0" w:type="dxa"/>
            <w:right w:w="108" w:type="dxa"/>
          </w:tblCellMar>
        </w:tblPrEx>
        <w:trPr>
          <w:trHeight w:val="706" w:hRule="atLeast"/>
          <w:jc w:val="center"/>
        </w:trPr>
        <w:tc>
          <w:tcPr>
            <w:tcW w:w="1343" w:type="dxa"/>
            <w:vMerge w:val="continue"/>
            <w:tcBorders>
              <w:left w:val="single" w:color="auto" w:sz="4" w:space="0"/>
              <w:right w:val="single" w:color="auto" w:sz="4" w:space="0"/>
            </w:tcBorders>
            <w:shd w:val="clear" w:color="auto" w:fill="auto"/>
            <w:noWrap w:val="0"/>
            <w:vAlign w:val="center"/>
          </w:tcPr>
          <w:p w14:paraId="67165187">
            <w:pPr>
              <w:keepNext w:val="0"/>
              <w:keepLines w:val="0"/>
              <w:pageBreakBefore w:val="0"/>
              <w:widowControl/>
              <w:kinsoku/>
              <w:wordWrap/>
              <w:overflowPunct/>
              <w:topLinePunct w:val="0"/>
              <w:autoSpaceDE/>
              <w:autoSpaceDN/>
              <w:bidi w:val="0"/>
              <w:adjustRightInd/>
              <w:snapToGrid w:val="0"/>
              <w:spacing w:line="320" w:lineRule="exact"/>
              <w:ind w:left="0" w:leftChars="0" w:right="0" w:rightChars="0" w:firstLine="0" w:firstLineChars="0"/>
              <w:jc w:val="center"/>
              <w:textAlignment w:val="center"/>
              <w:outlineLvl w:val="9"/>
              <w:rPr>
                <w:rFonts w:hint="eastAsia" w:ascii="宋体" w:hAnsi="宋体" w:eastAsia="宋体" w:cs="宋体"/>
                <w:b/>
                <w:bCs/>
                <w:color w:val="auto"/>
                <w:kern w:val="0"/>
                <w:sz w:val="22"/>
                <w:szCs w:val="22"/>
                <w:highlight w:val="none"/>
              </w:rPr>
            </w:pPr>
          </w:p>
        </w:tc>
        <w:tc>
          <w:tcPr>
            <w:tcW w:w="178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3E82A7F">
            <w:pPr>
              <w:keepNext w:val="0"/>
              <w:keepLines w:val="0"/>
              <w:widowControl/>
              <w:suppressLineNumbers w:val="0"/>
              <w:jc w:val="center"/>
              <w:textAlignment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数据库审计服务</w:t>
            </w:r>
          </w:p>
        </w:tc>
        <w:tc>
          <w:tcPr>
            <w:tcW w:w="3102"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0B3C136F">
            <w:pPr>
              <w:keepNext w:val="0"/>
              <w:keepLines w:val="0"/>
              <w:widowControl/>
              <w:suppressLineNumbers w:val="0"/>
              <w:jc w:val="left"/>
              <w:textAlignment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rPr>
              <w:t>支持Oracle、SQL-Server、DB2、MySQL等数据库审计（1套为1个数据库实例）</w:t>
            </w:r>
          </w:p>
        </w:tc>
        <w:tc>
          <w:tcPr>
            <w:tcW w:w="1057" w:type="dxa"/>
            <w:tcBorders>
              <w:top w:val="single" w:color="000000" w:sz="4" w:space="0"/>
              <w:left w:val="nil"/>
              <w:bottom w:val="single" w:color="000000" w:sz="4" w:space="0"/>
              <w:right w:val="single" w:color="000000" w:sz="4" w:space="0"/>
            </w:tcBorders>
            <w:shd w:val="clear" w:color="auto" w:fill="FFFFFF"/>
            <w:noWrap w:val="0"/>
            <w:vAlign w:val="center"/>
          </w:tcPr>
          <w:p w14:paraId="50AD9585">
            <w:pPr>
              <w:keepNext w:val="0"/>
              <w:keepLines w:val="0"/>
              <w:widowControl/>
              <w:suppressLineNumbers w:val="0"/>
              <w:jc w:val="center"/>
              <w:textAlignment w:val="center"/>
              <w:rPr>
                <w:rFonts w:hint="default" w:ascii="宋体" w:hAnsi="宋体" w:eastAsia="宋体" w:cs="宋体"/>
                <w:color w:val="auto"/>
                <w:kern w:val="2"/>
                <w:sz w:val="22"/>
                <w:szCs w:val="22"/>
                <w:highlight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1套/月</w:t>
            </w:r>
          </w:p>
        </w:tc>
        <w:tc>
          <w:tcPr>
            <w:tcW w:w="1012" w:type="dxa"/>
            <w:tcBorders>
              <w:top w:val="single" w:color="000000" w:sz="4" w:space="0"/>
              <w:left w:val="nil"/>
              <w:bottom w:val="single" w:color="000000" w:sz="4" w:space="0"/>
              <w:right w:val="single" w:color="000000" w:sz="4" w:space="0"/>
            </w:tcBorders>
            <w:shd w:val="clear" w:color="auto" w:fill="FFFFFF"/>
            <w:noWrap w:val="0"/>
            <w:vAlign w:val="center"/>
          </w:tcPr>
          <w:p w14:paraId="58819BAC">
            <w:pPr>
              <w:keepNext w:val="0"/>
              <w:keepLines w:val="0"/>
              <w:widowControl/>
              <w:suppressLineNumbers w:val="0"/>
              <w:jc w:val="center"/>
              <w:textAlignment w:val="center"/>
              <w:rPr>
                <w:rFonts w:hint="eastAsia" w:ascii="宋体" w:hAnsi="宋体" w:eastAsia="宋体" w:cs="宋体"/>
                <w:color w:val="auto"/>
                <w:kern w:val="0"/>
                <w:sz w:val="22"/>
                <w:szCs w:val="22"/>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9</w:t>
            </w:r>
          </w:p>
        </w:tc>
      </w:tr>
      <w:tr w14:paraId="2297FAFD">
        <w:tblPrEx>
          <w:tblCellMar>
            <w:top w:w="0" w:type="dxa"/>
            <w:left w:w="108" w:type="dxa"/>
            <w:bottom w:w="0" w:type="dxa"/>
            <w:right w:w="108" w:type="dxa"/>
          </w:tblCellMar>
        </w:tblPrEx>
        <w:trPr>
          <w:trHeight w:val="706" w:hRule="atLeast"/>
          <w:jc w:val="center"/>
        </w:trPr>
        <w:tc>
          <w:tcPr>
            <w:tcW w:w="1343" w:type="dxa"/>
            <w:vMerge w:val="continue"/>
            <w:tcBorders>
              <w:left w:val="single" w:color="auto" w:sz="4" w:space="0"/>
              <w:right w:val="single" w:color="auto" w:sz="4" w:space="0"/>
            </w:tcBorders>
            <w:shd w:val="clear" w:color="auto" w:fill="auto"/>
            <w:noWrap w:val="0"/>
            <w:vAlign w:val="center"/>
          </w:tcPr>
          <w:p w14:paraId="242F298A">
            <w:pPr>
              <w:keepNext w:val="0"/>
              <w:keepLines w:val="0"/>
              <w:pageBreakBefore w:val="0"/>
              <w:widowControl/>
              <w:kinsoku/>
              <w:wordWrap/>
              <w:overflowPunct/>
              <w:topLinePunct w:val="0"/>
              <w:autoSpaceDE/>
              <w:autoSpaceDN/>
              <w:bidi w:val="0"/>
              <w:adjustRightInd/>
              <w:snapToGrid w:val="0"/>
              <w:spacing w:line="320" w:lineRule="exact"/>
              <w:ind w:left="0" w:leftChars="0" w:right="0" w:rightChars="0" w:firstLine="0" w:firstLineChars="0"/>
              <w:jc w:val="center"/>
              <w:textAlignment w:val="center"/>
              <w:outlineLvl w:val="9"/>
              <w:rPr>
                <w:rFonts w:hint="eastAsia" w:ascii="宋体" w:hAnsi="宋体" w:eastAsia="宋体" w:cs="宋体"/>
                <w:b/>
                <w:bCs/>
                <w:color w:val="auto"/>
                <w:kern w:val="0"/>
                <w:sz w:val="22"/>
                <w:szCs w:val="22"/>
                <w:highlight w:val="none"/>
              </w:rPr>
            </w:pPr>
          </w:p>
        </w:tc>
        <w:tc>
          <w:tcPr>
            <w:tcW w:w="178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D546196">
            <w:pPr>
              <w:keepNext w:val="0"/>
              <w:keepLines w:val="0"/>
              <w:widowControl/>
              <w:suppressLineNumbers w:val="0"/>
              <w:jc w:val="center"/>
              <w:textAlignment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云端APT防护服务</w:t>
            </w:r>
          </w:p>
        </w:tc>
        <w:tc>
          <w:tcPr>
            <w:tcW w:w="3102"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7DFF1B68">
            <w:pPr>
              <w:keepNext w:val="0"/>
              <w:keepLines w:val="0"/>
              <w:widowControl/>
              <w:suppressLineNumbers w:val="0"/>
              <w:jc w:val="left"/>
              <w:textAlignment w:val="center"/>
              <w:rPr>
                <w:rFonts w:hint="eastAsia" w:ascii="宋体" w:hAnsi="宋体" w:eastAsia="宋体" w:cs="宋体"/>
                <w:color w:val="auto"/>
                <w:kern w:val="2"/>
                <w:sz w:val="22"/>
                <w:szCs w:val="22"/>
                <w:highlight w:val="none"/>
                <w:lang w:val="en-US" w:eastAsia="zh-CN" w:bidi="ar-SA"/>
              </w:rPr>
            </w:pPr>
            <w:r>
              <w:rPr>
                <w:rFonts w:hint="eastAsia" w:eastAsia="宋体"/>
                <w:highlight w:val="none"/>
              </w:rPr>
              <w:t>针对高级持续性威胁（APT）提供威胁情报收集、检测和响应的安全防护服务</w:t>
            </w:r>
          </w:p>
        </w:tc>
        <w:tc>
          <w:tcPr>
            <w:tcW w:w="1057" w:type="dxa"/>
            <w:tcBorders>
              <w:top w:val="single" w:color="000000" w:sz="4" w:space="0"/>
              <w:left w:val="nil"/>
              <w:bottom w:val="single" w:color="000000" w:sz="4" w:space="0"/>
              <w:right w:val="single" w:color="000000" w:sz="4" w:space="0"/>
            </w:tcBorders>
            <w:shd w:val="clear" w:color="auto" w:fill="FFFFFF"/>
            <w:noWrap w:val="0"/>
            <w:vAlign w:val="center"/>
          </w:tcPr>
          <w:p w14:paraId="5ADCFC45">
            <w:pPr>
              <w:keepNext w:val="0"/>
              <w:keepLines w:val="0"/>
              <w:widowControl/>
              <w:suppressLineNumbers w:val="0"/>
              <w:jc w:val="center"/>
              <w:textAlignment w:val="center"/>
              <w:rPr>
                <w:rFonts w:hint="default" w:ascii="宋体" w:hAnsi="宋体" w:eastAsia="宋体" w:cs="宋体"/>
                <w:color w:val="auto"/>
                <w:kern w:val="2"/>
                <w:sz w:val="22"/>
                <w:szCs w:val="22"/>
                <w:highlight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1套/月</w:t>
            </w:r>
          </w:p>
        </w:tc>
        <w:tc>
          <w:tcPr>
            <w:tcW w:w="1012" w:type="dxa"/>
            <w:tcBorders>
              <w:top w:val="single" w:color="000000" w:sz="4" w:space="0"/>
              <w:left w:val="nil"/>
              <w:bottom w:val="single" w:color="000000" w:sz="4" w:space="0"/>
              <w:right w:val="single" w:color="000000" w:sz="4" w:space="0"/>
            </w:tcBorders>
            <w:shd w:val="clear" w:color="auto" w:fill="FFFFFF"/>
            <w:noWrap w:val="0"/>
            <w:vAlign w:val="center"/>
          </w:tcPr>
          <w:p w14:paraId="791D6F08">
            <w:pPr>
              <w:keepNext w:val="0"/>
              <w:keepLines w:val="0"/>
              <w:widowControl/>
              <w:suppressLineNumbers w:val="0"/>
              <w:jc w:val="center"/>
              <w:textAlignment w:val="center"/>
              <w:rPr>
                <w:rFonts w:hint="eastAsia" w:ascii="宋体" w:hAnsi="宋体" w:eastAsia="宋体" w:cs="宋体"/>
                <w:color w:val="auto"/>
                <w:kern w:val="0"/>
                <w:sz w:val="22"/>
                <w:szCs w:val="22"/>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4</w:t>
            </w:r>
          </w:p>
        </w:tc>
      </w:tr>
      <w:tr w14:paraId="48E3FF35">
        <w:tblPrEx>
          <w:tblCellMar>
            <w:top w:w="0" w:type="dxa"/>
            <w:left w:w="108" w:type="dxa"/>
            <w:bottom w:w="0" w:type="dxa"/>
            <w:right w:w="108" w:type="dxa"/>
          </w:tblCellMar>
        </w:tblPrEx>
        <w:trPr>
          <w:trHeight w:val="706" w:hRule="atLeast"/>
          <w:jc w:val="center"/>
        </w:trPr>
        <w:tc>
          <w:tcPr>
            <w:tcW w:w="1343" w:type="dxa"/>
            <w:vMerge w:val="restart"/>
            <w:tcBorders>
              <w:top w:val="single" w:color="auto" w:sz="4" w:space="0"/>
              <w:left w:val="single" w:color="auto" w:sz="4" w:space="0"/>
              <w:right w:val="single" w:color="auto" w:sz="4" w:space="0"/>
            </w:tcBorders>
            <w:shd w:val="clear" w:color="auto" w:fill="auto"/>
            <w:noWrap w:val="0"/>
            <w:vAlign w:val="center"/>
          </w:tcPr>
          <w:p w14:paraId="0105928C">
            <w:pPr>
              <w:keepNext w:val="0"/>
              <w:keepLines w:val="0"/>
              <w:pageBreakBefore w:val="0"/>
              <w:widowControl/>
              <w:kinsoku/>
              <w:wordWrap/>
              <w:overflowPunct/>
              <w:topLinePunct w:val="0"/>
              <w:autoSpaceDE/>
              <w:autoSpaceDN/>
              <w:bidi w:val="0"/>
              <w:adjustRightInd/>
              <w:snapToGrid w:val="0"/>
              <w:spacing w:line="320" w:lineRule="exact"/>
              <w:ind w:left="0" w:leftChars="0" w:right="0" w:rightChars="0" w:firstLine="0" w:firstLineChars="0"/>
              <w:jc w:val="center"/>
              <w:textAlignment w:val="center"/>
              <w:outlineLvl w:val="9"/>
              <w:rPr>
                <w:rFonts w:hint="eastAsia" w:ascii="宋体" w:hAnsi="宋体" w:eastAsia="宋体" w:cs="宋体"/>
                <w:b/>
                <w:bCs/>
                <w:color w:val="auto"/>
                <w:kern w:val="0"/>
                <w:sz w:val="22"/>
                <w:szCs w:val="22"/>
                <w:highlight w:val="none"/>
                <w:lang w:eastAsia="zh-CN"/>
              </w:rPr>
            </w:pPr>
            <w:r>
              <w:rPr>
                <w:rFonts w:hint="eastAsia" w:ascii="宋体" w:hAnsi="宋体" w:eastAsia="宋体" w:cs="宋体"/>
                <w:b/>
                <w:bCs/>
                <w:color w:val="auto"/>
                <w:kern w:val="0"/>
                <w:sz w:val="22"/>
                <w:szCs w:val="22"/>
                <w:highlight w:val="none"/>
                <w:lang w:val="en-US" w:eastAsia="zh-CN"/>
              </w:rPr>
              <w:t>其他服务</w:t>
            </w:r>
          </w:p>
        </w:tc>
        <w:tc>
          <w:tcPr>
            <w:tcW w:w="178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3FC721D">
            <w:pPr>
              <w:keepNext w:val="0"/>
              <w:keepLines w:val="0"/>
              <w:widowControl/>
              <w:suppressLineNumbers w:val="0"/>
              <w:jc w:val="center"/>
              <w:textAlignment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云端抗DDOS服务</w:t>
            </w:r>
          </w:p>
        </w:tc>
        <w:tc>
          <w:tcPr>
            <w:tcW w:w="310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C580867">
            <w:pPr>
              <w:keepNext w:val="0"/>
              <w:keepLines w:val="0"/>
              <w:widowControl/>
              <w:suppressLineNumbers w:val="0"/>
              <w:jc w:val="left"/>
              <w:textAlignment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bCs/>
                <w:color w:val="auto"/>
                <w:sz w:val="22"/>
                <w:szCs w:val="22"/>
                <w:highlight w:val="none"/>
              </w:rPr>
              <w:t>提供</w:t>
            </w:r>
            <w:r>
              <w:rPr>
                <w:rFonts w:hint="eastAsia" w:ascii="宋体" w:hAnsi="宋体" w:eastAsia="宋体" w:cs="宋体"/>
                <w:color w:val="auto"/>
                <w:sz w:val="22"/>
                <w:szCs w:val="22"/>
                <w:highlight w:val="none"/>
              </w:rPr>
              <w:t>云端抗DDOS服务</w:t>
            </w:r>
            <w:r>
              <w:rPr>
                <w:rFonts w:hint="eastAsia" w:ascii="宋体" w:hAnsi="宋体" w:eastAsia="宋体" w:cs="宋体"/>
                <w:bCs/>
                <w:color w:val="auto"/>
                <w:sz w:val="22"/>
                <w:szCs w:val="22"/>
                <w:highlight w:val="none"/>
              </w:rPr>
              <w:t>避免业务遭受拒绝服务攻击</w:t>
            </w:r>
          </w:p>
        </w:tc>
        <w:tc>
          <w:tcPr>
            <w:tcW w:w="105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22EDBA1">
            <w:pPr>
              <w:keepNext w:val="0"/>
              <w:keepLines w:val="0"/>
              <w:widowControl/>
              <w:suppressLineNumbers w:val="0"/>
              <w:jc w:val="center"/>
              <w:textAlignment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1站点</w:t>
            </w:r>
          </w:p>
        </w:tc>
        <w:tc>
          <w:tcPr>
            <w:tcW w:w="101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C717753">
            <w:pPr>
              <w:keepNext w:val="0"/>
              <w:keepLines w:val="0"/>
              <w:widowControl/>
              <w:suppressLineNumbers w:val="0"/>
              <w:jc w:val="center"/>
              <w:textAlignment w:val="center"/>
              <w:rPr>
                <w:rFonts w:hint="eastAsia" w:ascii="宋体" w:hAnsi="宋体" w:eastAsia="宋体" w:cs="宋体"/>
                <w:color w:val="auto"/>
                <w:kern w:val="0"/>
                <w:sz w:val="22"/>
                <w:szCs w:val="22"/>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1</w:t>
            </w:r>
          </w:p>
        </w:tc>
      </w:tr>
      <w:tr w14:paraId="5F962CDA">
        <w:tblPrEx>
          <w:tblCellMar>
            <w:top w:w="0" w:type="dxa"/>
            <w:left w:w="108" w:type="dxa"/>
            <w:bottom w:w="0" w:type="dxa"/>
            <w:right w:w="108" w:type="dxa"/>
          </w:tblCellMar>
        </w:tblPrEx>
        <w:trPr>
          <w:trHeight w:val="706" w:hRule="atLeast"/>
          <w:jc w:val="center"/>
        </w:trPr>
        <w:tc>
          <w:tcPr>
            <w:tcW w:w="1343" w:type="dxa"/>
            <w:vMerge w:val="continue"/>
            <w:tcBorders>
              <w:left w:val="single" w:color="auto" w:sz="4" w:space="0"/>
              <w:right w:val="single" w:color="auto" w:sz="4" w:space="0"/>
            </w:tcBorders>
            <w:shd w:val="clear" w:color="auto" w:fill="auto"/>
            <w:noWrap w:val="0"/>
            <w:vAlign w:val="center"/>
          </w:tcPr>
          <w:p w14:paraId="07E2A953">
            <w:pPr>
              <w:keepNext w:val="0"/>
              <w:keepLines w:val="0"/>
              <w:pageBreakBefore w:val="0"/>
              <w:widowControl/>
              <w:kinsoku/>
              <w:wordWrap/>
              <w:overflowPunct/>
              <w:topLinePunct w:val="0"/>
              <w:autoSpaceDE/>
              <w:autoSpaceDN/>
              <w:bidi w:val="0"/>
              <w:adjustRightInd/>
              <w:snapToGrid w:val="0"/>
              <w:spacing w:line="320" w:lineRule="exact"/>
              <w:ind w:left="0" w:leftChars="0" w:right="0" w:rightChars="0" w:firstLine="0" w:firstLineChars="0"/>
              <w:jc w:val="center"/>
              <w:outlineLvl w:val="9"/>
              <w:rPr>
                <w:rFonts w:hint="eastAsia" w:ascii="宋体" w:hAnsi="宋体" w:eastAsia="宋体" w:cs="宋体"/>
                <w:b/>
                <w:bCs/>
                <w:color w:val="auto"/>
                <w:kern w:val="2"/>
                <w:sz w:val="22"/>
                <w:szCs w:val="22"/>
                <w:highlight w:val="none"/>
                <w:lang w:val="en-US" w:eastAsia="zh-CN" w:bidi="ar-SA"/>
              </w:rPr>
            </w:pPr>
          </w:p>
        </w:tc>
        <w:tc>
          <w:tcPr>
            <w:tcW w:w="178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AAB7118">
            <w:pPr>
              <w:keepNext w:val="0"/>
              <w:keepLines w:val="0"/>
              <w:widowControl/>
              <w:suppressLineNumbers w:val="0"/>
              <w:jc w:val="center"/>
              <w:textAlignment w:val="center"/>
              <w:rPr>
                <w:rFonts w:hint="eastAsia" w:ascii="宋体" w:hAnsi="宋体" w:eastAsia="宋体" w:cs="宋体"/>
                <w:color w:val="auto"/>
                <w:kern w:val="0"/>
                <w:sz w:val="22"/>
                <w:szCs w:val="22"/>
                <w:highlight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对象存储服务</w:t>
            </w:r>
          </w:p>
        </w:tc>
        <w:tc>
          <w:tcPr>
            <w:tcW w:w="310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502F958">
            <w:pPr>
              <w:keepNext w:val="0"/>
              <w:keepLines w:val="0"/>
              <w:widowControl/>
              <w:suppressLineNumbers w:val="0"/>
              <w:jc w:val="left"/>
              <w:textAlignment w:val="center"/>
              <w:rPr>
                <w:rFonts w:hint="eastAsia" w:ascii="宋体" w:hAnsi="宋体" w:eastAsia="宋体" w:cs="宋体"/>
                <w:color w:val="auto"/>
                <w:kern w:val="0"/>
                <w:sz w:val="22"/>
                <w:szCs w:val="22"/>
                <w:highlight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对象存储服务</w:t>
            </w:r>
          </w:p>
        </w:tc>
        <w:tc>
          <w:tcPr>
            <w:tcW w:w="105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388FC24">
            <w:pPr>
              <w:keepNext w:val="0"/>
              <w:keepLines w:val="0"/>
              <w:widowControl/>
              <w:suppressLineNumbers w:val="0"/>
              <w:jc w:val="center"/>
              <w:textAlignment w:val="center"/>
              <w:rPr>
                <w:rFonts w:hint="eastAsia" w:ascii="宋体" w:hAnsi="宋体" w:eastAsia="宋体" w:cs="宋体"/>
                <w:color w:val="auto"/>
                <w:kern w:val="0"/>
                <w:sz w:val="22"/>
                <w:szCs w:val="22"/>
                <w:highlight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1 GB</w:t>
            </w:r>
          </w:p>
        </w:tc>
        <w:tc>
          <w:tcPr>
            <w:tcW w:w="101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21AF4F2">
            <w:pPr>
              <w:keepNext w:val="0"/>
              <w:keepLines w:val="0"/>
              <w:widowControl/>
              <w:suppressLineNumbers w:val="0"/>
              <w:jc w:val="center"/>
              <w:textAlignment w:val="center"/>
              <w:rPr>
                <w:rFonts w:hint="eastAsia" w:ascii="宋体" w:hAnsi="宋体" w:eastAsia="宋体" w:cs="宋体"/>
                <w:color w:val="auto"/>
                <w:kern w:val="0"/>
                <w:sz w:val="22"/>
                <w:szCs w:val="22"/>
                <w:highlight w:val="none"/>
                <w:lang w:val="en-US" w:eastAsia="zh-CN" w:bidi="ar-SA"/>
              </w:rPr>
            </w:pPr>
            <w:r>
              <w:rPr>
                <w:rFonts w:hint="eastAsia" w:ascii="宋体" w:hAnsi="宋体" w:eastAsia="宋体" w:cs="宋体"/>
                <w:i w:val="0"/>
                <w:color w:val="auto"/>
                <w:kern w:val="0"/>
                <w:sz w:val="22"/>
                <w:szCs w:val="22"/>
                <w:highlight w:val="none"/>
                <w:u w:val="none"/>
                <w:lang w:val="en-US" w:eastAsia="zh-CN" w:bidi="ar"/>
              </w:rPr>
              <w:t>30000</w:t>
            </w:r>
          </w:p>
        </w:tc>
      </w:tr>
      <w:tr w14:paraId="37171120">
        <w:tblPrEx>
          <w:tblCellMar>
            <w:top w:w="0" w:type="dxa"/>
            <w:left w:w="108" w:type="dxa"/>
            <w:bottom w:w="0" w:type="dxa"/>
            <w:right w:w="108" w:type="dxa"/>
          </w:tblCellMar>
        </w:tblPrEx>
        <w:trPr>
          <w:trHeight w:val="706" w:hRule="atLeast"/>
          <w:jc w:val="center"/>
        </w:trPr>
        <w:tc>
          <w:tcPr>
            <w:tcW w:w="1343" w:type="dxa"/>
            <w:vMerge w:val="continue"/>
            <w:tcBorders>
              <w:left w:val="single" w:color="auto" w:sz="4" w:space="0"/>
              <w:bottom w:val="single" w:color="auto" w:sz="4" w:space="0"/>
              <w:right w:val="single" w:color="auto" w:sz="4" w:space="0"/>
            </w:tcBorders>
            <w:shd w:val="clear" w:color="auto" w:fill="auto"/>
            <w:noWrap w:val="0"/>
            <w:vAlign w:val="center"/>
          </w:tcPr>
          <w:p w14:paraId="3368786F">
            <w:pPr>
              <w:keepNext w:val="0"/>
              <w:keepLines w:val="0"/>
              <w:pageBreakBefore w:val="0"/>
              <w:widowControl/>
              <w:kinsoku/>
              <w:wordWrap/>
              <w:overflowPunct/>
              <w:topLinePunct w:val="0"/>
              <w:autoSpaceDE/>
              <w:autoSpaceDN/>
              <w:bidi w:val="0"/>
              <w:adjustRightInd/>
              <w:snapToGrid w:val="0"/>
              <w:spacing w:line="320" w:lineRule="exact"/>
              <w:ind w:left="0" w:leftChars="0" w:right="0" w:rightChars="0" w:firstLine="0" w:firstLineChars="0"/>
              <w:jc w:val="center"/>
              <w:textAlignment w:val="center"/>
              <w:outlineLvl w:val="9"/>
              <w:rPr>
                <w:rFonts w:hint="eastAsia" w:ascii="宋体" w:hAnsi="宋体" w:eastAsia="宋体" w:cs="宋体"/>
                <w:b/>
                <w:bCs/>
                <w:color w:val="auto"/>
                <w:kern w:val="0"/>
                <w:sz w:val="22"/>
                <w:szCs w:val="22"/>
                <w:highlight w:val="none"/>
              </w:rPr>
            </w:pPr>
          </w:p>
        </w:tc>
        <w:tc>
          <w:tcPr>
            <w:tcW w:w="178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88F63CF">
            <w:pPr>
              <w:keepNext w:val="0"/>
              <w:keepLines w:val="0"/>
              <w:widowControl/>
              <w:suppressLineNumbers w:val="0"/>
              <w:jc w:val="center"/>
              <w:textAlignment w:val="center"/>
              <w:rPr>
                <w:rFonts w:hint="eastAsia" w:ascii="宋体" w:hAnsi="宋体" w:eastAsia="宋体" w:cs="宋体"/>
                <w:color w:val="auto"/>
                <w:kern w:val="0"/>
                <w:sz w:val="22"/>
                <w:szCs w:val="22"/>
                <w:highlight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数据传输服务</w:t>
            </w:r>
          </w:p>
        </w:tc>
        <w:tc>
          <w:tcPr>
            <w:tcW w:w="310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BAC929D">
            <w:pPr>
              <w:keepNext w:val="0"/>
              <w:keepLines w:val="0"/>
              <w:widowControl/>
              <w:suppressLineNumbers w:val="0"/>
              <w:jc w:val="left"/>
              <w:textAlignment w:val="center"/>
              <w:rPr>
                <w:rFonts w:hint="eastAsia" w:ascii="宋体" w:hAnsi="宋体" w:eastAsia="宋体" w:cs="宋体"/>
                <w:color w:val="auto"/>
                <w:kern w:val="0"/>
                <w:sz w:val="22"/>
                <w:szCs w:val="22"/>
                <w:highlight w:val="none"/>
                <w:lang w:val="en-US" w:eastAsia="zh-CN" w:bidi="ar-SA"/>
              </w:rPr>
            </w:pPr>
            <w:r>
              <w:rPr>
                <w:rFonts w:hint="eastAsia" w:ascii="宋体" w:hAnsi="宋体" w:eastAsia="宋体" w:cs="宋体"/>
                <w:bCs/>
                <w:color w:val="auto"/>
                <w:sz w:val="22"/>
                <w:szCs w:val="22"/>
                <w:highlight w:val="none"/>
              </w:rPr>
              <w:t>在安全隔离的基础上，实现精细控制数据流向，提供不同级别网络间安全可控的请求转发或数据摆渡，确保数据的机密性、完整性和可信性</w:t>
            </w:r>
          </w:p>
        </w:tc>
        <w:tc>
          <w:tcPr>
            <w:tcW w:w="105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B202F30">
            <w:pPr>
              <w:keepNext w:val="0"/>
              <w:keepLines w:val="0"/>
              <w:widowControl/>
              <w:suppressLineNumbers w:val="0"/>
              <w:jc w:val="center"/>
              <w:textAlignment w:val="center"/>
              <w:rPr>
                <w:rFonts w:hint="eastAsia" w:ascii="宋体" w:hAnsi="宋体" w:eastAsia="宋体" w:cs="宋体"/>
                <w:color w:val="auto"/>
                <w:kern w:val="0"/>
                <w:sz w:val="22"/>
                <w:szCs w:val="22"/>
                <w:highlight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1对前端</w:t>
            </w:r>
          </w:p>
        </w:tc>
        <w:tc>
          <w:tcPr>
            <w:tcW w:w="101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7F8767A">
            <w:pPr>
              <w:keepNext w:val="0"/>
              <w:keepLines w:val="0"/>
              <w:widowControl/>
              <w:suppressLineNumbers w:val="0"/>
              <w:jc w:val="center"/>
              <w:textAlignment w:val="center"/>
              <w:rPr>
                <w:rFonts w:hint="eastAsia" w:ascii="宋体" w:hAnsi="宋体" w:eastAsia="宋体" w:cs="宋体"/>
                <w:color w:val="auto"/>
                <w:kern w:val="0"/>
                <w:sz w:val="22"/>
                <w:szCs w:val="22"/>
                <w:highlight w:val="none"/>
                <w:lang w:val="en-US" w:eastAsia="zh-CN" w:bidi="ar-SA"/>
              </w:rPr>
            </w:pPr>
            <w:r>
              <w:rPr>
                <w:rFonts w:hint="eastAsia" w:ascii="宋体" w:hAnsi="宋体" w:eastAsia="宋体" w:cs="宋体"/>
                <w:i w:val="0"/>
                <w:color w:val="auto"/>
                <w:kern w:val="0"/>
                <w:sz w:val="22"/>
                <w:szCs w:val="22"/>
                <w:highlight w:val="none"/>
                <w:u w:val="none"/>
                <w:lang w:val="en-US" w:eastAsia="zh-CN" w:bidi="ar"/>
              </w:rPr>
              <w:t>1</w:t>
            </w:r>
          </w:p>
        </w:tc>
      </w:tr>
    </w:tbl>
    <w:p w14:paraId="7663AC81">
      <w:pPr>
        <w:widowControl w:val="0"/>
        <w:numPr>
          <w:ilvl w:val="0"/>
          <w:numId w:val="0"/>
        </w:numPr>
        <w:adjustRightInd/>
        <w:spacing w:line="240" w:lineRule="auto"/>
        <w:ind w:firstLine="480" w:firstLineChars="200"/>
        <w:jc w:val="both"/>
        <w:textAlignment w:val="auto"/>
        <w:rPr>
          <w:rFonts w:hint="eastAsia" w:ascii="宋体" w:hAnsi="宋体" w:eastAsia="宋体" w:cs="宋体"/>
          <w:kern w:val="2"/>
          <w:sz w:val="24"/>
          <w:szCs w:val="24"/>
          <w:highlight w:val="none"/>
          <w:lang w:val="en-US" w:eastAsia="zh-CN" w:bidi="ar-SA"/>
        </w:rPr>
      </w:pPr>
    </w:p>
    <w:p w14:paraId="4EC60456">
      <w:pPr>
        <w:widowControl w:val="0"/>
        <w:numPr>
          <w:ilvl w:val="0"/>
          <w:numId w:val="0"/>
        </w:numPr>
        <w:adjustRightInd/>
        <w:spacing w:line="240" w:lineRule="auto"/>
        <w:ind w:firstLine="480" w:firstLineChars="200"/>
        <w:jc w:val="both"/>
        <w:textAlignment w:val="auto"/>
        <w:rPr>
          <w:rFonts w:hint="eastAsia" w:ascii="宋体" w:hAnsi="宋体" w:eastAsia="宋体" w:cs="宋体"/>
          <w:kern w:val="2"/>
          <w:sz w:val="24"/>
          <w:szCs w:val="24"/>
          <w:highlight w:val="none"/>
          <w:lang w:val="en-US" w:eastAsia="zh-CN" w:bidi="ar-SA"/>
        </w:rPr>
      </w:pPr>
    </w:p>
    <w:p w14:paraId="2DBF682A">
      <w:pPr>
        <w:widowControl w:val="0"/>
        <w:numPr>
          <w:ilvl w:val="0"/>
          <w:numId w:val="0"/>
        </w:numPr>
        <w:adjustRightInd/>
        <w:spacing w:line="240" w:lineRule="auto"/>
        <w:ind w:firstLine="480" w:firstLineChars="200"/>
        <w:jc w:val="both"/>
        <w:textAlignment w:val="auto"/>
        <w:rPr>
          <w:rFonts w:hint="eastAsia" w:ascii="宋体" w:hAnsi="宋体" w:eastAsia="宋体" w:cs="宋体"/>
          <w:kern w:val="2"/>
          <w:sz w:val="24"/>
          <w:szCs w:val="24"/>
          <w:highlight w:val="none"/>
          <w:lang w:val="en-US" w:eastAsia="zh-CN" w:bidi="ar-SA"/>
        </w:rPr>
      </w:pPr>
    </w:p>
    <w:p w14:paraId="6ECE7F81">
      <w:pPr>
        <w:widowControl w:val="0"/>
        <w:numPr>
          <w:ilvl w:val="0"/>
          <w:numId w:val="0"/>
        </w:numPr>
        <w:adjustRightInd/>
        <w:spacing w:line="240" w:lineRule="auto"/>
        <w:ind w:firstLine="480" w:firstLineChars="200"/>
        <w:jc w:val="both"/>
        <w:textAlignment w:val="auto"/>
        <w:rPr>
          <w:rFonts w:hint="eastAsia" w:ascii="宋体" w:hAnsi="宋体" w:eastAsia="宋体" w:cs="宋体"/>
          <w:kern w:val="2"/>
          <w:sz w:val="24"/>
          <w:szCs w:val="24"/>
          <w:highlight w:val="none"/>
          <w:lang w:val="zh-CN" w:eastAsia="zh-CN" w:bidi="ar-SA"/>
        </w:rPr>
      </w:pPr>
      <w:r>
        <w:rPr>
          <w:rFonts w:hint="eastAsia" w:ascii="宋体" w:hAnsi="宋体" w:eastAsia="宋体" w:cs="宋体"/>
          <w:kern w:val="2"/>
          <w:sz w:val="24"/>
          <w:szCs w:val="24"/>
          <w:highlight w:val="none"/>
          <w:lang w:val="en-US" w:eastAsia="zh-CN" w:bidi="ar-SA"/>
        </w:rPr>
        <w:t>2.3</w:t>
      </w:r>
      <w:r>
        <w:rPr>
          <w:rFonts w:hint="eastAsia" w:ascii="宋体" w:hAnsi="宋体" w:eastAsia="宋体" w:cs="宋体"/>
          <w:kern w:val="2"/>
          <w:sz w:val="24"/>
          <w:szCs w:val="24"/>
          <w:highlight w:val="none"/>
          <w:lang w:val="zh-CN" w:eastAsia="zh-CN" w:bidi="ar-SA"/>
        </w:rPr>
        <w:t>基础安全保障服务清单</w:t>
      </w:r>
    </w:p>
    <w:p w14:paraId="5203A4B7">
      <w:pPr>
        <w:widowControl w:val="0"/>
        <w:numPr>
          <w:ilvl w:val="0"/>
          <w:numId w:val="0"/>
        </w:numPr>
        <w:adjustRightInd/>
        <w:spacing w:line="240" w:lineRule="auto"/>
        <w:ind w:firstLine="480" w:firstLineChars="200"/>
        <w:jc w:val="both"/>
        <w:textAlignment w:val="auto"/>
        <w:rPr>
          <w:rFonts w:hint="eastAsia" w:ascii="宋体" w:hAnsi="宋体" w:eastAsia="宋体" w:cs="宋体"/>
          <w:kern w:val="2"/>
          <w:sz w:val="24"/>
          <w:szCs w:val="24"/>
          <w:highlight w:val="none"/>
          <w:lang w:val="zh-CN" w:eastAsia="zh-CN" w:bidi="ar-SA"/>
        </w:rPr>
      </w:pPr>
    </w:p>
    <w:tbl>
      <w:tblPr>
        <w:tblStyle w:val="5"/>
        <w:tblW w:w="88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2"/>
        <w:gridCol w:w="2257"/>
        <w:gridCol w:w="5002"/>
      </w:tblGrid>
      <w:tr w14:paraId="0B879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2" w:type="dxa"/>
            <w:shd w:val="clear" w:color="auto" w:fill="D7D7D7"/>
            <w:noWrap w:val="0"/>
            <w:vAlign w:val="center"/>
          </w:tcPr>
          <w:p w14:paraId="25B4CDF1">
            <w:pPr>
              <w:snapToGrid w:val="0"/>
              <w:spacing w:line="400" w:lineRule="exact"/>
              <w:contextualSpacing/>
              <w:jc w:val="center"/>
              <w:rPr>
                <w:rFonts w:hint="eastAsia" w:ascii="宋体" w:hAnsi="宋体" w:eastAsia="宋体" w:cs="宋体"/>
                <w:b w:val="0"/>
                <w:bCs w:val="0"/>
                <w:kern w:val="2"/>
                <w:sz w:val="24"/>
                <w:szCs w:val="24"/>
                <w:highlight w:val="none"/>
                <w:lang w:val="zh-CN" w:eastAsia="zh-CN" w:bidi="ar-SA"/>
              </w:rPr>
            </w:pPr>
            <w:r>
              <w:rPr>
                <w:rFonts w:hint="eastAsia" w:ascii="宋体" w:hAnsi="宋体" w:eastAsia="宋体" w:cs="宋体"/>
                <w:b w:val="0"/>
                <w:bCs w:val="0"/>
                <w:sz w:val="24"/>
                <w:szCs w:val="24"/>
                <w:highlight w:val="none"/>
              </w:rPr>
              <w:t>服务类别</w:t>
            </w:r>
          </w:p>
        </w:tc>
        <w:tc>
          <w:tcPr>
            <w:tcW w:w="2257" w:type="dxa"/>
            <w:shd w:val="clear" w:color="auto" w:fill="D7D7D7"/>
            <w:noWrap w:val="0"/>
            <w:vAlign w:val="center"/>
          </w:tcPr>
          <w:p w14:paraId="788B0EB8">
            <w:pPr>
              <w:snapToGrid w:val="0"/>
              <w:spacing w:line="400" w:lineRule="exact"/>
              <w:contextualSpacing/>
              <w:jc w:val="center"/>
              <w:rPr>
                <w:rFonts w:hint="eastAsia" w:ascii="宋体" w:hAnsi="宋体" w:eastAsia="宋体" w:cs="宋体"/>
                <w:b w:val="0"/>
                <w:bCs w:val="0"/>
                <w:kern w:val="2"/>
                <w:sz w:val="24"/>
                <w:szCs w:val="24"/>
                <w:highlight w:val="none"/>
                <w:lang w:val="zh-CN" w:eastAsia="zh-CN" w:bidi="ar-SA"/>
              </w:rPr>
            </w:pPr>
            <w:r>
              <w:rPr>
                <w:rFonts w:hint="eastAsia" w:ascii="宋体" w:hAnsi="宋体" w:eastAsia="宋体" w:cs="宋体"/>
                <w:b w:val="0"/>
                <w:bCs w:val="0"/>
                <w:sz w:val="24"/>
                <w:szCs w:val="24"/>
                <w:highlight w:val="none"/>
              </w:rPr>
              <w:t>服务目录</w:t>
            </w:r>
          </w:p>
        </w:tc>
        <w:tc>
          <w:tcPr>
            <w:tcW w:w="5002" w:type="dxa"/>
            <w:shd w:val="clear" w:color="auto" w:fill="D7D7D7"/>
            <w:noWrap w:val="0"/>
            <w:vAlign w:val="center"/>
          </w:tcPr>
          <w:p w14:paraId="3E98592B">
            <w:pPr>
              <w:snapToGrid w:val="0"/>
              <w:spacing w:line="400" w:lineRule="exact"/>
              <w:contextualSpacing/>
              <w:jc w:val="center"/>
              <w:rPr>
                <w:rFonts w:hint="eastAsia" w:ascii="宋体" w:hAnsi="宋体" w:eastAsia="宋体" w:cs="宋体"/>
                <w:b w:val="0"/>
                <w:bCs w:val="0"/>
                <w:kern w:val="2"/>
                <w:sz w:val="24"/>
                <w:szCs w:val="24"/>
                <w:highlight w:val="none"/>
                <w:lang w:val="zh-CN" w:eastAsia="zh-CN" w:bidi="ar-SA"/>
              </w:rPr>
            </w:pPr>
            <w:r>
              <w:rPr>
                <w:rFonts w:hint="eastAsia" w:ascii="宋体" w:hAnsi="宋体" w:eastAsia="宋体" w:cs="宋体"/>
                <w:b w:val="0"/>
                <w:bCs w:val="0"/>
                <w:sz w:val="24"/>
                <w:szCs w:val="24"/>
                <w:highlight w:val="none"/>
              </w:rPr>
              <w:t>服务项</w:t>
            </w:r>
          </w:p>
        </w:tc>
      </w:tr>
      <w:tr w14:paraId="77C3E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2" w:type="dxa"/>
            <w:vMerge w:val="restart"/>
            <w:noWrap w:val="0"/>
            <w:vAlign w:val="center"/>
          </w:tcPr>
          <w:p w14:paraId="1B93641D">
            <w:pPr>
              <w:snapToGrid w:val="0"/>
              <w:spacing w:line="400" w:lineRule="exact"/>
              <w:contextualSpacing/>
              <w:jc w:val="center"/>
              <w:rPr>
                <w:rFonts w:hint="eastAsia" w:ascii="宋体" w:hAnsi="宋体" w:eastAsia="宋体" w:cs="宋体"/>
                <w:kern w:val="2"/>
                <w:sz w:val="24"/>
                <w:szCs w:val="24"/>
                <w:highlight w:val="none"/>
                <w:lang w:val="zh-CN" w:eastAsia="zh-CN" w:bidi="ar-SA"/>
              </w:rPr>
            </w:pPr>
            <w:r>
              <w:rPr>
                <w:rFonts w:hint="eastAsia" w:ascii="宋体" w:hAnsi="宋体" w:eastAsia="宋体" w:cs="宋体"/>
                <w:sz w:val="24"/>
                <w:szCs w:val="24"/>
                <w:highlight w:val="none"/>
              </w:rPr>
              <w:t>安全管理服务</w:t>
            </w:r>
          </w:p>
        </w:tc>
        <w:tc>
          <w:tcPr>
            <w:tcW w:w="2257" w:type="dxa"/>
            <w:noWrap w:val="0"/>
            <w:vAlign w:val="center"/>
          </w:tcPr>
          <w:p w14:paraId="456DC022">
            <w:pPr>
              <w:snapToGrid w:val="0"/>
              <w:spacing w:line="400" w:lineRule="exact"/>
              <w:contextualSpacing/>
              <w:jc w:val="both"/>
              <w:rPr>
                <w:rFonts w:hint="eastAsia" w:ascii="宋体" w:hAnsi="宋体" w:eastAsia="宋体" w:cs="宋体"/>
                <w:kern w:val="2"/>
                <w:sz w:val="24"/>
                <w:szCs w:val="24"/>
                <w:highlight w:val="none"/>
                <w:lang w:val="zh-CN" w:eastAsia="zh-CN" w:bidi="ar-SA"/>
              </w:rPr>
            </w:pPr>
            <w:r>
              <w:rPr>
                <w:rFonts w:hint="eastAsia" w:ascii="宋体" w:hAnsi="宋体" w:eastAsia="宋体" w:cs="宋体"/>
                <w:sz w:val="24"/>
                <w:szCs w:val="24"/>
                <w:highlight w:val="none"/>
              </w:rPr>
              <w:t>运维人员管理</w:t>
            </w:r>
          </w:p>
        </w:tc>
        <w:tc>
          <w:tcPr>
            <w:tcW w:w="5002" w:type="dxa"/>
            <w:noWrap w:val="0"/>
            <w:vAlign w:val="center"/>
          </w:tcPr>
          <w:p w14:paraId="1A80DD5B">
            <w:pPr>
              <w:snapToGrid w:val="0"/>
              <w:spacing w:line="400" w:lineRule="exact"/>
              <w:contextualSpacing/>
              <w:jc w:val="both"/>
              <w:rPr>
                <w:rFonts w:hint="eastAsia" w:ascii="宋体" w:hAnsi="宋体" w:eastAsia="宋体" w:cs="宋体"/>
                <w:kern w:val="2"/>
                <w:sz w:val="24"/>
                <w:szCs w:val="24"/>
                <w:highlight w:val="none"/>
                <w:lang w:val="zh-CN" w:eastAsia="zh-CN" w:bidi="ar-SA"/>
              </w:rPr>
            </w:pPr>
            <w:r>
              <w:rPr>
                <w:rFonts w:hint="eastAsia" w:ascii="宋体" w:hAnsi="宋体" w:eastAsia="宋体" w:cs="宋体"/>
                <w:sz w:val="24"/>
                <w:szCs w:val="24"/>
                <w:highlight w:val="none"/>
              </w:rPr>
              <w:t>7x24小时运维人员管理、安全登记</w:t>
            </w:r>
          </w:p>
        </w:tc>
      </w:tr>
      <w:tr w14:paraId="594B6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2" w:type="dxa"/>
            <w:vMerge w:val="continue"/>
            <w:noWrap w:val="0"/>
            <w:vAlign w:val="center"/>
          </w:tcPr>
          <w:p w14:paraId="6FB381D2">
            <w:pPr>
              <w:snapToGrid w:val="0"/>
              <w:spacing w:line="400" w:lineRule="exact"/>
              <w:contextualSpacing/>
              <w:jc w:val="center"/>
              <w:rPr>
                <w:rFonts w:hint="eastAsia" w:ascii="宋体" w:hAnsi="宋体" w:eastAsia="宋体" w:cs="宋体"/>
                <w:kern w:val="2"/>
                <w:sz w:val="24"/>
                <w:szCs w:val="24"/>
                <w:highlight w:val="none"/>
                <w:lang w:val="zh-CN" w:eastAsia="zh-CN" w:bidi="ar-SA"/>
              </w:rPr>
            </w:pPr>
          </w:p>
        </w:tc>
        <w:tc>
          <w:tcPr>
            <w:tcW w:w="2257" w:type="dxa"/>
            <w:noWrap w:val="0"/>
            <w:vAlign w:val="center"/>
          </w:tcPr>
          <w:p w14:paraId="18A348F7">
            <w:pPr>
              <w:snapToGrid w:val="0"/>
              <w:spacing w:line="400" w:lineRule="exact"/>
              <w:contextualSpacing/>
              <w:jc w:val="both"/>
              <w:rPr>
                <w:rFonts w:hint="eastAsia" w:ascii="宋体" w:hAnsi="宋体" w:eastAsia="宋体" w:cs="宋体"/>
                <w:kern w:val="2"/>
                <w:sz w:val="24"/>
                <w:szCs w:val="24"/>
                <w:highlight w:val="none"/>
                <w:lang w:val="zh-CN" w:eastAsia="zh-CN" w:bidi="ar-SA"/>
              </w:rPr>
            </w:pPr>
            <w:r>
              <w:rPr>
                <w:rFonts w:hint="eastAsia" w:ascii="宋体" w:hAnsi="宋体" w:eastAsia="宋体" w:cs="宋体"/>
                <w:sz w:val="24"/>
                <w:szCs w:val="24"/>
                <w:highlight w:val="none"/>
              </w:rPr>
              <w:t>机房运维管理</w:t>
            </w:r>
          </w:p>
        </w:tc>
        <w:tc>
          <w:tcPr>
            <w:tcW w:w="5002" w:type="dxa"/>
            <w:noWrap w:val="0"/>
            <w:vAlign w:val="center"/>
          </w:tcPr>
          <w:p w14:paraId="7F2F86E0">
            <w:pPr>
              <w:snapToGrid w:val="0"/>
              <w:spacing w:line="400" w:lineRule="exact"/>
              <w:contextualSpacing/>
              <w:jc w:val="both"/>
              <w:rPr>
                <w:rFonts w:hint="eastAsia" w:ascii="宋体" w:hAnsi="宋体" w:eastAsia="宋体" w:cs="宋体"/>
                <w:kern w:val="2"/>
                <w:sz w:val="24"/>
                <w:szCs w:val="24"/>
                <w:highlight w:val="none"/>
                <w:lang w:val="zh-CN" w:eastAsia="zh-CN" w:bidi="ar-SA"/>
              </w:rPr>
            </w:pPr>
            <w:r>
              <w:rPr>
                <w:rFonts w:hint="eastAsia" w:ascii="宋体" w:hAnsi="宋体" w:eastAsia="宋体" w:cs="宋体"/>
                <w:sz w:val="24"/>
                <w:szCs w:val="24"/>
                <w:highlight w:val="none"/>
              </w:rPr>
              <w:t>机房设备管理、安全控制</w:t>
            </w:r>
          </w:p>
        </w:tc>
      </w:tr>
      <w:tr w14:paraId="00DAD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2" w:type="dxa"/>
            <w:vMerge w:val="continue"/>
            <w:noWrap w:val="0"/>
            <w:vAlign w:val="center"/>
          </w:tcPr>
          <w:p w14:paraId="6AF4AF54">
            <w:pPr>
              <w:snapToGrid w:val="0"/>
              <w:spacing w:line="400" w:lineRule="exact"/>
              <w:contextualSpacing/>
              <w:jc w:val="center"/>
              <w:rPr>
                <w:rFonts w:hint="eastAsia" w:ascii="宋体" w:hAnsi="宋体" w:eastAsia="宋体" w:cs="宋体"/>
                <w:kern w:val="2"/>
                <w:sz w:val="24"/>
                <w:szCs w:val="24"/>
                <w:highlight w:val="none"/>
                <w:lang w:val="zh-CN" w:eastAsia="zh-CN" w:bidi="ar-SA"/>
              </w:rPr>
            </w:pPr>
          </w:p>
        </w:tc>
        <w:tc>
          <w:tcPr>
            <w:tcW w:w="2257" w:type="dxa"/>
            <w:noWrap w:val="0"/>
            <w:vAlign w:val="center"/>
          </w:tcPr>
          <w:p w14:paraId="27AA89B3">
            <w:pPr>
              <w:snapToGrid w:val="0"/>
              <w:spacing w:line="400" w:lineRule="exact"/>
              <w:contextualSpacing/>
              <w:jc w:val="both"/>
              <w:rPr>
                <w:rFonts w:hint="eastAsia" w:ascii="宋体" w:hAnsi="宋体" w:eastAsia="宋体" w:cs="宋体"/>
                <w:kern w:val="2"/>
                <w:sz w:val="24"/>
                <w:szCs w:val="24"/>
                <w:highlight w:val="none"/>
                <w:lang w:val="zh-CN" w:eastAsia="zh-CN" w:bidi="ar-SA"/>
              </w:rPr>
            </w:pPr>
            <w:r>
              <w:rPr>
                <w:rFonts w:hint="eastAsia" w:ascii="宋体" w:hAnsi="宋体" w:eastAsia="宋体" w:cs="宋体"/>
                <w:sz w:val="24"/>
                <w:szCs w:val="24"/>
                <w:highlight w:val="none"/>
              </w:rPr>
              <w:t>应急演练</w:t>
            </w:r>
          </w:p>
        </w:tc>
        <w:tc>
          <w:tcPr>
            <w:tcW w:w="5002" w:type="dxa"/>
            <w:noWrap w:val="0"/>
            <w:vAlign w:val="center"/>
          </w:tcPr>
          <w:p w14:paraId="570209CB">
            <w:pPr>
              <w:snapToGrid w:val="0"/>
              <w:spacing w:line="400" w:lineRule="exact"/>
              <w:contextualSpacing/>
              <w:jc w:val="both"/>
              <w:rPr>
                <w:rFonts w:hint="eastAsia" w:ascii="宋体" w:hAnsi="宋体" w:eastAsia="宋体" w:cs="宋体"/>
                <w:kern w:val="2"/>
                <w:sz w:val="24"/>
                <w:szCs w:val="24"/>
                <w:highlight w:val="none"/>
                <w:lang w:val="zh-CN" w:eastAsia="zh-CN" w:bidi="ar-SA"/>
              </w:rPr>
            </w:pPr>
            <w:r>
              <w:rPr>
                <w:rFonts w:hint="eastAsia" w:ascii="宋体" w:hAnsi="宋体" w:eastAsia="宋体" w:cs="宋体"/>
                <w:sz w:val="24"/>
                <w:szCs w:val="24"/>
                <w:highlight w:val="none"/>
              </w:rPr>
              <w:t>协助使用单位进行安全应急演练</w:t>
            </w:r>
          </w:p>
        </w:tc>
      </w:tr>
      <w:tr w14:paraId="106F5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2" w:type="dxa"/>
            <w:vMerge w:val="restart"/>
            <w:noWrap w:val="0"/>
            <w:vAlign w:val="center"/>
          </w:tcPr>
          <w:p w14:paraId="724F4DA2">
            <w:pPr>
              <w:snapToGrid w:val="0"/>
              <w:spacing w:line="400" w:lineRule="exact"/>
              <w:contextualSpacing/>
              <w:jc w:val="center"/>
              <w:rPr>
                <w:rFonts w:hint="eastAsia" w:ascii="宋体" w:hAnsi="宋体" w:eastAsia="宋体" w:cs="宋体"/>
                <w:sz w:val="24"/>
                <w:szCs w:val="24"/>
                <w:highlight w:val="none"/>
              </w:rPr>
            </w:pPr>
          </w:p>
          <w:p w14:paraId="39EF18FD">
            <w:pPr>
              <w:snapToGrid w:val="0"/>
              <w:spacing w:line="400" w:lineRule="exact"/>
              <w:contextualSpacing/>
              <w:jc w:val="center"/>
              <w:rPr>
                <w:rFonts w:hint="eastAsia" w:ascii="宋体" w:hAnsi="宋体" w:eastAsia="宋体" w:cs="宋体"/>
                <w:sz w:val="24"/>
                <w:szCs w:val="24"/>
                <w:highlight w:val="none"/>
              </w:rPr>
            </w:pPr>
          </w:p>
          <w:p w14:paraId="1F5CD816">
            <w:pPr>
              <w:snapToGrid w:val="0"/>
              <w:spacing w:line="400" w:lineRule="exact"/>
              <w:contextualSpacing/>
              <w:jc w:val="center"/>
              <w:rPr>
                <w:rFonts w:hint="eastAsia" w:ascii="宋体" w:hAnsi="宋体" w:eastAsia="宋体" w:cs="宋体"/>
                <w:sz w:val="24"/>
                <w:szCs w:val="24"/>
                <w:highlight w:val="none"/>
              </w:rPr>
            </w:pPr>
          </w:p>
          <w:p w14:paraId="041B5B68">
            <w:pPr>
              <w:snapToGrid w:val="0"/>
              <w:spacing w:line="400" w:lineRule="exact"/>
              <w:contextualSpacing/>
              <w:jc w:val="center"/>
              <w:rPr>
                <w:rFonts w:hint="eastAsia" w:ascii="宋体" w:hAnsi="宋体" w:eastAsia="宋体" w:cs="宋体"/>
                <w:kern w:val="2"/>
                <w:sz w:val="24"/>
                <w:szCs w:val="24"/>
                <w:highlight w:val="none"/>
                <w:lang w:val="zh-CN" w:eastAsia="zh-CN" w:bidi="ar-SA"/>
              </w:rPr>
            </w:pPr>
            <w:r>
              <w:rPr>
                <w:rFonts w:hint="eastAsia" w:ascii="宋体" w:hAnsi="宋体" w:eastAsia="宋体" w:cs="宋体"/>
                <w:sz w:val="24"/>
                <w:szCs w:val="24"/>
                <w:highlight w:val="none"/>
              </w:rPr>
              <w:t>安全技术服务</w:t>
            </w:r>
          </w:p>
        </w:tc>
        <w:tc>
          <w:tcPr>
            <w:tcW w:w="2257" w:type="dxa"/>
            <w:noWrap w:val="0"/>
            <w:vAlign w:val="center"/>
          </w:tcPr>
          <w:p w14:paraId="643EE851">
            <w:pPr>
              <w:snapToGrid w:val="0"/>
              <w:spacing w:line="400" w:lineRule="exact"/>
              <w:contextualSpacing/>
              <w:jc w:val="both"/>
              <w:rPr>
                <w:rFonts w:hint="eastAsia" w:ascii="宋体" w:hAnsi="宋体" w:eastAsia="宋体" w:cs="宋体"/>
                <w:kern w:val="2"/>
                <w:sz w:val="24"/>
                <w:szCs w:val="24"/>
                <w:highlight w:val="none"/>
                <w:lang w:val="zh-CN" w:eastAsia="zh-CN" w:bidi="ar-SA"/>
              </w:rPr>
            </w:pPr>
            <w:r>
              <w:rPr>
                <w:rFonts w:hint="eastAsia" w:ascii="宋体" w:hAnsi="宋体" w:eastAsia="宋体" w:cs="宋体"/>
                <w:sz w:val="24"/>
                <w:szCs w:val="24"/>
                <w:highlight w:val="none"/>
              </w:rPr>
              <w:t>物理访问控制</w:t>
            </w:r>
          </w:p>
        </w:tc>
        <w:tc>
          <w:tcPr>
            <w:tcW w:w="5002" w:type="dxa"/>
            <w:noWrap w:val="0"/>
            <w:vAlign w:val="center"/>
          </w:tcPr>
          <w:p w14:paraId="30189B18">
            <w:pPr>
              <w:snapToGrid w:val="0"/>
              <w:spacing w:line="400" w:lineRule="exact"/>
              <w:contextualSpacing/>
              <w:jc w:val="both"/>
              <w:rPr>
                <w:rFonts w:hint="eastAsia" w:ascii="宋体" w:hAnsi="宋体" w:eastAsia="宋体" w:cs="宋体"/>
                <w:kern w:val="2"/>
                <w:sz w:val="24"/>
                <w:szCs w:val="24"/>
                <w:highlight w:val="none"/>
                <w:lang w:val="zh-CN" w:eastAsia="zh-CN" w:bidi="ar-SA"/>
              </w:rPr>
            </w:pPr>
            <w:r>
              <w:rPr>
                <w:rFonts w:hint="eastAsia" w:ascii="宋体" w:hAnsi="宋体" w:eastAsia="宋体" w:cs="宋体"/>
                <w:sz w:val="24"/>
                <w:szCs w:val="24"/>
                <w:highlight w:val="none"/>
              </w:rPr>
              <w:t>机房进出控制、监控等</w:t>
            </w:r>
          </w:p>
        </w:tc>
      </w:tr>
      <w:tr w14:paraId="61FCF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2" w:type="dxa"/>
            <w:vMerge w:val="continue"/>
            <w:noWrap w:val="0"/>
            <w:vAlign w:val="center"/>
          </w:tcPr>
          <w:p w14:paraId="2537744D">
            <w:pPr>
              <w:snapToGrid w:val="0"/>
              <w:spacing w:line="400" w:lineRule="exact"/>
              <w:contextualSpacing/>
              <w:jc w:val="center"/>
              <w:rPr>
                <w:rFonts w:hint="eastAsia" w:ascii="宋体" w:hAnsi="宋体" w:eastAsia="宋体" w:cs="宋体"/>
                <w:kern w:val="2"/>
                <w:sz w:val="24"/>
                <w:szCs w:val="24"/>
                <w:highlight w:val="none"/>
                <w:lang w:val="zh-CN" w:eastAsia="zh-CN" w:bidi="ar-SA"/>
              </w:rPr>
            </w:pPr>
          </w:p>
        </w:tc>
        <w:tc>
          <w:tcPr>
            <w:tcW w:w="2257" w:type="dxa"/>
            <w:noWrap w:val="0"/>
            <w:vAlign w:val="center"/>
          </w:tcPr>
          <w:p w14:paraId="7DAD6CA7">
            <w:pPr>
              <w:snapToGrid w:val="0"/>
              <w:spacing w:line="400" w:lineRule="exact"/>
              <w:contextualSpacing/>
              <w:jc w:val="both"/>
              <w:rPr>
                <w:rFonts w:hint="eastAsia" w:ascii="宋体" w:hAnsi="宋体" w:eastAsia="宋体" w:cs="宋体"/>
                <w:kern w:val="2"/>
                <w:sz w:val="24"/>
                <w:szCs w:val="24"/>
                <w:highlight w:val="none"/>
                <w:lang w:val="zh-CN" w:eastAsia="zh-CN" w:bidi="ar-SA"/>
              </w:rPr>
            </w:pPr>
            <w:r>
              <w:rPr>
                <w:rFonts w:hint="eastAsia" w:ascii="宋体" w:hAnsi="宋体" w:eastAsia="宋体" w:cs="宋体"/>
                <w:sz w:val="24"/>
                <w:szCs w:val="24"/>
                <w:highlight w:val="none"/>
              </w:rPr>
              <w:t>机房三防服务</w:t>
            </w:r>
          </w:p>
        </w:tc>
        <w:tc>
          <w:tcPr>
            <w:tcW w:w="5002" w:type="dxa"/>
            <w:noWrap w:val="0"/>
            <w:vAlign w:val="center"/>
          </w:tcPr>
          <w:p w14:paraId="06EAA8D8">
            <w:pPr>
              <w:snapToGrid w:val="0"/>
              <w:spacing w:line="400" w:lineRule="exact"/>
              <w:contextualSpacing/>
              <w:jc w:val="both"/>
              <w:rPr>
                <w:rFonts w:hint="eastAsia" w:ascii="宋体" w:hAnsi="宋体" w:eastAsia="宋体" w:cs="宋体"/>
                <w:kern w:val="2"/>
                <w:sz w:val="24"/>
                <w:szCs w:val="24"/>
                <w:highlight w:val="none"/>
                <w:lang w:val="zh-CN" w:eastAsia="zh-CN" w:bidi="ar-SA"/>
              </w:rPr>
            </w:pPr>
            <w:r>
              <w:rPr>
                <w:rFonts w:hint="eastAsia" w:ascii="宋体" w:hAnsi="宋体" w:eastAsia="宋体" w:cs="宋体"/>
                <w:sz w:val="24"/>
                <w:szCs w:val="24"/>
                <w:highlight w:val="none"/>
              </w:rPr>
              <w:t>机房防火、防盗、防雷电</w:t>
            </w:r>
          </w:p>
        </w:tc>
      </w:tr>
      <w:tr w14:paraId="3B82A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2" w:type="dxa"/>
            <w:vMerge w:val="continue"/>
            <w:noWrap w:val="0"/>
            <w:vAlign w:val="center"/>
          </w:tcPr>
          <w:p w14:paraId="414BDE1D">
            <w:pPr>
              <w:snapToGrid w:val="0"/>
              <w:spacing w:line="400" w:lineRule="exact"/>
              <w:contextualSpacing/>
              <w:jc w:val="center"/>
              <w:rPr>
                <w:rFonts w:hint="eastAsia" w:ascii="宋体" w:hAnsi="宋体" w:eastAsia="宋体" w:cs="宋体"/>
                <w:kern w:val="2"/>
                <w:sz w:val="24"/>
                <w:szCs w:val="24"/>
                <w:highlight w:val="none"/>
                <w:lang w:val="zh-CN" w:eastAsia="zh-CN" w:bidi="ar-SA"/>
              </w:rPr>
            </w:pPr>
          </w:p>
        </w:tc>
        <w:tc>
          <w:tcPr>
            <w:tcW w:w="2257" w:type="dxa"/>
            <w:noWrap w:val="0"/>
            <w:vAlign w:val="center"/>
          </w:tcPr>
          <w:p w14:paraId="4239B81A">
            <w:pPr>
              <w:snapToGrid w:val="0"/>
              <w:spacing w:line="400" w:lineRule="exact"/>
              <w:contextualSpacing/>
              <w:jc w:val="both"/>
              <w:rPr>
                <w:rFonts w:hint="eastAsia" w:ascii="宋体" w:hAnsi="宋体" w:eastAsia="宋体" w:cs="宋体"/>
                <w:kern w:val="2"/>
                <w:sz w:val="24"/>
                <w:szCs w:val="24"/>
                <w:highlight w:val="none"/>
                <w:lang w:val="zh-CN" w:eastAsia="zh-CN" w:bidi="ar-SA"/>
              </w:rPr>
            </w:pPr>
            <w:r>
              <w:rPr>
                <w:rFonts w:hint="eastAsia" w:ascii="宋体" w:hAnsi="宋体" w:eastAsia="宋体" w:cs="宋体"/>
                <w:sz w:val="24"/>
                <w:szCs w:val="24"/>
                <w:highlight w:val="none"/>
              </w:rPr>
              <w:t>设备访问审计</w:t>
            </w:r>
          </w:p>
        </w:tc>
        <w:tc>
          <w:tcPr>
            <w:tcW w:w="5002" w:type="dxa"/>
            <w:noWrap w:val="0"/>
            <w:vAlign w:val="center"/>
          </w:tcPr>
          <w:p w14:paraId="46EF8879">
            <w:pPr>
              <w:snapToGrid w:val="0"/>
              <w:spacing w:line="400" w:lineRule="exact"/>
              <w:contextualSpacing/>
              <w:jc w:val="both"/>
              <w:rPr>
                <w:rFonts w:hint="eastAsia" w:ascii="宋体" w:hAnsi="宋体" w:eastAsia="宋体" w:cs="宋体"/>
                <w:kern w:val="2"/>
                <w:sz w:val="24"/>
                <w:szCs w:val="24"/>
                <w:highlight w:val="none"/>
                <w:lang w:val="zh-CN" w:eastAsia="zh-CN" w:bidi="ar-SA"/>
              </w:rPr>
            </w:pPr>
            <w:r>
              <w:rPr>
                <w:rFonts w:hint="eastAsia" w:ascii="宋体" w:hAnsi="宋体" w:eastAsia="宋体" w:cs="宋体"/>
                <w:sz w:val="24"/>
                <w:szCs w:val="24"/>
                <w:highlight w:val="none"/>
              </w:rPr>
              <w:t>设备访问记录、日志统计、安全事件</w:t>
            </w:r>
          </w:p>
        </w:tc>
      </w:tr>
      <w:tr w14:paraId="66D81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2" w:type="dxa"/>
            <w:vMerge w:val="continue"/>
            <w:noWrap w:val="0"/>
            <w:vAlign w:val="center"/>
          </w:tcPr>
          <w:p w14:paraId="2668AD20">
            <w:pPr>
              <w:snapToGrid w:val="0"/>
              <w:spacing w:line="400" w:lineRule="exact"/>
              <w:contextualSpacing/>
              <w:jc w:val="center"/>
              <w:rPr>
                <w:rFonts w:hint="eastAsia" w:ascii="宋体" w:hAnsi="宋体" w:eastAsia="宋体" w:cs="宋体"/>
                <w:kern w:val="2"/>
                <w:sz w:val="24"/>
                <w:szCs w:val="24"/>
                <w:highlight w:val="none"/>
                <w:lang w:val="zh-CN" w:eastAsia="zh-CN" w:bidi="ar-SA"/>
              </w:rPr>
            </w:pPr>
          </w:p>
        </w:tc>
        <w:tc>
          <w:tcPr>
            <w:tcW w:w="2257" w:type="dxa"/>
            <w:noWrap w:val="0"/>
            <w:vAlign w:val="center"/>
          </w:tcPr>
          <w:p w14:paraId="67EF9E4F">
            <w:pPr>
              <w:snapToGrid w:val="0"/>
              <w:spacing w:line="400" w:lineRule="exact"/>
              <w:contextualSpacing/>
              <w:jc w:val="both"/>
              <w:rPr>
                <w:rFonts w:hint="eastAsia" w:ascii="宋体" w:hAnsi="宋体" w:eastAsia="宋体" w:cs="宋体"/>
                <w:kern w:val="2"/>
                <w:sz w:val="24"/>
                <w:szCs w:val="24"/>
                <w:highlight w:val="none"/>
                <w:lang w:val="zh-CN" w:eastAsia="zh-CN" w:bidi="ar-SA"/>
              </w:rPr>
            </w:pPr>
            <w:r>
              <w:rPr>
                <w:rFonts w:hint="eastAsia" w:ascii="宋体" w:hAnsi="宋体" w:eastAsia="宋体" w:cs="宋体"/>
                <w:sz w:val="24"/>
                <w:szCs w:val="24"/>
                <w:highlight w:val="none"/>
              </w:rPr>
              <w:t>出口流量监测</w:t>
            </w:r>
          </w:p>
        </w:tc>
        <w:tc>
          <w:tcPr>
            <w:tcW w:w="5002" w:type="dxa"/>
            <w:noWrap w:val="0"/>
            <w:vAlign w:val="center"/>
          </w:tcPr>
          <w:p w14:paraId="0D62A26A">
            <w:pPr>
              <w:snapToGrid w:val="0"/>
              <w:spacing w:line="400" w:lineRule="exact"/>
              <w:contextualSpacing/>
              <w:jc w:val="both"/>
              <w:rPr>
                <w:rFonts w:hint="eastAsia" w:ascii="宋体" w:hAnsi="宋体" w:eastAsia="宋体" w:cs="宋体"/>
                <w:kern w:val="2"/>
                <w:sz w:val="24"/>
                <w:szCs w:val="24"/>
                <w:highlight w:val="none"/>
                <w:lang w:val="zh-CN" w:eastAsia="zh-CN" w:bidi="ar-SA"/>
              </w:rPr>
            </w:pPr>
            <w:r>
              <w:rPr>
                <w:rFonts w:hint="eastAsia" w:ascii="宋体" w:hAnsi="宋体" w:eastAsia="宋体" w:cs="宋体"/>
                <w:sz w:val="24"/>
                <w:szCs w:val="24"/>
                <w:highlight w:val="none"/>
              </w:rPr>
              <w:t>出口流量控制、检测，并且可观测数据，互联网网络行为审计</w:t>
            </w:r>
          </w:p>
        </w:tc>
      </w:tr>
      <w:tr w14:paraId="7E67C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2" w:type="dxa"/>
            <w:vMerge w:val="continue"/>
            <w:noWrap w:val="0"/>
            <w:vAlign w:val="center"/>
          </w:tcPr>
          <w:p w14:paraId="7FBC17F4">
            <w:pPr>
              <w:snapToGrid w:val="0"/>
              <w:spacing w:line="400" w:lineRule="exact"/>
              <w:contextualSpacing/>
              <w:jc w:val="center"/>
              <w:rPr>
                <w:rFonts w:hint="eastAsia" w:ascii="宋体" w:hAnsi="宋体" w:eastAsia="宋体" w:cs="宋体"/>
                <w:kern w:val="2"/>
                <w:sz w:val="24"/>
                <w:szCs w:val="24"/>
                <w:highlight w:val="none"/>
                <w:lang w:val="zh-CN" w:eastAsia="zh-CN" w:bidi="ar-SA"/>
              </w:rPr>
            </w:pPr>
          </w:p>
        </w:tc>
        <w:tc>
          <w:tcPr>
            <w:tcW w:w="2257" w:type="dxa"/>
            <w:noWrap w:val="0"/>
            <w:vAlign w:val="center"/>
          </w:tcPr>
          <w:p w14:paraId="1E3C2E31">
            <w:pPr>
              <w:snapToGrid w:val="0"/>
              <w:spacing w:line="400" w:lineRule="exact"/>
              <w:contextualSpacing/>
              <w:jc w:val="both"/>
              <w:rPr>
                <w:rFonts w:hint="eastAsia" w:ascii="宋体" w:hAnsi="宋体" w:eastAsia="宋体" w:cs="宋体"/>
                <w:kern w:val="2"/>
                <w:sz w:val="24"/>
                <w:szCs w:val="24"/>
                <w:highlight w:val="none"/>
                <w:lang w:val="zh-CN" w:eastAsia="zh-CN" w:bidi="ar-SA"/>
              </w:rPr>
            </w:pPr>
            <w:r>
              <w:rPr>
                <w:rFonts w:hint="eastAsia" w:ascii="宋体" w:hAnsi="宋体" w:eastAsia="宋体" w:cs="宋体"/>
                <w:sz w:val="24"/>
                <w:szCs w:val="24"/>
                <w:highlight w:val="none"/>
              </w:rPr>
              <w:t>本地抗DDoS防护</w:t>
            </w:r>
          </w:p>
        </w:tc>
        <w:tc>
          <w:tcPr>
            <w:tcW w:w="5002" w:type="dxa"/>
            <w:noWrap w:val="0"/>
            <w:vAlign w:val="center"/>
          </w:tcPr>
          <w:p w14:paraId="1385B578">
            <w:pPr>
              <w:snapToGrid w:val="0"/>
              <w:spacing w:line="400" w:lineRule="exact"/>
              <w:contextualSpacing/>
              <w:jc w:val="both"/>
              <w:rPr>
                <w:rFonts w:hint="eastAsia" w:ascii="宋体" w:hAnsi="宋体" w:eastAsia="宋体" w:cs="宋体"/>
                <w:kern w:val="2"/>
                <w:sz w:val="24"/>
                <w:szCs w:val="24"/>
                <w:highlight w:val="none"/>
                <w:lang w:val="zh-CN" w:eastAsia="zh-CN" w:bidi="ar-SA"/>
              </w:rPr>
            </w:pPr>
            <w:r>
              <w:rPr>
                <w:rFonts w:hint="eastAsia" w:ascii="宋体" w:hAnsi="宋体" w:eastAsia="宋体" w:cs="宋体"/>
                <w:sz w:val="24"/>
                <w:szCs w:val="24"/>
                <w:highlight w:val="none"/>
              </w:rPr>
              <w:t>云平台整体提供总带宽为20Gb的抗DDoS防护</w:t>
            </w:r>
          </w:p>
        </w:tc>
      </w:tr>
      <w:tr w14:paraId="78B4F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2" w:type="dxa"/>
            <w:vMerge w:val="continue"/>
            <w:noWrap w:val="0"/>
            <w:vAlign w:val="center"/>
          </w:tcPr>
          <w:p w14:paraId="7D9D2605">
            <w:pPr>
              <w:snapToGrid w:val="0"/>
              <w:spacing w:line="400" w:lineRule="exact"/>
              <w:contextualSpacing/>
              <w:jc w:val="center"/>
              <w:rPr>
                <w:rFonts w:hint="eastAsia" w:ascii="宋体" w:hAnsi="宋体" w:eastAsia="宋体" w:cs="宋体"/>
                <w:kern w:val="2"/>
                <w:sz w:val="24"/>
                <w:szCs w:val="24"/>
                <w:highlight w:val="none"/>
                <w:lang w:val="zh-CN" w:eastAsia="zh-CN" w:bidi="ar-SA"/>
              </w:rPr>
            </w:pPr>
          </w:p>
        </w:tc>
        <w:tc>
          <w:tcPr>
            <w:tcW w:w="2257" w:type="dxa"/>
            <w:noWrap w:val="0"/>
            <w:vAlign w:val="center"/>
          </w:tcPr>
          <w:p w14:paraId="0FBAB98C">
            <w:pPr>
              <w:snapToGrid w:val="0"/>
              <w:spacing w:line="400" w:lineRule="exact"/>
              <w:contextualSpacing/>
              <w:jc w:val="both"/>
              <w:rPr>
                <w:rFonts w:hint="eastAsia" w:ascii="宋体" w:hAnsi="宋体" w:eastAsia="宋体" w:cs="宋体"/>
                <w:kern w:val="2"/>
                <w:sz w:val="24"/>
                <w:szCs w:val="24"/>
                <w:highlight w:val="none"/>
                <w:lang w:val="zh-CN" w:eastAsia="zh-CN" w:bidi="ar-SA"/>
              </w:rPr>
            </w:pPr>
            <w:r>
              <w:rPr>
                <w:rFonts w:hint="eastAsia" w:ascii="宋体" w:hAnsi="宋体" w:eastAsia="宋体" w:cs="宋体"/>
                <w:sz w:val="24"/>
                <w:szCs w:val="24"/>
                <w:highlight w:val="none"/>
              </w:rPr>
              <w:t>防火墙安全防护</w:t>
            </w:r>
          </w:p>
        </w:tc>
        <w:tc>
          <w:tcPr>
            <w:tcW w:w="5002" w:type="dxa"/>
            <w:noWrap w:val="0"/>
            <w:vAlign w:val="center"/>
          </w:tcPr>
          <w:p w14:paraId="510B5D74">
            <w:pPr>
              <w:snapToGrid w:val="0"/>
              <w:spacing w:line="400" w:lineRule="exact"/>
              <w:contextualSpacing/>
              <w:jc w:val="both"/>
              <w:rPr>
                <w:rFonts w:hint="eastAsia" w:ascii="宋体" w:hAnsi="宋体" w:eastAsia="宋体" w:cs="宋体"/>
                <w:kern w:val="2"/>
                <w:sz w:val="24"/>
                <w:szCs w:val="24"/>
                <w:highlight w:val="none"/>
                <w:lang w:val="zh-CN" w:eastAsia="zh-CN" w:bidi="ar-SA"/>
              </w:rPr>
            </w:pPr>
            <w:r>
              <w:rPr>
                <w:rFonts w:hint="eastAsia" w:ascii="宋体" w:hAnsi="宋体" w:eastAsia="宋体" w:cs="宋体"/>
                <w:sz w:val="24"/>
                <w:szCs w:val="24"/>
                <w:highlight w:val="none"/>
              </w:rPr>
              <w:t>出口安全</w:t>
            </w:r>
          </w:p>
        </w:tc>
      </w:tr>
      <w:tr w14:paraId="28920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2" w:type="dxa"/>
            <w:vMerge w:val="continue"/>
            <w:noWrap w:val="0"/>
            <w:vAlign w:val="center"/>
          </w:tcPr>
          <w:p w14:paraId="43279274">
            <w:pPr>
              <w:snapToGrid w:val="0"/>
              <w:spacing w:line="400" w:lineRule="exact"/>
              <w:contextualSpacing/>
              <w:jc w:val="center"/>
              <w:rPr>
                <w:rFonts w:hint="eastAsia" w:ascii="宋体" w:hAnsi="宋体" w:eastAsia="宋体" w:cs="宋体"/>
                <w:kern w:val="2"/>
                <w:sz w:val="24"/>
                <w:szCs w:val="24"/>
                <w:highlight w:val="none"/>
                <w:lang w:val="zh-CN" w:eastAsia="zh-CN" w:bidi="ar-SA"/>
              </w:rPr>
            </w:pPr>
          </w:p>
        </w:tc>
        <w:tc>
          <w:tcPr>
            <w:tcW w:w="2257" w:type="dxa"/>
            <w:noWrap w:val="0"/>
            <w:vAlign w:val="center"/>
          </w:tcPr>
          <w:p w14:paraId="4EF2F0DE">
            <w:pPr>
              <w:snapToGrid w:val="0"/>
              <w:spacing w:line="400" w:lineRule="exact"/>
              <w:contextualSpacing/>
              <w:jc w:val="both"/>
              <w:rPr>
                <w:rFonts w:hint="eastAsia" w:ascii="宋体" w:hAnsi="宋体" w:eastAsia="宋体" w:cs="宋体"/>
                <w:kern w:val="2"/>
                <w:sz w:val="24"/>
                <w:szCs w:val="24"/>
                <w:highlight w:val="none"/>
                <w:lang w:val="zh-CN" w:eastAsia="zh-CN" w:bidi="ar-SA"/>
              </w:rPr>
            </w:pPr>
            <w:r>
              <w:rPr>
                <w:rFonts w:hint="eastAsia" w:ascii="宋体" w:hAnsi="宋体" w:eastAsia="宋体" w:cs="宋体"/>
                <w:sz w:val="24"/>
                <w:szCs w:val="24"/>
                <w:highlight w:val="none"/>
              </w:rPr>
              <w:t>防入侵监测IPS</w:t>
            </w:r>
          </w:p>
        </w:tc>
        <w:tc>
          <w:tcPr>
            <w:tcW w:w="5002" w:type="dxa"/>
            <w:noWrap w:val="0"/>
            <w:vAlign w:val="center"/>
          </w:tcPr>
          <w:p w14:paraId="5B1A202A">
            <w:pPr>
              <w:snapToGrid w:val="0"/>
              <w:spacing w:line="400" w:lineRule="exact"/>
              <w:contextualSpacing/>
              <w:jc w:val="both"/>
              <w:rPr>
                <w:rFonts w:hint="eastAsia" w:ascii="宋体" w:hAnsi="宋体" w:eastAsia="宋体" w:cs="宋体"/>
                <w:kern w:val="2"/>
                <w:sz w:val="24"/>
                <w:szCs w:val="24"/>
                <w:highlight w:val="none"/>
                <w:lang w:val="zh-CN" w:eastAsia="zh-CN" w:bidi="ar-SA"/>
              </w:rPr>
            </w:pPr>
            <w:r>
              <w:rPr>
                <w:rFonts w:hint="eastAsia" w:ascii="宋体" w:hAnsi="宋体" w:eastAsia="宋体" w:cs="宋体"/>
                <w:sz w:val="24"/>
                <w:szCs w:val="24"/>
                <w:highlight w:val="none"/>
              </w:rPr>
              <w:t>防入侵监测</w:t>
            </w:r>
          </w:p>
        </w:tc>
      </w:tr>
      <w:tr w14:paraId="32CEE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2" w:type="dxa"/>
            <w:vMerge w:val="continue"/>
            <w:noWrap w:val="0"/>
            <w:vAlign w:val="center"/>
          </w:tcPr>
          <w:p w14:paraId="0C09AE1B">
            <w:pPr>
              <w:snapToGrid w:val="0"/>
              <w:spacing w:line="400" w:lineRule="exact"/>
              <w:contextualSpacing/>
              <w:jc w:val="center"/>
              <w:rPr>
                <w:rFonts w:hint="eastAsia" w:ascii="宋体" w:hAnsi="宋体" w:eastAsia="宋体" w:cs="宋体"/>
                <w:kern w:val="2"/>
                <w:sz w:val="24"/>
                <w:szCs w:val="24"/>
                <w:highlight w:val="none"/>
                <w:lang w:val="zh-CN" w:eastAsia="zh-CN" w:bidi="ar-SA"/>
              </w:rPr>
            </w:pPr>
          </w:p>
        </w:tc>
        <w:tc>
          <w:tcPr>
            <w:tcW w:w="2257" w:type="dxa"/>
            <w:noWrap w:val="0"/>
            <w:vAlign w:val="center"/>
          </w:tcPr>
          <w:p w14:paraId="1B85F7DC">
            <w:pPr>
              <w:snapToGrid w:val="0"/>
              <w:spacing w:line="400" w:lineRule="exact"/>
              <w:contextualSpacing/>
              <w:jc w:val="both"/>
              <w:rPr>
                <w:rFonts w:hint="eastAsia" w:ascii="宋体" w:hAnsi="宋体" w:eastAsia="宋体" w:cs="宋体"/>
                <w:kern w:val="2"/>
                <w:sz w:val="24"/>
                <w:szCs w:val="24"/>
                <w:highlight w:val="none"/>
                <w:lang w:val="zh-CN" w:eastAsia="zh-CN" w:bidi="ar-SA"/>
              </w:rPr>
            </w:pPr>
            <w:r>
              <w:rPr>
                <w:rFonts w:hint="eastAsia" w:ascii="宋体" w:hAnsi="宋体" w:eastAsia="宋体" w:cs="宋体"/>
                <w:sz w:val="24"/>
                <w:szCs w:val="24"/>
                <w:highlight w:val="none"/>
              </w:rPr>
              <w:t>远程接入服务</w:t>
            </w:r>
          </w:p>
        </w:tc>
        <w:tc>
          <w:tcPr>
            <w:tcW w:w="5002" w:type="dxa"/>
            <w:noWrap w:val="0"/>
            <w:vAlign w:val="center"/>
          </w:tcPr>
          <w:p w14:paraId="1B566781">
            <w:pPr>
              <w:snapToGrid w:val="0"/>
              <w:spacing w:line="400" w:lineRule="exact"/>
              <w:contextualSpacing/>
              <w:jc w:val="both"/>
              <w:rPr>
                <w:rFonts w:hint="eastAsia" w:ascii="宋体" w:hAnsi="宋体" w:eastAsia="宋体" w:cs="宋体"/>
                <w:kern w:val="2"/>
                <w:sz w:val="24"/>
                <w:szCs w:val="24"/>
                <w:highlight w:val="none"/>
                <w:lang w:val="zh-CN" w:eastAsia="zh-CN" w:bidi="ar-SA"/>
              </w:rPr>
            </w:pPr>
            <w:r>
              <w:rPr>
                <w:rFonts w:hint="eastAsia" w:ascii="宋体" w:hAnsi="宋体" w:eastAsia="宋体" w:cs="宋体"/>
                <w:sz w:val="24"/>
                <w:szCs w:val="24"/>
                <w:highlight w:val="none"/>
              </w:rPr>
              <w:t>提供1个远程登录堡垒机的运维账号</w:t>
            </w:r>
          </w:p>
        </w:tc>
      </w:tr>
      <w:tr w14:paraId="2D6A1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2" w:type="dxa"/>
            <w:vMerge w:val="continue"/>
            <w:noWrap w:val="0"/>
            <w:vAlign w:val="center"/>
          </w:tcPr>
          <w:p w14:paraId="15E6475C">
            <w:pPr>
              <w:snapToGrid w:val="0"/>
              <w:spacing w:line="400" w:lineRule="exact"/>
              <w:contextualSpacing/>
              <w:jc w:val="center"/>
              <w:rPr>
                <w:rFonts w:hint="eastAsia" w:ascii="宋体" w:hAnsi="宋体" w:eastAsia="宋体" w:cs="宋体"/>
                <w:kern w:val="2"/>
                <w:sz w:val="24"/>
                <w:szCs w:val="24"/>
                <w:highlight w:val="none"/>
                <w:lang w:val="zh-CN" w:eastAsia="zh-CN" w:bidi="ar-SA"/>
              </w:rPr>
            </w:pPr>
          </w:p>
        </w:tc>
        <w:tc>
          <w:tcPr>
            <w:tcW w:w="2257" w:type="dxa"/>
            <w:noWrap w:val="0"/>
            <w:vAlign w:val="center"/>
          </w:tcPr>
          <w:p w14:paraId="485A6AAF">
            <w:pPr>
              <w:snapToGrid w:val="0"/>
              <w:spacing w:line="400" w:lineRule="exact"/>
              <w:contextualSpacing/>
              <w:jc w:val="both"/>
              <w:rPr>
                <w:rFonts w:hint="eastAsia" w:ascii="宋体" w:hAnsi="宋体" w:eastAsia="宋体" w:cs="宋体"/>
                <w:kern w:val="2"/>
                <w:sz w:val="24"/>
                <w:szCs w:val="24"/>
                <w:highlight w:val="none"/>
                <w:lang w:val="zh-CN" w:eastAsia="zh-CN" w:bidi="ar-SA"/>
              </w:rPr>
            </w:pPr>
            <w:r>
              <w:rPr>
                <w:rFonts w:hint="eastAsia" w:ascii="宋体" w:hAnsi="宋体" w:eastAsia="宋体" w:cs="宋体"/>
                <w:sz w:val="24"/>
                <w:szCs w:val="24"/>
                <w:highlight w:val="none"/>
              </w:rPr>
              <w:t>租户隔离</w:t>
            </w:r>
          </w:p>
        </w:tc>
        <w:tc>
          <w:tcPr>
            <w:tcW w:w="5002" w:type="dxa"/>
            <w:noWrap w:val="0"/>
            <w:vAlign w:val="center"/>
          </w:tcPr>
          <w:p w14:paraId="0C3A0F41">
            <w:pPr>
              <w:snapToGrid w:val="0"/>
              <w:spacing w:line="400" w:lineRule="exact"/>
              <w:contextualSpacing/>
              <w:jc w:val="both"/>
              <w:rPr>
                <w:rFonts w:hint="eastAsia" w:ascii="宋体" w:hAnsi="宋体" w:eastAsia="宋体" w:cs="宋体"/>
                <w:kern w:val="2"/>
                <w:sz w:val="24"/>
                <w:szCs w:val="24"/>
                <w:highlight w:val="none"/>
                <w:lang w:val="zh-CN" w:eastAsia="zh-CN" w:bidi="ar-SA"/>
              </w:rPr>
            </w:pPr>
            <w:r>
              <w:rPr>
                <w:rFonts w:hint="eastAsia" w:ascii="宋体" w:hAnsi="宋体" w:eastAsia="宋体" w:cs="宋体"/>
                <w:sz w:val="24"/>
                <w:szCs w:val="24"/>
                <w:highlight w:val="none"/>
              </w:rPr>
              <w:t>租户虚拟化层隔离</w:t>
            </w:r>
          </w:p>
        </w:tc>
      </w:tr>
      <w:tr w14:paraId="3FC03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2" w:type="dxa"/>
            <w:vMerge w:val="continue"/>
            <w:noWrap w:val="0"/>
            <w:vAlign w:val="center"/>
          </w:tcPr>
          <w:p w14:paraId="0156AA9A">
            <w:pPr>
              <w:snapToGrid w:val="0"/>
              <w:spacing w:line="400" w:lineRule="exact"/>
              <w:contextualSpacing/>
              <w:jc w:val="center"/>
              <w:rPr>
                <w:rFonts w:hint="eastAsia" w:ascii="宋体" w:hAnsi="宋体" w:eastAsia="宋体" w:cs="宋体"/>
                <w:kern w:val="2"/>
                <w:sz w:val="24"/>
                <w:szCs w:val="24"/>
                <w:highlight w:val="none"/>
                <w:lang w:val="zh-CN" w:eastAsia="zh-CN" w:bidi="ar-SA"/>
              </w:rPr>
            </w:pPr>
          </w:p>
        </w:tc>
        <w:tc>
          <w:tcPr>
            <w:tcW w:w="2257" w:type="dxa"/>
            <w:noWrap w:val="0"/>
            <w:vAlign w:val="center"/>
          </w:tcPr>
          <w:p w14:paraId="0B947793">
            <w:pPr>
              <w:snapToGrid w:val="0"/>
              <w:spacing w:line="400" w:lineRule="exact"/>
              <w:contextualSpacing/>
              <w:jc w:val="both"/>
              <w:rPr>
                <w:rFonts w:hint="eastAsia" w:ascii="宋体" w:hAnsi="宋体" w:eastAsia="宋体" w:cs="宋体"/>
                <w:kern w:val="2"/>
                <w:sz w:val="24"/>
                <w:szCs w:val="24"/>
                <w:highlight w:val="none"/>
                <w:lang w:val="zh-CN" w:eastAsia="zh-CN" w:bidi="ar-SA"/>
              </w:rPr>
            </w:pPr>
            <w:r>
              <w:rPr>
                <w:rFonts w:hint="eastAsia" w:ascii="宋体" w:hAnsi="宋体" w:eastAsia="宋体" w:cs="宋体"/>
                <w:sz w:val="24"/>
                <w:szCs w:val="24"/>
                <w:highlight w:val="none"/>
              </w:rPr>
              <w:t>租户内部访问控制</w:t>
            </w:r>
          </w:p>
        </w:tc>
        <w:tc>
          <w:tcPr>
            <w:tcW w:w="5002" w:type="dxa"/>
            <w:noWrap w:val="0"/>
            <w:vAlign w:val="center"/>
          </w:tcPr>
          <w:p w14:paraId="2198B916">
            <w:pPr>
              <w:snapToGrid w:val="0"/>
              <w:spacing w:line="400" w:lineRule="exact"/>
              <w:contextualSpacing/>
              <w:jc w:val="both"/>
              <w:rPr>
                <w:rFonts w:hint="eastAsia" w:ascii="宋体" w:hAnsi="宋体" w:eastAsia="宋体" w:cs="宋体"/>
                <w:kern w:val="2"/>
                <w:sz w:val="24"/>
                <w:szCs w:val="24"/>
                <w:highlight w:val="none"/>
                <w:lang w:val="zh-CN" w:eastAsia="zh-CN" w:bidi="ar-SA"/>
              </w:rPr>
            </w:pPr>
            <w:r>
              <w:rPr>
                <w:rFonts w:hint="eastAsia" w:ascii="宋体" w:hAnsi="宋体" w:eastAsia="宋体" w:cs="宋体"/>
                <w:sz w:val="24"/>
                <w:szCs w:val="24"/>
                <w:highlight w:val="none"/>
              </w:rPr>
              <w:t>租户内部访问权限控制，用户可以自由分配</w:t>
            </w:r>
          </w:p>
        </w:tc>
      </w:tr>
      <w:tr w14:paraId="0A522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2" w:type="dxa"/>
            <w:vMerge w:val="continue"/>
            <w:noWrap w:val="0"/>
            <w:vAlign w:val="center"/>
          </w:tcPr>
          <w:p w14:paraId="5C54F251">
            <w:pPr>
              <w:snapToGrid w:val="0"/>
              <w:spacing w:line="400" w:lineRule="exact"/>
              <w:contextualSpacing/>
              <w:jc w:val="center"/>
              <w:rPr>
                <w:rFonts w:hint="eastAsia" w:ascii="宋体" w:hAnsi="宋体" w:eastAsia="宋体" w:cs="宋体"/>
                <w:kern w:val="2"/>
                <w:sz w:val="24"/>
                <w:szCs w:val="24"/>
                <w:highlight w:val="none"/>
                <w:lang w:val="zh-CN" w:eastAsia="zh-CN" w:bidi="ar-SA"/>
              </w:rPr>
            </w:pPr>
          </w:p>
        </w:tc>
        <w:tc>
          <w:tcPr>
            <w:tcW w:w="2257" w:type="dxa"/>
            <w:noWrap w:val="0"/>
            <w:vAlign w:val="center"/>
          </w:tcPr>
          <w:p w14:paraId="23DB403D">
            <w:pPr>
              <w:snapToGrid w:val="0"/>
              <w:spacing w:line="400" w:lineRule="exact"/>
              <w:contextualSpacing/>
              <w:jc w:val="both"/>
              <w:rPr>
                <w:rFonts w:hint="eastAsia" w:ascii="宋体" w:hAnsi="宋体" w:eastAsia="宋体" w:cs="宋体"/>
                <w:kern w:val="2"/>
                <w:sz w:val="24"/>
                <w:szCs w:val="24"/>
                <w:highlight w:val="none"/>
                <w:lang w:val="zh-CN" w:eastAsia="zh-CN" w:bidi="ar-SA"/>
              </w:rPr>
            </w:pPr>
            <w:r>
              <w:rPr>
                <w:rFonts w:hint="eastAsia" w:ascii="宋体" w:hAnsi="宋体" w:eastAsia="宋体" w:cs="宋体"/>
                <w:sz w:val="24"/>
                <w:szCs w:val="24"/>
                <w:highlight w:val="none"/>
              </w:rPr>
              <w:t>云主机监控</w:t>
            </w:r>
          </w:p>
        </w:tc>
        <w:tc>
          <w:tcPr>
            <w:tcW w:w="5002" w:type="dxa"/>
            <w:noWrap w:val="0"/>
            <w:vAlign w:val="center"/>
          </w:tcPr>
          <w:p w14:paraId="0FE8AD26">
            <w:pPr>
              <w:snapToGrid w:val="0"/>
              <w:spacing w:line="400" w:lineRule="exact"/>
              <w:contextualSpacing/>
              <w:jc w:val="both"/>
              <w:rPr>
                <w:rFonts w:hint="eastAsia" w:ascii="宋体" w:hAnsi="宋体" w:eastAsia="宋体" w:cs="宋体"/>
                <w:kern w:val="2"/>
                <w:sz w:val="24"/>
                <w:szCs w:val="24"/>
                <w:highlight w:val="none"/>
                <w:lang w:val="zh-CN" w:eastAsia="zh-CN" w:bidi="ar-SA"/>
              </w:rPr>
            </w:pPr>
            <w:r>
              <w:rPr>
                <w:rFonts w:hint="eastAsia" w:ascii="宋体" w:hAnsi="宋体" w:eastAsia="宋体" w:cs="宋体"/>
                <w:sz w:val="24"/>
                <w:szCs w:val="24"/>
                <w:highlight w:val="none"/>
              </w:rPr>
              <w:t>提供云上资源的基本监控，包括CPU、内存使用率等</w:t>
            </w:r>
          </w:p>
        </w:tc>
      </w:tr>
      <w:tr w14:paraId="3E9B1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2" w:type="dxa"/>
            <w:vMerge w:val="continue"/>
            <w:noWrap w:val="0"/>
            <w:vAlign w:val="center"/>
          </w:tcPr>
          <w:p w14:paraId="1FFEB500">
            <w:pPr>
              <w:snapToGrid w:val="0"/>
              <w:spacing w:line="400" w:lineRule="exact"/>
              <w:contextualSpacing/>
              <w:jc w:val="center"/>
              <w:rPr>
                <w:rFonts w:hint="eastAsia" w:ascii="宋体" w:hAnsi="宋体" w:eastAsia="宋体" w:cs="宋体"/>
                <w:kern w:val="2"/>
                <w:sz w:val="24"/>
                <w:szCs w:val="24"/>
                <w:highlight w:val="none"/>
                <w:lang w:val="zh-CN" w:eastAsia="zh-CN" w:bidi="ar-SA"/>
              </w:rPr>
            </w:pPr>
          </w:p>
        </w:tc>
        <w:tc>
          <w:tcPr>
            <w:tcW w:w="2257" w:type="dxa"/>
            <w:noWrap w:val="0"/>
            <w:vAlign w:val="center"/>
          </w:tcPr>
          <w:p w14:paraId="6806F500">
            <w:pPr>
              <w:snapToGrid w:val="0"/>
              <w:spacing w:line="400" w:lineRule="exact"/>
              <w:contextualSpacing/>
              <w:jc w:val="both"/>
              <w:rPr>
                <w:rFonts w:hint="eastAsia" w:ascii="宋体" w:hAnsi="宋体" w:eastAsia="宋体" w:cs="宋体"/>
                <w:kern w:val="2"/>
                <w:sz w:val="24"/>
                <w:szCs w:val="24"/>
                <w:highlight w:val="none"/>
                <w:lang w:val="zh-CN" w:eastAsia="zh-CN" w:bidi="ar-SA"/>
              </w:rPr>
            </w:pPr>
            <w:r>
              <w:rPr>
                <w:rFonts w:hint="eastAsia" w:ascii="宋体" w:hAnsi="宋体" w:eastAsia="宋体" w:cs="宋体"/>
                <w:sz w:val="24"/>
                <w:szCs w:val="24"/>
                <w:highlight w:val="none"/>
              </w:rPr>
              <w:t>角色权限管理</w:t>
            </w:r>
          </w:p>
        </w:tc>
        <w:tc>
          <w:tcPr>
            <w:tcW w:w="5002" w:type="dxa"/>
            <w:noWrap w:val="0"/>
            <w:vAlign w:val="center"/>
          </w:tcPr>
          <w:p w14:paraId="5233B336">
            <w:pPr>
              <w:snapToGrid w:val="0"/>
              <w:spacing w:line="400" w:lineRule="exact"/>
              <w:contextualSpacing/>
              <w:jc w:val="both"/>
              <w:rPr>
                <w:rFonts w:hint="eastAsia" w:ascii="宋体" w:hAnsi="宋体" w:eastAsia="宋体" w:cs="宋体"/>
                <w:kern w:val="2"/>
                <w:sz w:val="24"/>
                <w:szCs w:val="24"/>
                <w:highlight w:val="none"/>
                <w:lang w:val="zh-CN" w:eastAsia="zh-CN" w:bidi="ar-SA"/>
              </w:rPr>
            </w:pPr>
            <w:r>
              <w:rPr>
                <w:rFonts w:hint="eastAsia" w:ascii="宋体" w:hAnsi="宋体" w:eastAsia="宋体" w:cs="宋体"/>
                <w:sz w:val="24"/>
                <w:szCs w:val="24"/>
                <w:highlight w:val="none"/>
              </w:rPr>
              <w:t>提供通过代入角色实现获取操作权限</w:t>
            </w:r>
          </w:p>
        </w:tc>
      </w:tr>
      <w:tr w14:paraId="77F85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2" w:type="dxa"/>
            <w:vMerge w:val="continue"/>
            <w:noWrap w:val="0"/>
            <w:vAlign w:val="center"/>
          </w:tcPr>
          <w:p w14:paraId="6ED90CA1">
            <w:pPr>
              <w:snapToGrid w:val="0"/>
              <w:spacing w:line="400" w:lineRule="exact"/>
              <w:contextualSpacing/>
              <w:jc w:val="center"/>
              <w:rPr>
                <w:rFonts w:hint="eastAsia" w:ascii="宋体" w:hAnsi="宋体" w:eastAsia="宋体" w:cs="宋体"/>
                <w:kern w:val="2"/>
                <w:sz w:val="24"/>
                <w:szCs w:val="24"/>
                <w:highlight w:val="none"/>
                <w:lang w:val="zh-CN" w:eastAsia="zh-CN" w:bidi="ar-SA"/>
              </w:rPr>
            </w:pPr>
          </w:p>
        </w:tc>
        <w:tc>
          <w:tcPr>
            <w:tcW w:w="2257" w:type="dxa"/>
            <w:noWrap w:val="0"/>
            <w:vAlign w:val="center"/>
          </w:tcPr>
          <w:p w14:paraId="2BBC1076">
            <w:pPr>
              <w:snapToGrid w:val="0"/>
              <w:spacing w:line="400" w:lineRule="exact"/>
              <w:contextualSpacing/>
              <w:jc w:val="both"/>
              <w:rPr>
                <w:rFonts w:hint="eastAsia" w:ascii="宋体" w:hAnsi="宋体" w:eastAsia="宋体" w:cs="宋体"/>
                <w:kern w:val="2"/>
                <w:sz w:val="24"/>
                <w:szCs w:val="24"/>
                <w:highlight w:val="none"/>
                <w:lang w:val="zh-CN" w:eastAsia="zh-CN" w:bidi="ar-SA"/>
              </w:rPr>
            </w:pPr>
            <w:r>
              <w:rPr>
                <w:rFonts w:hint="eastAsia" w:ascii="宋体" w:hAnsi="宋体" w:eastAsia="宋体" w:cs="宋体"/>
                <w:sz w:val="24"/>
                <w:szCs w:val="24"/>
                <w:highlight w:val="none"/>
              </w:rPr>
              <w:t>监控平台接入服务</w:t>
            </w:r>
          </w:p>
        </w:tc>
        <w:tc>
          <w:tcPr>
            <w:tcW w:w="5002" w:type="dxa"/>
            <w:noWrap w:val="0"/>
            <w:vAlign w:val="center"/>
          </w:tcPr>
          <w:p w14:paraId="12D8A52A">
            <w:pPr>
              <w:snapToGrid w:val="0"/>
              <w:spacing w:line="400" w:lineRule="exact"/>
              <w:contextualSpacing/>
              <w:jc w:val="both"/>
              <w:rPr>
                <w:rFonts w:hint="eastAsia" w:ascii="宋体" w:hAnsi="宋体" w:eastAsia="宋体" w:cs="宋体"/>
                <w:kern w:val="2"/>
                <w:sz w:val="24"/>
                <w:szCs w:val="24"/>
                <w:highlight w:val="none"/>
                <w:lang w:val="zh-CN" w:eastAsia="zh-CN" w:bidi="ar-SA"/>
              </w:rPr>
            </w:pPr>
            <w:r>
              <w:rPr>
                <w:rFonts w:hint="eastAsia" w:ascii="宋体" w:hAnsi="宋体" w:eastAsia="宋体" w:cs="宋体"/>
                <w:sz w:val="24"/>
                <w:szCs w:val="24"/>
                <w:highlight w:val="none"/>
              </w:rPr>
              <w:t>可提供租户管辖内的云资源监控数据接口调用</w:t>
            </w:r>
          </w:p>
        </w:tc>
      </w:tr>
    </w:tbl>
    <w:p w14:paraId="173D640C">
      <w:pPr>
        <w:widowControl w:val="0"/>
        <w:adjustRightInd w:val="0"/>
        <w:spacing w:line="360" w:lineRule="auto"/>
        <w:ind w:left="0" w:leftChars="0" w:firstLine="0" w:firstLineChars="0"/>
        <w:contextualSpacing/>
        <w:jc w:val="left"/>
        <w:rPr>
          <w:rFonts w:hint="default" w:ascii="宋体" w:hAnsi="宋体" w:eastAsia="宋体" w:cs="宋体"/>
          <w:bCs/>
          <w:kern w:val="2"/>
          <w:sz w:val="24"/>
          <w:szCs w:val="24"/>
          <w:highlight w:val="none"/>
          <w:lang w:val="en-US" w:eastAsia="zh-CN" w:bidi="ar-SA"/>
        </w:rPr>
      </w:pPr>
    </w:p>
    <w:p w14:paraId="3E227057">
      <w:pPr>
        <w:spacing w:line="360" w:lineRule="auto"/>
        <w:contextualSpacing/>
        <w:rPr>
          <w:rFonts w:hint="eastAsia" w:eastAsia="宋体"/>
          <w:i/>
          <w:iCs/>
          <w:sz w:val="24"/>
          <w:highlight w:val="none"/>
          <w:lang w:eastAsia="zh-CN"/>
        </w:rPr>
      </w:pPr>
      <w:r>
        <w:rPr>
          <w:rFonts w:eastAsia="宋体"/>
          <w:sz w:val="24"/>
          <w:highlight w:val="none"/>
        </w:rPr>
        <w:t>3. 验收</w:t>
      </w:r>
      <w:r>
        <w:rPr>
          <w:rFonts w:hint="eastAsia" w:eastAsia="宋体"/>
          <w:sz w:val="24"/>
          <w:highlight w:val="none"/>
          <w:lang w:val="en-US" w:eastAsia="zh-CN"/>
        </w:rPr>
        <w:t>要求</w:t>
      </w:r>
    </w:p>
    <w:p w14:paraId="7BEC83A4">
      <w:pPr>
        <w:widowControl w:val="0"/>
        <w:numPr>
          <w:ilvl w:val="0"/>
          <w:numId w:val="0"/>
        </w:numPr>
        <w:adjustRightInd/>
        <w:spacing w:line="240" w:lineRule="auto"/>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3.1验收标准</w:t>
      </w:r>
    </w:p>
    <w:p w14:paraId="13E408E3">
      <w:pPr>
        <w:keepNext w:val="0"/>
        <w:keepLines w:val="0"/>
        <w:pageBreakBefore w:val="0"/>
        <w:widowControl w:val="0"/>
        <w:kinsoku/>
        <w:wordWrap/>
        <w:overflowPunct/>
        <w:topLinePunct w:val="0"/>
        <w:autoSpaceDE/>
        <w:autoSpaceDN/>
        <w:bidi w:val="0"/>
        <w:adjustRightInd/>
        <w:snapToGrid/>
        <w:spacing w:line="400" w:lineRule="exact"/>
        <w:ind w:firstLine="482"/>
        <w:jc w:val="both"/>
        <w:textAlignment w:val="auto"/>
        <w:rPr>
          <w:rFonts w:ascii="宋体" w:hAnsi="宋体" w:eastAsia="宋体" w:cs="宋体"/>
          <w:bCs/>
          <w:kern w:val="2"/>
          <w:sz w:val="24"/>
          <w:szCs w:val="24"/>
          <w:highlight w:val="none"/>
          <w:lang w:val="en-US" w:eastAsia="zh-CN" w:bidi="ar-SA"/>
        </w:rPr>
      </w:pPr>
      <w:r>
        <w:rPr>
          <w:rFonts w:hint="eastAsia" w:ascii="宋体" w:hAnsi="宋体" w:eastAsia="宋体" w:cs="宋体"/>
          <w:bCs/>
          <w:kern w:val="2"/>
          <w:sz w:val="24"/>
          <w:szCs w:val="24"/>
          <w:highlight w:val="none"/>
          <w:lang w:val="en-US" w:eastAsia="zh-CN" w:bidi="ar-SA"/>
        </w:rPr>
        <w:t>中标人提供的项目技术支持及成果质量符合国家或相关行业标准，并满足合同约定的要求。</w:t>
      </w:r>
    </w:p>
    <w:p w14:paraId="3DB229F3">
      <w:pPr>
        <w:widowControl w:val="0"/>
        <w:numPr>
          <w:ilvl w:val="0"/>
          <w:numId w:val="0"/>
        </w:numPr>
        <w:adjustRightInd/>
        <w:spacing w:line="240" w:lineRule="auto"/>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3.2验收方式</w:t>
      </w:r>
    </w:p>
    <w:p w14:paraId="348DF9DE">
      <w:pPr>
        <w:keepNext w:val="0"/>
        <w:keepLines w:val="0"/>
        <w:pageBreakBefore w:val="0"/>
        <w:widowControl w:val="0"/>
        <w:kinsoku/>
        <w:wordWrap/>
        <w:overflowPunct/>
        <w:topLinePunct w:val="0"/>
        <w:autoSpaceDE/>
        <w:autoSpaceDN/>
        <w:bidi w:val="0"/>
        <w:adjustRightInd/>
        <w:snapToGrid w:val="0"/>
        <w:spacing w:line="400" w:lineRule="exact"/>
        <w:ind w:firstLine="444" w:firstLineChars="185"/>
        <w:textAlignment w:val="auto"/>
        <w:rPr>
          <w:rFonts w:eastAsia="宋体"/>
          <w:b/>
          <w:sz w:val="24"/>
          <w:highlight w:val="none"/>
        </w:rPr>
      </w:pPr>
      <w:r>
        <w:rPr>
          <w:rFonts w:hint="eastAsia" w:ascii="宋体" w:hAnsi="宋体" w:eastAsia="宋体" w:cs="宋体"/>
          <w:bCs/>
          <w:kern w:val="2"/>
          <w:sz w:val="24"/>
          <w:szCs w:val="24"/>
          <w:highlight w:val="none"/>
          <w:lang w:val="zh-CN"/>
        </w:rPr>
        <w:t>在服务期满后</w:t>
      </w:r>
      <w:r>
        <w:rPr>
          <w:rFonts w:hint="eastAsia" w:ascii="宋体" w:hAnsi="宋体" w:eastAsia="宋体" w:cs="宋体"/>
          <w:bCs/>
          <w:kern w:val="2"/>
          <w:sz w:val="24"/>
          <w:szCs w:val="24"/>
          <w:highlight w:val="none"/>
        </w:rPr>
        <w:t>2</w:t>
      </w:r>
      <w:r>
        <w:rPr>
          <w:rFonts w:hint="eastAsia" w:ascii="宋体" w:hAnsi="宋体" w:eastAsia="宋体" w:cs="宋体"/>
          <w:bCs/>
          <w:kern w:val="2"/>
          <w:sz w:val="24"/>
          <w:szCs w:val="24"/>
          <w:highlight w:val="none"/>
          <w:lang w:val="zh-CN"/>
        </w:rPr>
        <w:t>0 个工作日内，</w:t>
      </w:r>
      <w:r>
        <w:rPr>
          <w:rFonts w:hint="eastAsia" w:ascii="宋体" w:hAnsi="宋体" w:eastAsia="宋体" w:cs="宋体"/>
          <w:bCs/>
          <w:kern w:val="2"/>
          <w:sz w:val="24"/>
          <w:szCs w:val="24"/>
          <w:highlight w:val="none"/>
          <w:lang w:val="en-US" w:eastAsia="zh-CN"/>
        </w:rPr>
        <w:t>中</w:t>
      </w:r>
      <w:r>
        <w:rPr>
          <w:rFonts w:hint="eastAsia" w:ascii="宋体" w:hAnsi="宋体" w:eastAsia="宋体" w:cs="宋体"/>
          <w:bCs/>
          <w:kern w:val="2"/>
          <w:sz w:val="24"/>
          <w:szCs w:val="24"/>
          <w:highlight w:val="none"/>
          <w:lang w:val="zh-CN"/>
        </w:rPr>
        <w:t>标人向采购人提交验收材料后，由采购人组织验收工作。验收材料包括但不限于合同规定的各项服务清单等。验收不合格的，</w:t>
      </w:r>
      <w:r>
        <w:rPr>
          <w:rFonts w:hint="eastAsia" w:ascii="宋体" w:hAnsi="宋体" w:eastAsia="宋体" w:cs="宋体"/>
          <w:bCs/>
          <w:kern w:val="2"/>
          <w:sz w:val="24"/>
          <w:szCs w:val="24"/>
          <w:highlight w:val="none"/>
          <w:lang w:val="en-US" w:eastAsia="zh-CN"/>
        </w:rPr>
        <w:t>中</w:t>
      </w:r>
      <w:r>
        <w:rPr>
          <w:rFonts w:hint="eastAsia" w:ascii="宋体" w:hAnsi="宋体" w:eastAsia="宋体" w:cs="宋体"/>
          <w:bCs/>
          <w:kern w:val="2"/>
          <w:sz w:val="24"/>
          <w:szCs w:val="24"/>
          <w:highlight w:val="none"/>
          <w:lang w:val="zh-CN"/>
        </w:rPr>
        <w:t>标人应当在15 日内进行调整，并重新提交验收。</w:t>
      </w:r>
    </w:p>
    <w:p w14:paraId="0C415C8B">
      <w:pPr>
        <w:spacing w:line="360" w:lineRule="auto"/>
        <w:contextualSpacing/>
        <w:rPr>
          <w:rFonts w:eastAsia="宋体"/>
          <w:sz w:val="24"/>
          <w:highlight w:val="none"/>
        </w:rPr>
      </w:pPr>
      <w:r>
        <w:rPr>
          <w:rFonts w:eastAsia="宋体"/>
          <w:sz w:val="24"/>
          <w:highlight w:val="none"/>
        </w:rPr>
        <w:t xml:space="preserve">4. </w:t>
      </w:r>
      <w:r>
        <w:rPr>
          <w:rFonts w:hint="eastAsia" w:eastAsia="宋体"/>
          <w:sz w:val="24"/>
          <w:highlight w:val="none"/>
        </w:rPr>
        <w:t>云平台安全防护能力</w:t>
      </w:r>
    </w:p>
    <w:p w14:paraId="045E35FD">
      <w:pPr>
        <w:keepNext w:val="0"/>
        <w:keepLines w:val="0"/>
        <w:pageBreakBefore w:val="0"/>
        <w:widowControl w:val="0"/>
        <w:kinsoku/>
        <w:wordWrap/>
        <w:overflowPunct/>
        <w:topLinePunct w:val="0"/>
        <w:autoSpaceDE/>
        <w:autoSpaceDN/>
        <w:bidi w:val="0"/>
        <w:adjustRightInd/>
        <w:snapToGrid w:val="0"/>
        <w:spacing w:line="400" w:lineRule="exact"/>
        <w:ind w:firstLine="444" w:firstLineChars="185"/>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投标人需提供标准云平台的安全管理服务和安全技术服务，包括但不限于云平台7*24小时监控、机房运维管理、应急演练、物理访问控制、机房三防、租户隔离、角色权限管理等。</w:t>
      </w:r>
    </w:p>
    <w:p w14:paraId="733D7AFF">
      <w:pPr>
        <w:keepNext w:val="0"/>
        <w:keepLines w:val="0"/>
        <w:pageBreakBefore w:val="0"/>
        <w:widowControl w:val="0"/>
        <w:kinsoku/>
        <w:wordWrap/>
        <w:overflowPunct/>
        <w:topLinePunct w:val="0"/>
        <w:autoSpaceDE/>
        <w:autoSpaceDN/>
        <w:bidi w:val="0"/>
        <w:adjustRightInd/>
        <w:snapToGrid w:val="0"/>
        <w:spacing w:line="400" w:lineRule="exact"/>
        <w:ind w:firstLine="444" w:firstLineChars="185"/>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投标人所投云平台应具备完备的安全防护体系和安全防护设备，具有成熟的安全运维方案，应保证各业务应用系统的支撑环境，包括但不限于服务器、网络、存储以及相关物理环境，应能满足不低于网络安全等级保护（GB/T 22239-2019）第三级要求，并积极配合采购人根据各业务系统具体等保需求，开展相应等保评估、检查、整改等工作。投标人管辖范围内的硬件、软件及支撑环境资源，至少达到业务系统的最高安全等级要求。投标人提供的网站安全防护能力包括但不限于：Web攻击防护能力、DDoS攻击防护能力、CC攻击防护能力、高防DNS、爬虫攻击防护能力、敏感词过滤、双协议栈（支持IPv4、IPv6双协议并存）、攻击告警等。</w:t>
      </w:r>
    </w:p>
    <w:p w14:paraId="4CD5FCF4">
      <w:pPr>
        <w:keepNext w:val="0"/>
        <w:keepLines w:val="0"/>
        <w:pageBreakBefore w:val="0"/>
        <w:widowControl w:val="0"/>
        <w:kinsoku/>
        <w:wordWrap/>
        <w:overflowPunct/>
        <w:topLinePunct w:val="0"/>
        <w:autoSpaceDE/>
        <w:autoSpaceDN/>
        <w:bidi w:val="0"/>
        <w:adjustRightInd/>
        <w:snapToGrid w:val="0"/>
        <w:spacing w:line="400" w:lineRule="exact"/>
        <w:ind w:firstLine="444" w:firstLineChars="185"/>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投标人所投云平台通过中央网信办云计算服务安全评估。</w:t>
      </w:r>
    </w:p>
    <w:p w14:paraId="4B6CB15A">
      <w:pPr>
        <w:keepNext w:val="0"/>
        <w:keepLines w:val="0"/>
        <w:pageBreakBefore w:val="0"/>
        <w:widowControl w:val="0"/>
        <w:kinsoku/>
        <w:wordWrap/>
        <w:overflowPunct/>
        <w:topLinePunct w:val="0"/>
        <w:autoSpaceDE/>
        <w:autoSpaceDN/>
        <w:bidi w:val="0"/>
        <w:adjustRightInd/>
        <w:snapToGrid w:val="0"/>
        <w:spacing w:line="400" w:lineRule="exact"/>
        <w:ind w:firstLine="444" w:firstLineChars="185"/>
        <w:textAlignment w:val="auto"/>
        <w:rPr>
          <w:rFonts w:hint="eastAsia" w:ascii="宋体" w:hAnsi="宋体" w:eastAsia="宋体" w:cs="宋体"/>
          <w:bCs/>
          <w:sz w:val="24"/>
          <w:szCs w:val="24"/>
          <w:highlight w:val="none"/>
          <w:lang w:eastAsia="zh-Hans"/>
        </w:rPr>
      </w:pPr>
      <w:r>
        <w:rPr>
          <w:rFonts w:hint="eastAsia" w:ascii="宋体" w:hAnsi="宋体" w:eastAsia="宋体" w:cs="宋体"/>
          <w:bCs/>
          <w:sz w:val="24"/>
          <w:szCs w:val="24"/>
          <w:highlight w:val="none"/>
          <w:lang w:eastAsia="zh-Hans"/>
        </w:rPr>
        <w:t>投标人所投云平台应具备商用密码服务能力，并通过商用密码应用安全性评估。</w:t>
      </w:r>
    </w:p>
    <w:p w14:paraId="23B1E216">
      <w:pPr>
        <w:numPr>
          <w:ilvl w:val="0"/>
          <w:numId w:val="0"/>
        </w:numPr>
        <w:spacing w:line="360" w:lineRule="auto"/>
        <w:contextualSpacing/>
        <w:rPr>
          <w:rFonts w:hint="eastAsia" w:ascii="Times New Roman" w:hAnsi="Times New Roman" w:eastAsia="宋体" w:cs="Times New Roman"/>
          <w:sz w:val="24"/>
          <w:highlight w:val="none"/>
          <w:lang w:val="en-US" w:eastAsia="zh-CN"/>
        </w:rPr>
      </w:pPr>
      <w:r>
        <w:rPr>
          <w:rFonts w:hint="eastAsia" w:eastAsia="宋体"/>
          <w:sz w:val="24"/>
          <w:highlight w:val="none"/>
          <w:lang w:val="en-US" w:eastAsia="zh-CN"/>
        </w:rPr>
        <w:t>5</w:t>
      </w:r>
      <w:r>
        <w:rPr>
          <w:rFonts w:eastAsia="宋体"/>
          <w:sz w:val="24"/>
          <w:highlight w:val="none"/>
        </w:rPr>
        <w:t xml:space="preserve">. </w:t>
      </w:r>
      <w:r>
        <w:rPr>
          <w:rFonts w:hint="eastAsia" w:eastAsia="宋体"/>
          <w:sz w:val="24"/>
          <w:highlight w:val="none"/>
          <w:lang w:val="en-US" w:eastAsia="zh-CN"/>
        </w:rPr>
        <w:t>运</w:t>
      </w:r>
      <w:r>
        <w:rPr>
          <w:rFonts w:hint="eastAsia" w:ascii="Times New Roman" w:hAnsi="Times New Roman" w:eastAsia="宋体" w:cs="Times New Roman"/>
          <w:sz w:val="24"/>
          <w:highlight w:val="none"/>
          <w:lang w:val="en-US" w:eastAsia="zh-CN"/>
        </w:rPr>
        <w:t>维保障服务</w:t>
      </w:r>
    </w:p>
    <w:p w14:paraId="1886A0A1">
      <w:pPr>
        <w:widowControl w:val="0"/>
        <w:numPr>
          <w:ilvl w:val="0"/>
          <w:numId w:val="0"/>
        </w:numPr>
        <w:adjustRightInd/>
        <w:spacing w:line="240" w:lineRule="auto"/>
        <w:ind w:firstLine="480" w:firstLineChars="200"/>
        <w:jc w:val="both"/>
        <w:textAlignment w:val="auto"/>
        <w:rPr>
          <w:rFonts w:hint="eastAsia" w:ascii="宋体" w:hAnsi="宋体" w:eastAsia="宋体" w:cs="宋体"/>
          <w:kern w:val="2"/>
          <w:sz w:val="24"/>
          <w:szCs w:val="24"/>
          <w:highlight w:val="none"/>
          <w:lang w:val="zh-CN" w:eastAsia="zh-CN" w:bidi="ar-SA"/>
        </w:rPr>
      </w:pPr>
      <w:r>
        <w:rPr>
          <w:rFonts w:hint="eastAsia" w:ascii="宋体" w:hAnsi="宋体" w:eastAsia="宋体" w:cs="宋体"/>
          <w:kern w:val="2"/>
          <w:sz w:val="24"/>
          <w:szCs w:val="24"/>
          <w:highlight w:val="none"/>
          <w:lang w:val="en-US" w:eastAsia="zh-CN" w:bidi="ar-SA"/>
        </w:rPr>
        <w:t>5.1</w:t>
      </w:r>
      <w:r>
        <w:rPr>
          <w:rFonts w:hint="eastAsia" w:ascii="宋体" w:hAnsi="宋体" w:eastAsia="宋体" w:cs="宋体"/>
          <w:kern w:val="2"/>
          <w:sz w:val="24"/>
          <w:szCs w:val="24"/>
          <w:highlight w:val="none"/>
          <w:lang w:val="zh-CN" w:eastAsia="zh-CN" w:bidi="ar-SA"/>
        </w:rPr>
        <w:t>服务规范</w:t>
      </w:r>
    </w:p>
    <w:p w14:paraId="7DC6C9E6">
      <w:pPr>
        <w:keepNext w:val="0"/>
        <w:keepLines w:val="0"/>
        <w:pageBreakBefore w:val="0"/>
        <w:widowControl w:val="0"/>
        <w:kinsoku/>
        <w:wordWrap/>
        <w:overflowPunct/>
        <w:topLinePunct w:val="0"/>
        <w:autoSpaceDE/>
        <w:autoSpaceDN/>
        <w:bidi w:val="0"/>
        <w:adjustRightInd/>
        <w:snapToGrid w:val="0"/>
        <w:spacing w:line="400" w:lineRule="exact"/>
        <w:ind w:firstLine="444" w:firstLineChars="185"/>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投标人须严格按照政务云管理单位和采购单位制定的管理办法、流程、应急制度、文档管理、资产管理、基线管理、人员管理与培训、知识库管理、安全管理等相关制度，规范地开展标准化的运维服务工作。</w:t>
      </w:r>
    </w:p>
    <w:p w14:paraId="7072197E">
      <w:pPr>
        <w:widowControl w:val="0"/>
        <w:numPr>
          <w:ilvl w:val="0"/>
          <w:numId w:val="0"/>
        </w:numPr>
        <w:adjustRightInd/>
        <w:spacing w:line="240" w:lineRule="auto"/>
        <w:ind w:firstLine="480" w:firstLineChars="200"/>
        <w:jc w:val="both"/>
        <w:textAlignment w:val="auto"/>
        <w:rPr>
          <w:rFonts w:hint="eastAsia" w:ascii="宋体" w:hAnsi="宋体" w:eastAsia="宋体" w:cs="宋体"/>
          <w:kern w:val="2"/>
          <w:sz w:val="24"/>
          <w:szCs w:val="24"/>
          <w:highlight w:val="none"/>
          <w:lang w:val="zh-CN" w:eastAsia="zh-CN" w:bidi="ar-SA"/>
        </w:rPr>
      </w:pPr>
      <w:r>
        <w:rPr>
          <w:rFonts w:hint="eastAsia" w:ascii="宋体" w:hAnsi="宋体" w:eastAsia="宋体" w:cs="宋体"/>
          <w:kern w:val="2"/>
          <w:sz w:val="24"/>
          <w:szCs w:val="24"/>
          <w:highlight w:val="none"/>
          <w:lang w:val="en-US" w:eastAsia="zh-CN" w:bidi="ar-SA"/>
        </w:rPr>
        <w:t>5.2</w:t>
      </w:r>
      <w:r>
        <w:rPr>
          <w:rFonts w:hint="eastAsia" w:ascii="宋体" w:hAnsi="宋体" w:eastAsia="宋体" w:cs="宋体"/>
          <w:kern w:val="2"/>
          <w:sz w:val="24"/>
          <w:szCs w:val="24"/>
          <w:highlight w:val="none"/>
          <w:lang w:val="zh-CN" w:eastAsia="zh-CN" w:bidi="ar-SA"/>
        </w:rPr>
        <w:t>运维要求</w:t>
      </w:r>
    </w:p>
    <w:p w14:paraId="1438A9A9">
      <w:pPr>
        <w:keepNext w:val="0"/>
        <w:keepLines w:val="0"/>
        <w:pageBreakBefore w:val="0"/>
        <w:widowControl w:val="0"/>
        <w:kinsoku/>
        <w:wordWrap/>
        <w:overflowPunct/>
        <w:topLinePunct w:val="0"/>
        <w:autoSpaceDE/>
        <w:autoSpaceDN/>
        <w:bidi w:val="0"/>
        <w:adjustRightInd/>
        <w:snapToGrid w:val="0"/>
        <w:spacing w:line="400" w:lineRule="exact"/>
        <w:ind w:firstLine="444" w:firstLineChars="185"/>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投标人需利用监控系统或人工对机房环境、硬件设备及应用系统的运行情况进行7*24小时的监控，及时发现安全隐患，通知相关人员及时处理，并形成监控报告。</w:t>
      </w:r>
    </w:p>
    <w:p w14:paraId="4AE9D59E">
      <w:pPr>
        <w:keepNext w:val="0"/>
        <w:keepLines w:val="0"/>
        <w:pageBreakBefore w:val="0"/>
        <w:widowControl w:val="0"/>
        <w:kinsoku/>
        <w:wordWrap/>
        <w:overflowPunct/>
        <w:topLinePunct w:val="0"/>
        <w:autoSpaceDE/>
        <w:autoSpaceDN/>
        <w:bidi w:val="0"/>
        <w:adjustRightInd/>
        <w:snapToGrid w:val="0"/>
        <w:spacing w:line="400" w:lineRule="exact"/>
        <w:ind w:firstLine="444" w:firstLineChars="185"/>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投标人负责设立技术支持热线，并安排专人值守，为运维工作提供7*24小时热线支持服务。投标人针对采购人要求的云平台运维服务相关内容，需指定专业技术能力较强的工程师，根据采购人要求配合开展相关维护服务。</w:t>
      </w:r>
    </w:p>
    <w:p w14:paraId="5506E91A">
      <w:pPr>
        <w:widowControl w:val="0"/>
        <w:numPr>
          <w:ilvl w:val="0"/>
          <w:numId w:val="0"/>
        </w:numPr>
        <w:adjustRightInd/>
        <w:spacing w:line="240" w:lineRule="auto"/>
        <w:ind w:firstLine="480" w:firstLineChars="200"/>
        <w:jc w:val="both"/>
        <w:textAlignment w:val="auto"/>
        <w:rPr>
          <w:rFonts w:hint="eastAsia" w:ascii="宋体" w:hAnsi="宋体" w:eastAsia="宋体" w:cs="宋体"/>
          <w:kern w:val="2"/>
          <w:sz w:val="24"/>
          <w:szCs w:val="24"/>
          <w:highlight w:val="none"/>
          <w:lang w:val="zh-CN" w:eastAsia="zh-CN" w:bidi="ar-SA"/>
        </w:rPr>
      </w:pPr>
      <w:r>
        <w:rPr>
          <w:rFonts w:hint="eastAsia" w:ascii="宋体" w:hAnsi="宋体" w:eastAsia="宋体" w:cs="宋体"/>
          <w:kern w:val="2"/>
          <w:sz w:val="24"/>
          <w:szCs w:val="24"/>
          <w:highlight w:val="none"/>
          <w:lang w:val="en-US" w:eastAsia="zh-CN" w:bidi="ar-SA"/>
        </w:rPr>
        <w:t>5.3</w:t>
      </w:r>
      <w:r>
        <w:rPr>
          <w:rFonts w:hint="eastAsia" w:ascii="宋体" w:hAnsi="宋体" w:eastAsia="宋体" w:cs="宋体"/>
          <w:kern w:val="2"/>
          <w:sz w:val="24"/>
          <w:szCs w:val="24"/>
          <w:highlight w:val="none"/>
          <w:lang w:val="zh-CN" w:eastAsia="zh-CN" w:bidi="ar-SA"/>
        </w:rPr>
        <w:t>安全及保密要求</w:t>
      </w:r>
    </w:p>
    <w:p w14:paraId="53EF0CBB">
      <w:pPr>
        <w:keepNext w:val="0"/>
        <w:keepLines w:val="0"/>
        <w:pageBreakBefore w:val="0"/>
        <w:widowControl w:val="0"/>
        <w:kinsoku/>
        <w:wordWrap/>
        <w:overflowPunct/>
        <w:topLinePunct w:val="0"/>
        <w:autoSpaceDE/>
        <w:autoSpaceDN/>
        <w:bidi w:val="0"/>
        <w:adjustRightInd/>
        <w:snapToGrid w:val="0"/>
        <w:spacing w:line="400" w:lineRule="exact"/>
        <w:ind w:firstLine="444" w:firstLineChars="185"/>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投标人须严格遵守采购人的相关信息安全规定，不得利用系统维护服务时的便利对采购人数据及其他信息擅自修改或透漏给第三方。</w:t>
      </w:r>
    </w:p>
    <w:p w14:paraId="2614D7A9">
      <w:pPr>
        <w:widowControl w:val="0"/>
        <w:numPr>
          <w:ilvl w:val="0"/>
          <w:numId w:val="0"/>
        </w:numPr>
        <w:adjustRightInd/>
        <w:spacing w:line="240" w:lineRule="auto"/>
        <w:ind w:firstLine="480" w:firstLineChars="200"/>
        <w:jc w:val="both"/>
        <w:textAlignment w:val="auto"/>
        <w:rPr>
          <w:rFonts w:hint="eastAsia" w:ascii="宋体" w:hAnsi="宋体" w:eastAsia="宋体" w:cs="宋体"/>
          <w:kern w:val="2"/>
          <w:sz w:val="24"/>
          <w:szCs w:val="24"/>
          <w:highlight w:val="none"/>
          <w:lang w:val="zh-CN" w:eastAsia="zh-CN" w:bidi="ar-SA"/>
        </w:rPr>
      </w:pPr>
      <w:r>
        <w:rPr>
          <w:rFonts w:hint="eastAsia" w:ascii="宋体" w:hAnsi="宋体" w:eastAsia="宋体" w:cs="宋体"/>
          <w:kern w:val="2"/>
          <w:sz w:val="24"/>
          <w:szCs w:val="24"/>
          <w:highlight w:val="none"/>
          <w:lang w:val="en-US" w:eastAsia="zh-CN" w:bidi="ar-SA"/>
        </w:rPr>
        <w:t>5.4</w:t>
      </w:r>
      <w:r>
        <w:rPr>
          <w:rFonts w:hint="eastAsia" w:ascii="宋体" w:hAnsi="宋体" w:eastAsia="宋体" w:cs="宋体"/>
          <w:kern w:val="2"/>
          <w:sz w:val="24"/>
          <w:szCs w:val="24"/>
          <w:highlight w:val="none"/>
          <w:lang w:val="zh-CN" w:eastAsia="zh-CN" w:bidi="ar-SA"/>
        </w:rPr>
        <w:t>响应及时性要求</w:t>
      </w:r>
    </w:p>
    <w:p w14:paraId="5A882691">
      <w:pPr>
        <w:keepNext w:val="0"/>
        <w:keepLines w:val="0"/>
        <w:pageBreakBefore w:val="0"/>
        <w:widowControl w:val="0"/>
        <w:kinsoku/>
        <w:wordWrap/>
        <w:overflowPunct/>
        <w:topLinePunct w:val="0"/>
        <w:autoSpaceDE/>
        <w:autoSpaceDN/>
        <w:bidi w:val="0"/>
        <w:adjustRightInd/>
        <w:snapToGrid w:val="0"/>
        <w:spacing w:line="400" w:lineRule="exact"/>
        <w:ind w:firstLine="444" w:firstLineChars="185"/>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投标人应当提供高效的系统监控服务，有效防范系统风险，负责人7*24小时电话畅通，在系统发生故障时，投标人应在5分钟内响应，在30分钟之内处理故障，如需要运维人员现场处置的，应能协调人力资源在1小时内到达运维现场提供服务。</w:t>
      </w:r>
    </w:p>
    <w:p w14:paraId="2E629EAA">
      <w:pPr>
        <w:widowControl w:val="0"/>
        <w:numPr>
          <w:ilvl w:val="0"/>
          <w:numId w:val="0"/>
        </w:numPr>
        <w:adjustRightInd/>
        <w:spacing w:line="240" w:lineRule="auto"/>
        <w:ind w:firstLine="480" w:firstLineChars="200"/>
        <w:jc w:val="both"/>
        <w:textAlignment w:val="auto"/>
        <w:rPr>
          <w:rFonts w:hint="eastAsia" w:ascii="宋体" w:hAnsi="宋体" w:eastAsia="宋体" w:cs="宋体"/>
          <w:kern w:val="2"/>
          <w:sz w:val="24"/>
          <w:szCs w:val="24"/>
          <w:highlight w:val="none"/>
          <w:lang w:val="zh-CN" w:eastAsia="zh-CN" w:bidi="ar-SA"/>
        </w:rPr>
      </w:pPr>
      <w:r>
        <w:rPr>
          <w:rFonts w:hint="eastAsia" w:ascii="宋体" w:hAnsi="宋体" w:eastAsia="宋体" w:cs="宋体"/>
          <w:kern w:val="2"/>
          <w:sz w:val="24"/>
          <w:szCs w:val="24"/>
          <w:highlight w:val="none"/>
          <w:lang w:val="en-US" w:eastAsia="zh-CN" w:bidi="ar-SA"/>
        </w:rPr>
        <w:t>5.5</w:t>
      </w:r>
      <w:r>
        <w:rPr>
          <w:rFonts w:hint="eastAsia" w:ascii="宋体" w:hAnsi="宋体" w:eastAsia="宋体" w:cs="宋体"/>
          <w:kern w:val="2"/>
          <w:sz w:val="24"/>
          <w:szCs w:val="24"/>
          <w:highlight w:val="none"/>
          <w:lang w:val="zh-CN" w:eastAsia="zh-CN" w:bidi="ar-SA"/>
        </w:rPr>
        <w:t>重点保障要求</w:t>
      </w:r>
    </w:p>
    <w:p w14:paraId="2B0C59AF">
      <w:pPr>
        <w:keepNext w:val="0"/>
        <w:keepLines w:val="0"/>
        <w:pageBreakBefore w:val="0"/>
        <w:widowControl w:val="0"/>
        <w:kinsoku/>
        <w:wordWrap/>
        <w:overflowPunct/>
        <w:topLinePunct w:val="0"/>
        <w:autoSpaceDE/>
        <w:autoSpaceDN/>
        <w:bidi w:val="0"/>
        <w:adjustRightInd/>
        <w:snapToGrid w:val="0"/>
        <w:spacing w:line="400" w:lineRule="exact"/>
        <w:ind w:firstLine="444" w:firstLineChars="185"/>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为保障五一、十一、春节、两会等重要时期以及业务高峰期内的系统平稳运行，要求投标人根据业务周期性特点，加大运维保障力度，保证在业务高峰期内系统平稳运行。</w:t>
      </w:r>
    </w:p>
    <w:p w14:paraId="37AA07D1">
      <w:pPr>
        <w:widowControl w:val="0"/>
        <w:numPr>
          <w:ilvl w:val="0"/>
          <w:numId w:val="0"/>
        </w:numPr>
        <w:adjustRightInd/>
        <w:spacing w:line="240" w:lineRule="auto"/>
        <w:ind w:firstLine="480" w:firstLineChars="200"/>
        <w:jc w:val="both"/>
        <w:textAlignment w:val="auto"/>
        <w:rPr>
          <w:rFonts w:hint="eastAsia" w:ascii="宋体" w:hAnsi="宋体" w:eastAsia="宋体" w:cs="宋体"/>
          <w:kern w:val="2"/>
          <w:sz w:val="24"/>
          <w:szCs w:val="24"/>
          <w:highlight w:val="none"/>
          <w:lang w:val="zh-CN" w:eastAsia="zh-CN" w:bidi="ar-SA"/>
        </w:rPr>
      </w:pPr>
      <w:r>
        <w:rPr>
          <w:rFonts w:hint="eastAsia" w:ascii="宋体" w:hAnsi="宋体" w:eastAsia="宋体" w:cs="宋体"/>
          <w:kern w:val="2"/>
          <w:sz w:val="24"/>
          <w:szCs w:val="24"/>
          <w:highlight w:val="none"/>
          <w:lang w:val="en-US" w:eastAsia="zh-CN" w:bidi="ar-SA"/>
        </w:rPr>
        <w:t>5.6</w:t>
      </w:r>
      <w:r>
        <w:rPr>
          <w:rFonts w:hint="eastAsia" w:ascii="宋体" w:hAnsi="宋体" w:eastAsia="宋体" w:cs="宋体"/>
          <w:kern w:val="2"/>
          <w:sz w:val="24"/>
          <w:szCs w:val="24"/>
          <w:highlight w:val="none"/>
          <w:lang w:val="zh-CN" w:eastAsia="zh-CN" w:bidi="ar-SA"/>
        </w:rPr>
        <w:t>应急保障和风险防控措施</w:t>
      </w:r>
    </w:p>
    <w:p w14:paraId="3D7A39B8">
      <w:pPr>
        <w:keepNext w:val="0"/>
        <w:keepLines w:val="0"/>
        <w:pageBreakBefore w:val="0"/>
        <w:widowControl w:val="0"/>
        <w:kinsoku/>
        <w:wordWrap/>
        <w:overflowPunct/>
        <w:topLinePunct w:val="0"/>
        <w:autoSpaceDE/>
        <w:autoSpaceDN/>
        <w:bidi w:val="0"/>
        <w:adjustRightInd/>
        <w:snapToGrid w:val="0"/>
        <w:spacing w:line="400" w:lineRule="exact"/>
        <w:ind w:firstLine="444" w:firstLineChars="185"/>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投标人应具备相应的应急预案与风险防控措施,在云平台运行维护期间，出现应急情况和风险状况时，按照预案处置，快速解决问题。</w:t>
      </w:r>
    </w:p>
    <w:p w14:paraId="4D147DEB">
      <w:pPr>
        <w:numPr>
          <w:ilvl w:val="0"/>
          <w:numId w:val="0"/>
        </w:numPr>
        <w:spacing w:line="360" w:lineRule="auto"/>
        <w:contextualSpacing/>
        <w:rPr>
          <w:rFonts w:hint="default" w:ascii="Times New Roman" w:hAnsi="Times New Roman" w:eastAsia="宋体" w:cs="Times New Roman"/>
          <w:sz w:val="24"/>
          <w:highlight w:val="none"/>
          <w:lang w:val="en-US" w:eastAsia="zh-CN"/>
        </w:rPr>
      </w:pPr>
      <w:r>
        <w:rPr>
          <w:rFonts w:hint="eastAsia" w:eastAsia="宋体"/>
          <w:sz w:val="24"/>
          <w:highlight w:val="none"/>
          <w:lang w:val="en-US" w:eastAsia="zh-CN"/>
        </w:rPr>
        <w:t>6</w:t>
      </w:r>
      <w:r>
        <w:rPr>
          <w:rFonts w:eastAsia="宋体"/>
          <w:sz w:val="24"/>
          <w:highlight w:val="none"/>
        </w:rPr>
        <w:t xml:space="preserve">. </w:t>
      </w:r>
      <w:r>
        <w:rPr>
          <w:rFonts w:hint="eastAsia" w:eastAsia="宋体"/>
          <w:sz w:val="24"/>
          <w:highlight w:val="none"/>
          <w:lang w:val="en-US" w:eastAsia="zh-CN"/>
        </w:rPr>
        <w:t>服务团队要求</w:t>
      </w:r>
    </w:p>
    <w:p w14:paraId="3E613E7C">
      <w:pPr>
        <w:keepNext w:val="0"/>
        <w:keepLines w:val="0"/>
        <w:pageBreakBefore w:val="0"/>
        <w:widowControl w:val="0"/>
        <w:kinsoku/>
        <w:wordWrap/>
        <w:overflowPunct/>
        <w:topLinePunct w:val="0"/>
        <w:autoSpaceDE/>
        <w:autoSpaceDN/>
        <w:bidi w:val="0"/>
        <w:adjustRightInd/>
        <w:snapToGrid w:val="0"/>
        <w:spacing w:line="400" w:lineRule="exact"/>
        <w:ind w:firstLine="444" w:firstLineChars="185"/>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投标人须根据项目要求安排具备相应资质和经验的专业人员从事本项目工作，提供服务团队，须确保项目实施队伍的稳定，提供本地化服务。投标人需提供项目团队组织架构、成员名单、成员职责，保证担任重要岗位的人员具备相应专业资质。</w:t>
      </w:r>
    </w:p>
    <w:p w14:paraId="1DA2A38B">
      <w:pPr>
        <w:numPr>
          <w:ilvl w:val="0"/>
          <w:numId w:val="0"/>
        </w:numPr>
        <w:spacing w:line="360" w:lineRule="auto"/>
        <w:contextualSpacing/>
        <w:rPr>
          <w:rFonts w:hint="default" w:ascii="Times New Roman" w:hAnsi="Times New Roman" w:eastAsia="宋体" w:cs="Times New Roman"/>
          <w:sz w:val="24"/>
          <w:highlight w:val="none"/>
          <w:lang w:val="en-US" w:eastAsia="zh-CN"/>
        </w:rPr>
      </w:pPr>
      <w:r>
        <w:rPr>
          <w:rFonts w:hint="eastAsia" w:eastAsia="宋体"/>
          <w:sz w:val="24"/>
          <w:highlight w:val="none"/>
          <w:lang w:val="en-US" w:eastAsia="zh-CN"/>
        </w:rPr>
        <w:t>7</w:t>
      </w:r>
      <w:r>
        <w:rPr>
          <w:rFonts w:eastAsia="宋体"/>
          <w:sz w:val="24"/>
          <w:highlight w:val="none"/>
        </w:rPr>
        <w:t xml:space="preserve">. </w:t>
      </w:r>
      <w:r>
        <w:rPr>
          <w:rFonts w:hint="eastAsia" w:eastAsia="宋体"/>
          <w:sz w:val="24"/>
          <w:highlight w:val="none"/>
          <w:lang w:val="en-US" w:eastAsia="zh-CN"/>
        </w:rPr>
        <w:t>业务连续性要求</w:t>
      </w:r>
    </w:p>
    <w:p w14:paraId="7B91C6BA">
      <w:pPr>
        <w:keepNext w:val="0"/>
        <w:keepLines w:val="0"/>
        <w:pageBreakBefore w:val="0"/>
        <w:widowControl w:val="0"/>
        <w:kinsoku/>
        <w:wordWrap/>
        <w:overflowPunct/>
        <w:topLinePunct w:val="0"/>
        <w:autoSpaceDE/>
        <w:autoSpaceDN/>
        <w:bidi w:val="0"/>
        <w:adjustRightInd/>
        <w:snapToGrid w:val="0"/>
        <w:spacing w:line="400" w:lineRule="exact"/>
        <w:ind w:firstLine="444" w:firstLineChars="185"/>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本项目涉及的应用系统为采购人在用的生产系统，目前在北京市政务云上平稳运行，因此业务连续性是首要的保障需求。</w:t>
      </w:r>
    </w:p>
    <w:p w14:paraId="40498EA9">
      <w:pPr>
        <w:keepNext w:val="0"/>
        <w:keepLines w:val="0"/>
        <w:pageBreakBefore w:val="0"/>
        <w:widowControl w:val="0"/>
        <w:kinsoku/>
        <w:wordWrap/>
        <w:overflowPunct/>
        <w:topLinePunct w:val="0"/>
        <w:autoSpaceDE/>
        <w:autoSpaceDN/>
        <w:bidi w:val="0"/>
        <w:adjustRightInd/>
        <w:snapToGrid w:val="0"/>
        <w:spacing w:line="400" w:lineRule="exact"/>
        <w:ind w:firstLine="444" w:firstLineChars="185"/>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具体要求如下：</w:t>
      </w:r>
    </w:p>
    <w:p w14:paraId="56A2147E">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w:t>
      </w:r>
      <w:r>
        <w:rPr>
          <w:rFonts w:hint="eastAsia" w:ascii="宋体" w:hAnsi="宋体" w:eastAsia="宋体" w:cs="宋体"/>
          <w:bCs/>
          <w:sz w:val="24"/>
          <w:szCs w:val="24"/>
          <w:highlight w:val="none"/>
          <w:lang w:val="en-US" w:eastAsia="zh-CN"/>
        </w:rPr>
        <w:t>1</w:t>
      </w:r>
      <w:r>
        <w:rPr>
          <w:rFonts w:hint="eastAsia" w:ascii="宋体" w:hAnsi="宋体" w:eastAsia="宋体" w:cs="宋体"/>
          <w:bCs/>
          <w:sz w:val="24"/>
          <w:szCs w:val="24"/>
          <w:highlight w:val="none"/>
          <w:lang w:val="zh-CN"/>
        </w:rPr>
        <w:t>）本项目如涉及系统迁移，投标人需编制业务连续性服务方案。投标人以迁移时间窗口与进度要求为总约束，合理规划，科学组织。迁移部署服务子方案应包括（但不限于）政务云资源配置、应用迁移、数据迁移、测试验证、业务割接、风险评估、迁移期间安全保障、迁移期间应急保障、迁移期间运维保障等内容。</w:t>
      </w:r>
    </w:p>
    <w:p w14:paraId="74911DFC">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bCs/>
          <w:sz w:val="24"/>
          <w:szCs w:val="24"/>
          <w:highlight w:val="none"/>
          <w:lang w:val="zh-CN"/>
        </w:rPr>
      </w:pPr>
      <w:r>
        <w:rPr>
          <w:rFonts w:hint="eastAsia" w:ascii="宋体" w:hAnsi="宋体" w:eastAsia="宋体" w:cs="宋体"/>
          <w:bCs/>
          <w:sz w:val="24"/>
          <w:szCs w:val="24"/>
          <w:highlight w:val="none"/>
          <w:lang w:val="zh-CN"/>
        </w:rPr>
        <w:t>（</w:t>
      </w:r>
      <w:r>
        <w:rPr>
          <w:rFonts w:hint="eastAsia" w:ascii="宋体" w:hAnsi="宋体" w:eastAsia="宋体" w:cs="宋体"/>
          <w:bCs/>
          <w:sz w:val="24"/>
          <w:szCs w:val="24"/>
          <w:highlight w:val="none"/>
          <w:lang w:val="en-US" w:eastAsia="zh-CN"/>
        </w:rPr>
        <w:t>2</w:t>
      </w:r>
      <w:r>
        <w:rPr>
          <w:rFonts w:hint="eastAsia" w:ascii="宋体" w:hAnsi="宋体" w:eastAsia="宋体" w:cs="宋体"/>
          <w:bCs/>
          <w:sz w:val="24"/>
          <w:szCs w:val="24"/>
          <w:highlight w:val="none"/>
          <w:lang w:val="zh-CN"/>
        </w:rPr>
        <w:t>）本项目如涉及系统迁移，针对已经运行在政务云平台上的应用系统，为确保迁移过程中数据不丢失、系统业务不中断，投标人负责与原政务云平台的服务商进行主动对接，投标人需承诺系统迁移涉及的所有费用（包括但不限于</w:t>
      </w:r>
      <w:r>
        <w:rPr>
          <w:rFonts w:hint="eastAsia" w:ascii="宋体" w:hAnsi="宋体" w:eastAsia="宋体" w:cs="宋体"/>
          <w:bCs/>
          <w:sz w:val="24"/>
          <w:szCs w:val="24"/>
          <w:highlight w:val="none"/>
          <w:lang w:val="en-US" w:eastAsia="zh-CN"/>
        </w:rPr>
        <w:t>投</w:t>
      </w:r>
      <w:r>
        <w:rPr>
          <w:rFonts w:hint="eastAsia" w:ascii="宋体" w:hAnsi="宋体" w:eastAsia="宋体" w:cs="宋体"/>
          <w:bCs/>
          <w:sz w:val="24"/>
          <w:szCs w:val="24"/>
          <w:highlight w:val="none"/>
          <w:lang w:val="zh-CN"/>
        </w:rPr>
        <w:t>标人迁移测试阶段的云资源费用，第三方对业务系统的部署、调试费用等）由投标人承担。</w:t>
      </w:r>
    </w:p>
    <w:p w14:paraId="2AF73EE9">
      <w:pPr>
        <w:numPr>
          <w:ilvl w:val="0"/>
          <w:numId w:val="0"/>
        </w:numPr>
        <w:spacing w:line="360" w:lineRule="auto"/>
        <w:contextualSpacing/>
        <w:rPr>
          <w:rFonts w:hint="default" w:ascii="Times New Roman" w:hAnsi="Times New Roman" w:eastAsia="宋体" w:cs="Times New Roman"/>
          <w:sz w:val="24"/>
          <w:highlight w:val="none"/>
          <w:lang w:val="en-US" w:eastAsia="zh-CN"/>
        </w:rPr>
      </w:pPr>
      <w:r>
        <w:rPr>
          <w:rFonts w:hint="eastAsia" w:eastAsia="宋体"/>
          <w:sz w:val="24"/>
          <w:highlight w:val="none"/>
          <w:lang w:val="en-US" w:eastAsia="zh-CN"/>
        </w:rPr>
        <w:t>8</w:t>
      </w:r>
      <w:r>
        <w:rPr>
          <w:rFonts w:eastAsia="宋体"/>
          <w:sz w:val="24"/>
          <w:highlight w:val="none"/>
        </w:rPr>
        <w:t xml:space="preserve">. </w:t>
      </w:r>
      <w:r>
        <w:rPr>
          <w:rFonts w:hint="eastAsia" w:eastAsia="宋体"/>
          <w:sz w:val="24"/>
          <w:highlight w:val="none"/>
          <w:lang w:val="en-US" w:eastAsia="zh-CN"/>
        </w:rPr>
        <w:t>技术指标要求</w:t>
      </w:r>
    </w:p>
    <w:p w14:paraId="00B8F37D">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bCs/>
          <w:sz w:val="24"/>
          <w:szCs w:val="24"/>
          <w:highlight w:val="none"/>
          <w:lang w:val="zh-CN" w:eastAsia="zh-Hans"/>
        </w:rPr>
      </w:pPr>
      <w:r>
        <w:rPr>
          <w:rFonts w:hint="eastAsia" w:ascii="宋体" w:hAnsi="宋体" w:eastAsia="宋体" w:cs="宋体"/>
          <w:bCs/>
          <w:sz w:val="24"/>
          <w:szCs w:val="24"/>
          <w:highlight w:val="none"/>
          <w:lang w:val="en-US" w:eastAsia="zh-CN"/>
        </w:rPr>
        <w:t>8.1</w:t>
      </w:r>
      <w:r>
        <w:rPr>
          <w:rFonts w:hint="eastAsia" w:ascii="宋体" w:hAnsi="宋体" w:eastAsia="宋体" w:cs="宋体"/>
          <w:bCs/>
          <w:sz w:val="24"/>
          <w:szCs w:val="24"/>
          <w:highlight w:val="none"/>
          <w:lang w:val="zh-CN" w:eastAsia="zh-Hans"/>
        </w:rPr>
        <w:t>云平台运行技术指标应符合国家法规、标准，云平台可用性不低于99.99%，数据可靠性不低于 99.9999%。</w:t>
      </w:r>
    </w:p>
    <w:p w14:paraId="69C96029">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bCs/>
          <w:sz w:val="24"/>
          <w:szCs w:val="24"/>
          <w:highlight w:val="none"/>
          <w:lang w:val="zh-CN" w:eastAsia="zh-Hans"/>
        </w:rPr>
      </w:pPr>
      <w:r>
        <w:rPr>
          <w:rFonts w:hint="eastAsia" w:ascii="宋体" w:hAnsi="宋体" w:eastAsia="宋体" w:cs="宋体"/>
          <w:bCs/>
          <w:sz w:val="24"/>
          <w:szCs w:val="24"/>
          <w:highlight w:val="none"/>
          <w:lang w:val="en-US" w:eastAsia="zh-CN"/>
        </w:rPr>
        <w:t>8.2</w:t>
      </w:r>
      <w:r>
        <w:rPr>
          <w:rFonts w:hint="eastAsia" w:ascii="宋体" w:hAnsi="宋体" w:eastAsia="宋体" w:cs="宋体"/>
          <w:bCs/>
          <w:sz w:val="24"/>
          <w:szCs w:val="24"/>
          <w:highlight w:val="none"/>
          <w:lang w:val="zh-CN" w:eastAsia="zh-Hans"/>
        </w:rPr>
        <w:t>云平台具备高可用和动态迁移功能，发生物理设备故障后，虚拟机可以自动迁移到其他可用资源上运行，确保业务系统不受物理设备故障影响。</w:t>
      </w:r>
    </w:p>
    <w:p w14:paraId="53533D64">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bCs/>
          <w:sz w:val="24"/>
          <w:szCs w:val="24"/>
          <w:highlight w:val="none"/>
          <w:lang w:val="zh-CN" w:eastAsia="zh-Hans"/>
        </w:rPr>
      </w:pPr>
      <w:r>
        <w:rPr>
          <w:rFonts w:hint="eastAsia" w:ascii="宋体" w:hAnsi="宋体" w:eastAsia="宋体" w:cs="宋体"/>
          <w:bCs/>
          <w:sz w:val="24"/>
          <w:szCs w:val="24"/>
          <w:highlight w:val="none"/>
          <w:lang w:val="en-US" w:eastAsia="zh-CN"/>
        </w:rPr>
        <w:t>8.3</w:t>
      </w:r>
      <w:r>
        <w:rPr>
          <w:rFonts w:hint="eastAsia" w:ascii="宋体" w:hAnsi="宋体" w:eastAsia="宋体" w:cs="宋体"/>
          <w:bCs/>
          <w:sz w:val="24"/>
          <w:szCs w:val="24"/>
          <w:highlight w:val="none"/>
          <w:lang w:val="zh-CN" w:eastAsia="zh-Hans"/>
        </w:rPr>
        <w:t>云平台支持对虚拟机CPU、内存、存储、带宽进行实时监控，并支持自定义告警规则。</w:t>
      </w:r>
    </w:p>
    <w:p w14:paraId="7E502355">
      <w:pPr>
        <w:keepNext w:val="0"/>
        <w:keepLines w:val="0"/>
        <w:pageBreakBefore w:val="0"/>
        <w:widowControl w:val="0"/>
        <w:kinsoku/>
        <w:wordWrap/>
        <w:overflowPunct/>
        <w:topLinePunct w:val="0"/>
        <w:autoSpaceDE/>
        <w:autoSpaceDN/>
        <w:bidi w:val="0"/>
        <w:adjustRightInd/>
        <w:snapToGrid w:val="0"/>
        <w:spacing w:line="400" w:lineRule="exact"/>
        <w:ind w:firstLine="444" w:firstLineChars="185"/>
        <w:textAlignment w:val="auto"/>
        <w:rPr>
          <w:rFonts w:hint="eastAsia" w:ascii="宋体" w:hAnsi="宋体" w:eastAsia="宋体" w:cs="宋体"/>
          <w:bCs/>
          <w:sz w:val="24"/>
          <w:szCs w:val="24"/>
          <w:highlight w:val="none"/>
          <w:lang w:val="zh-CN" w:eastAsia="zh-Hans"/>
        </w:rPr>
      </w:pPr>
      <w:r>
        <w:rPr>
          <w:rFonts w:hint="eastAsia" w:ascii="宋体" w:hAnsi="宋体" w:eastAsia="宋体" w:cs="宋体"/>
          <w:bCs/>
          <w:sz w:val="24"/>
          <w:szCs w:val="24"/>
          <w:highlight w:val="none"/>
          <w:lang w:val="en-US" w:eastAsia="zh-CN"/>
        </w:rPr>
        <w:t>8.4</w:t>
      </w:r>
      <w:r>
        <w:rPr>
          <w:rFonts w:hint="eastAsia" w:ascii="宋体" w:hAnsi="宋体" w:eastAsia="宋体" w:cs="宋体"/>
          <w:bCs/>
          <w:sz w:val="24"/>
          <w:szCs w:val="24"/>
          <w:highlight w:val="none"/>
          <w:lang w:val="zh-CN" w:eastAsia="zh-Hans"/>
        </w:rPr>
        <w:t>云平台提供备份/快照功能，能对云平台中的物理和虚拟服务器进行备份，防止存储故障导致数据丢失。</w:t>
      </w:r>
    </w:p>
    <w:p w14:paraId="67B51D96">
      <w:pPr>
        <w:keepNext w:val="0"/>
        <w:keepLines w:val="0"/>
        <w:pageBreakBefore w:val="0"/>
        <w:widowControl w:val="0"/>
        <w:kinsoku/>
        <w:wordWrap/>
        <w:overflowPunct/>
        <w:topLinePunct w:val="0"/>
        <w:autoSpaceDE/>
        <w:autoSpaceDN/>
        <w:bidi w:val="0"/>
        <w:adjustRightInd/>
        <w:snapToGrid w:val="0"/>
        <w:spacing w:line="400" w:lineRule="exact"/>
        <w:ind w:firstLine="444" w:firstLineChars="185"/>
        <w:textAlignment w:val="auto"/>
        <w:rPr>
          <w:rFonts w:hint="eastAsia" w:ascii="宋体" w:hAnsi="宋体" w:eastAsia="宋体" w:cs="宋体"/>
          <w:bCs/>
          <w:sz w:val="24"/>
          <w:szCs w:val="24"/>
          <w:highlight w:val="none"/>
          <w:lang w:val="zh-CN" w:eastAsia="zh-Hans"/>
        </w:rPr>
      </w:pPr>
      <w:r>
        <w:rPr>
          <w:rFonts w:hint="eastAsia" w:ascii="宋体" w:hAnsi="宋体" w:eastAsia="宋体" w:cs="宋体"/>
          <w:bCs/>
          <w:sz w:val="24"/>
          <w:szCs w:val="24"/>
          <w:highlight w:val="none"/>
          <w:lang w:val="en-US" w:eastAsia="zh-CN"/>
        </w:rPr>
        <w:t>8.5</w:t>
      </w:r>
      <w:r>
        <w:rPr>
          <w:rFonts w:hint="eastAsia" w:ascii="宋体" w:hAnsi="宋体" w:eastAsia="宋体" w:cs="宋体"/>
          <w:bCs/>
          <w:sz w:val="24"/>
          <w:szCs w:val="24"/>
          <w:highlight w:val="none"/>
          <w:lang w:val="zh-CN" w:eastAsia="zh-Hans"/>
        </w:rPr>
        <w:t>云管平台支持图形化管理，支持自动生成资源使用的数据报表。</w:t>
      </w:r>
    </w:p>
    <w:p w14:paraId="2CEB984C">
      <w:pPr>
        <w:keepNext w:val="0"/>
        <w:keepLines w:val="0"/>
        <w:pageBreakBefore w:val="0"/>
        <w:widowControl w:val="0"/>
        <w:kinsoku/>
        <w:wordWrap/>
        <w:overflowPunct/>
        <w:topLinePunct w:val="0"/>
        <w:autoSpaceDE/>
        <w:autoSpaceDN/>
        <w:bidi w:val="0"/>
        <w:adjustRightInd/>
        <w:snapToGrid w:val="0"/>
        <w:spacing w:line="400" w:lineRule="exact"/>
        <w:ind w:firstLine="444" w:firstLineChars="185"/>
        <w:textAlignment w:val="auto"/>
        <w:rPr>
          <w:rFonts w:eastAsia="宋体"/>
          <w:highlight w:val="none"/>
        </w:rPr>
      </w:pPr>
      <w:r>
        <w:rPr>
          <w:rFonts w:hint="eastAsia" w:ascii="宋体" w:hAnsi="宋体" w:eastAsia="宋体" w:cs="宋体"/>
          <w:bCs/>
          <w:sz w:val="24"/>
          <w:szCs w:val="24"/>
          <w:highlight w:val="none"/>
          <w:lang w:val="en-US" w:eastAsia="zh-CN"/>
        </w:rPr>
        <w:t>8.6</w:t>
      </w:r>
      <w:r>
        <w:rPr>
          <w:rFonts w:hint="eastAsia" w:ascii="宋体" w:hAnsi="宋体" w:eastAsia="宋体" w:cs="宋体"/>
          <w:bCs/>
          <w:sz w:val="24"/>
          <w:szCs w:val="24"/>
          <w:highlight w:val="none"/>
          <w:lang w:val="zh-CN" w:eastAsia="zh-Hans"/>
        </w:rPr>
        <w:t>云平台应具备为计算单元提供授时时钟源的能力。</w:t>
      </w:r>
    </w:p>
    <w:p w14:paraId="0F58B845">
      <w:pPr>
        <w:keepNext w:val="0"/>
        <w:keepLines w:val="0"/>
        <w:pageBreakBefore w:val="0"/>
        <w:widowControl w:val="0"/>
        <w:kinsoku/>
        <w:wordWrap/>
        <w:overflowPunct/>
        <w:topLinePunct w:val="0"/>
        <w:autoSpaceDE/>
        <w:autoSpaceDN/>
        <w:bidi w:val="0"/>
        <w:spacing w:line="400" w:lineRule="exact"/>
        <w:contextualSpacing/>
        <w:jc w:val="left"/>
        <w:textAlignment w:val="auto"/>
        <w:rPr>
          <w:rFonts w:ascii="Times New Roman" w:hAnsi="Times New Roman" w:eastAsia="宋体" w:cs="Times New Roman"/>
          <w:sz w:val="24"/>
          <w:highlight w:val="none"/>
        </w:rPr>
      </w:pPr>
    </w:p>
    <w:p w14:paraId="1219735A">
      <w:pPr>
        <w:keepNext w:val="0"/>
        <w:keepLines w:val="0"/>
        <w:pageBreakBefore w:val="0"/>
        <w:widowControl w:val="0"/>
        <w:kinsoku/>
        <w:wordWrap/>
        <w:overflowPunct/>
        <w:topLinePunct w:val="0"/>
        <w:autoSpaceDE/>
        <w:autoSpaceDN/>
        <w:bidi w:val="0"/>
        <w:spacing w:line="400" w:lineRule="exact"/>
        <w:jc w:val="left"/>
        <w:textAlignment w:val="auto"/>
        <w:rPr>
          <w:rFonts w:ascii="Times New Roman" w:hAnsi="Times New Roman" w:eastAsia="宋体" w:cs="Times New Roman"/>
          <w:highlight w:val="none"/>
        </w:rPr>
      </w:pPr>
    </w:p>
    <w:p w14:paraId="2C47C196">
      <w:pPr>
        <w:keepNext w:val="0"/>
        <w:keepLines w:val="0"/>
        <w:pageBreakBefore w:val="0"/>
        <w:widowControl w:val="0"/>
        <w:kinsoku/>
        <w:wordWrap/>
        <w:overflowPunct/>
        <w:topLinePunct w:val="0"/>
        <w:autoSpaceDE/>
        <w:autoSpaceDN/>
        <w:bidi w:val="0"/>
        <w:spacing w:line="400" w:lineRule="exact"/>
        <w:jc w:val="left"/>
        <w:textAlignment w:val="auto"/>
        <w:outlineLvl w:val="0"/>
        <w:rPr>
          <w:rFonts w:ascii="Times New Roman" w:hAnsi="Times New Roman" w:eastAsia="宋体" w:cs="Times New Roman"/>
          <w:b/>
          <w:sz w:val="36"/>
          <w:szCs w:val="36"/>
          <w:highlight w:val="none"/>
        </w:rPr>
      </w:pPr>
    </w:p>
    <w:p w14:paraId="71CAA3E0">
      <w:bookmarkStart w:id="2" w:name="_GoBack"/>
      <w:bookmarkEnd w:id="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decorative"/>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B616772"/>
    <w:multiLevelType w:val="singleLevel"/>
    <w:tmpl w:val="DB616772"/>
    <w:lvl w:ilvl="0" w:tentative="0">
      <w:start w:val="1"/>
      <w:numFmt w:val="decimal"/>
      <w:suff w:val="space"/>
      <w:lvlText w:val="%1."/>
      <w:lvlJc w:val="left"/>
    </w:lvl>
  </w:abstractNum>
  <w:abstractNum w:abstractNumId="1">
    <w:nsid w:val="13851098"/>
    <w:multiLevelType w:val="multilevel"/>
    <w:tmpl w:val="13851098"/>
    <w:lvl w:ilvl="0" w:tentative="0">
      <w:start w:val="1"/>
      <w:numFmt w:val="japaneseCounting"/>
      <w:lvlText w:val="%1、"/>
      <w:lvlJc w:val="left"/>
      <w:pPr>
        <w:ind w:left="500" w:hanging="5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58463B"/>
    <w:rsid w:val="16DB67F7"/>
    <w:rsid w:val="377F630D"/>
    <w:rsid w:val="4D77476D"/>
    <w:rsid w:val="6E58463B"/>
    <w:rsid w:val="7B2D51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正文"/>
    <w:basedOn w:val="3"/>
    <w:qFormat/>
    <w:uiPriority w:val="0"/>
    <w:pPr>
      <w:widowControl w:val="0"/>
      <w:adjustRightInd/>
      <w:spacing w:line="240" w:lineRule="auto"/>
      <w:ind w:firstLine="480"/>
      <w:jc w:val="both"/>
      <w:textAlignment w:val="auto"/>
    </w:pPr>
    <w:rPr>
      <w:rFonts w:ascii="Times New Roman" w:hAnsi="Times New Roman" w:eastAsia="宋体" w:cs="Times New Roman"/>
      <w:kern w:val="2"/>
      <w:sz w:val="21"/>
      <w:szCs w:val="24"/>
      <w:lang w:val="en-US" w:eastAsia="zh-CN" w:bidi="ar-SA"/>
    </w:rPr>
  </w:style>
  <w:style w:type="paragraph" w:customStyle="1" w:styleId="3">
    <w:name w:val="正文样式"/>
    <w:next w:val="1"/>
    <w:qFormat/>
    <w:uiPriority w:val="7"/>
    <w:pPr>
      <w:widowControl w:val="0"/>
      <w:adjustRightInd/>
      <w:spacing w:line="240" w:lineRule="auto"/>
      <w:ind w:firstLine="480"/>
      <w:jc w:val="both"/>
      <w:textAlignment w:val="auto"/>
    </w:pPr>
    <w:rPr>
      <w:rFonts w:ascii="Times New Roman" w:hAnsi="Times New Roman" w:eastAsia="宋体" w:cs="Times New Roman"/>
      <w:kern w:val="2"/>
      <w:sz w:val="21"/>
      <w:szCs w:val="24"/>
      <w:lang w:val="en-US" w:eastAsia="zh-CN" w:bidi="ar-SA"/>
    </w:rPr>
  </w:style>
  <w:style w:type="table" w:styleId="5">
    <w:name w:val="Table Grid"/>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6436</Words>
  <Characters>6866</Characters>
  <Lines>0</Lines>
  <Paragraphs>0</Paragraphs>
  <TotalTime>0</TotalTime>
  <ScaleCrop>false</ScaleCrop>
  <LinksUpToDate>false</LinksUpToDate>
  <CharactersWithSpaces>6910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2026-05-22T07:10:00Z</dcterms:created>
  <dc:creator>栋</dc:creator>
  <cp:lastModifiedBy>栋</cp:lastModifiedBy>
  <dcterms:modified xsi:type="dcterms:W3CDTF">2026-07-16T01:55:54Z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2E6A5D8AA6D44D759656E818246BE367_11</vt:lpwstr>
  </property>
  <property fmtid="{D5CDD505-2E9C-101B-9397-08002B2CF9AE}" pid="4" name="KSOTemplateDocerSaveRecord">
    <vt:lpwstr>eyJoZGlkIjoiOTU5MTdjOGU3ZmY4YzIwMmE0NTgwNDBkMTdmMjJiYTUiLCJ1c2VySWQiOiI0NTA3NDAzODYifQ==</vt:lpwstr>
  </property>
</Properties>
</file>