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378E1">
      <w:pPr>
        <w:spacing w:line="360" w:lineRule="auto"/>
        <w:jc w:val="center"/>
        <w:outlineLvl w:val="0"/>
        <w:rPr>
          <w:rFonts w:ascii="宋体" w:hAnsi="宋体" w:cs="宋体"/>
          <w:b/>
          <w:sz w:val="36"/>
          <w:szCs w:val="36"/>
        </w:rPr>
      </w:pPr>
      <w:r>
        <w:rPr>
          <w:rFonts w:hint="eastAsia" w:ascii="宋体" w:hAnsi="宋体" w:cs="宋体"/>
          <w:b/>
          <w:sz w:val="36"/>
          <w:szCs w:val="36"/>
        </w:rPr>
        <w:t>第五章   采购需求</w:t>
      </w:r>
    </w:p>
    <w:p w14:paraId="603443EB">
      <w:pPr>
        <w:pStyle w:val="2"/>
        <w:spacing w:line="360" w:lineRule="auto"/>
        <w:ind w:firstLine="0"/>
        <w:rPr>
          <w:rFonts w:hint="eastAsia" w:cs="宋体"/>
          <w:b/>
        </w:rPr>
      </w:pPr>
    </w:p>
    <w:p w14:paraId="7C295B8C">
      <w:pPr>
        <w:pStyle w:val="2"/>
        <w:spacing w:line="360" w:lineRule="auto"/>
        <w:ind w:firstLine="0"/>
        <w:rPr>
          <w:rFonts w:hint="eastAsia" w:cs="宋体"/>
          <w:b/>
        </w:rPr>
      </w:pPr>
      <w:r>
        <w:rPr>
          <w:rFonts w:hint="eastAsia" w:cs="宋体"/>
          <w:b/>
        </w:rPr>
        <w:t>一、货物技术要求</w:t>
      </w:r>
    </w:p>
    <w:p w14:paraId="430D6B97">
      <w:pPr>
        <w:pStyle w:val="2"/>
        <w:spacing w:line="360" w:lineRule="auto"/>
        <w:ind w:firstLine="480" w:firstLineChars="200"/>
        <w:rPr>
          <w:rFonts w:hint="eastAsia" w:cs="宋体"/>
          <w:bCs/>
        </w:rPr>
      </w:pPr>
      <w:r>
        <w:rPr>
          <w:rFonts w:hint="eastAsia" w:cs="宋体"/>
          <w:bCs/>
        </w:rPr>
        <w:t>采购标的名称：</w:t>
      </w:r>
      <w:r>
        <w:rPr>
          <w:rFonts w:hint="eastAsia" w:cs="宋体"/>
          <w:spacing w:val="7"/>
        </w:rPr>
        <w:t>环卫作业车</w:t>
      </w:r>
    </w:p>
    <w:p w14:paraId="548BA76F">
      <w:pPr>
        <w:pStyle w:val="2"/>
        <w:spacing w:line="360" w:lineRule="auto"/>
        <w:ind w:firstLine="480" w:firstLineChars="200"/>
        <w:rPr>
          <w:rFonts w:hint="eastAsia" w:cs="宋体"/>
          <w:bCs/>
        </w:rPr>
      </w:pPr>
      <w:r>
        <w:rPr>
          <w:rFonts w:hint="eastAsia" w:cs="宋体"/>
          <w:bCs/>
        </w:rPr>
        <w:t>★号指标为必须满足指标，否则将视为非实质性响应招标文件要求。</w:t>
      </w:r>
    </w:p>
    <w:p w14:paraId="40AAA0B0">
      <w:pPr>
        <w:pStyle w:val="2"/>
        <w:spacing w:line="360" w:lineRule="auto"/>
        <w:ind w:firstLine="482" w:firstLineChars="200"/>
        <w:rPr>
          <w:rFonts w:hint="eastAsia" w:cs="宋体"/>
          <w:bCs/>
        </w:rPr>
      </w:pPr>
      <w:r>
        <w:rPr>
          <w:rFonts w:hint="eastAsia" w:cs="宋体"/>
          <w:b/>
          <w:bCs/>
        </w:rPr>
        <w:t>#</w:t>
      </w:r>
      <w:r>
        <w:rPr>
          <w:rFonts w:hint="eastAsia" w:cs="宋体"/>
          <w:bCs/>
        </w:rPr>
        <w:t>号指标为重要指标，不满足将视为技术性能存在较大偏离。</w:t>
      </w:r>
    </w:p>
    <w:p w14:paraId="178CE669">
      <w:pPr>
        <w:tabs>
          <w:tab w:val="left" w:pos="567"/>
        </w:tabs>
        <w:spacing w:line="360" w:lineRule="auto"/>
        <w:rPr>
          <w:rFonts w:hint="eastAsia" w:ascii="宋体" w:hAnsi="宋体" w:cs="宋体"/>
          <w:b/>
          <w:bCs/>
          <w:sz w:val="24"/>
          <w:lang w:bidi="ar"/>
        </w:rPr>
      </w:pPr>
      <w:r>
        <w:rPr>
          <w:rFonts w:hint="eastAsia" w:ascii="宋体" w:hAnsi="宋体" w:cs="宋体"/>
          <w:b/>
          <w:bCs/>
          <w:sz w:val="24"/>
          <w:lang w:bidi="ar"/>
        </w:rPr>
        <w:t>1.1主要技术参数要求</w:t>
      </w:r>
    </w:p>
    <w:p w14:paraId="3C371804">
      <w:pPr>
        <w:tabs>
          <w:tab w:val="left" w:pos="567"/>
        </w:tabs>
        <w:spacing w:line="360" w:lineRule="auto"/>
        <w:ind w:firstLine="480" w:firstLineChars="200"/>
        <w:rPr>
          <w:rFonts w:hint="eastAsia" w:ascii="宋体" w:hAnsi="宋体" w:cs="宋体"/>
          <w:sz w:val="24"/>
          <w:lang w:bidi="ar"/>
        </w:rPr>
      </w:pPr>
      <w:r>
        <w:rPr>
          <w:rFonts w:hint="eastAsia" w:ascii="宋体" w:hAnsi="宋体" w:cs="宋体"/>
          <w:sz w:val="24"/>
          <w:lang w:bidi="ar"/>
        </w:rPr>
        <w:t>1.最大总质量kg≤12500</w:t>
      </w:r>
    </w:p>
    <w:p w14:paraId="592B6277">
      <w:pPr>
        <w:tabs>
          <w:tab w:val="left" w:pos="567"/>
        </w:tabs>
        <w:spacing w:line="360" w:lineRule="auto"/>
        <w:ind w:firstLine="482" w:firstLineChars="200"/>
        <w:rPr>
          <w:rFonts w:hint="eastAsia" w:ascii="宋体" w:hAnsi="宋体" w:cs="宋体"/>
          <w:sz w:val="24"/>
          <w:lang w:bidi="ar"/>
        </w:rPr>
      </w:pPr>
      <w:r>
        <w:rPr>
          <w:rFonts w:hint="eastAsia" w:ascii="宋体" w:hAnsi="宋体" w:cs="宋体"/>
          <w:b/>
          <w:bCs/>
          <w:sz w:val="24"/>
        </w:rPr>
        <w:t>#2</w:t>
      </w:r>
      <w:r>
        <w:rPr>
          <w:rFonts w:hint="eastAsia" w:ascii="宋体" w:hAnsi="宋体" w:cs="宋体"/>
          <w:sz w:val="24"/>
          <w:lang w:bidi="ar"/>
        </w:rPr>
        <w:t>.额定载质量kg≥2500</w:t>
      </w:r>
    </w:p>
    <w:p w14:paraId="6E154C57">
      <w:pPr>
        <w:tabs>
          <w:tab w:val="left" w:pos="567"/>
        </w:tabs>
        <w:spacing w:line="360" w:lineRule="auto"/>
        <w:ind w:firstLine="482" w:firstLineChars="200"/>
        <w:rPr>
          <w:rFonts w:hint="eastAsia" w:ascii="宋体" w:hAnsi="宋体" w:cs="宋体"/>
          <w:sz w:val="24"/>
          <w:lang w:bidi="ar"/>
        </w:rPr>
      </w:pPr>
      <w:r>
        <w:rPr>
          <w:rFonts w:hint="eastAsia" w:ascii="宋体" w:hAnsi="宋体" w:cs="宋体"/>
          <w:b/>
          <w:bCs/>
          <w:sz w:val="24"/>
        </w:rPr>
        <w:t>#3</w:t>
      </w:r>
      <w:r>
        <w:rPr>
          <w:rFonts w:hint="eastAsia" w:ascii="宋体" w:hAnsi="宋体" w:cs="宋体"/>
          <w:sz w:val="24"/>
          <w:lang w:bidi="ar"/>
        </w:rPr>
        <w:t>.外形尺寸（长×宽×高）mm</w:t>
      </w:r>
      <w:r>
        <w:rPr>
          <w:rFonts w:hint="eastAsia" w:ascii="宋体" w:hAnsi="宋体" w:cs="宋体"/>
          <w:sz w:val="24"/>
          <w:lang w:bidi="ar"/>
        </w:rPr>
        <w:tab/>
      </w:r>
      <w:r>
        <w:rPr>
          <w:rFonts w:hint="eastAsia" w:ascii="宋体" w:hAnsi="宋体" w:cs="宋体"/>
          <w:sz w:val="24"/>
          <w:lang w:bidi="ar"/>
        </w:rPr>
        <w:t>≤6980×2240×2610</w:t>
      </w:r>
    </w:p>
    <w:p w14:paraId="289490E1">
      <w:pPr>
        <w:tabs>
          <w:tab w:val="left" w:pos="567"/>
        </w:tabs>
        <w:spacing w:line="360" w:lineRule="auto"/>
        <w:ind w:firstLine="482" w:firstLineChars="200"/>
        <w:rPr>
          <w:rFonts w:hint="eastAsia" w:ascii="宋体" w:hAnsi="宋体" w:cs="宋体"/>
          <w:sz w:val="24"/>
          <w:lang w:bidi="ar"/>
        </w:rPr>
      </w:pPr>
      <w:r>
        <w:rPr>
          <w:rFonts w:hint="eastAsia" w:ascii="宋体" w:hAnsi="宋体" w:cs="宋体"/>
          <w:b/>
          <w:bCs/>
          <w:sz w:val="24"/>
        </w:rPr>
        <w:t>#4</w:t>
      </w:r>
      <w:r>
        <w:rPr>
          <w:rFonts w:hint="eastAsia" w:ascii="宋体" w:hAnsi="宋体" w:cs="宋体"/>
          <w:sz w:val="24"/>
          <w:lang w:bidi="ar"/>
        </w:rPr>
        <w:t>.液压系统额定工作压力(MPa)≥18</w:t>
      </w:r>
    </w:p>
    <w:p w14:paraId="7192F25F">
      <w:pPr>
        <w:tabs>
          <w:tab w:val="left" w:pos="567"/>
        </w:tabs>
        <w:spacing w:line="360" w:lineRule="auto"/>
        <w:ind w:firstLine="480" w:firstLineChars="200"/>
        <w:rPr>
          <w:rFonts w:hint="eastAsia" w:ascii="宋体" w:hAnsi="宋体" w:cs="宋体"/>
          <w:sz w:val="24"/>
          <w:lang w:bidi="ar"/>
        </w:rPr>
      </w:pPr>
      <w:r>
        <w:rPr>
          <w:rFonts w:hint="eastAsia" w:ascii="宋体" w:hAnsi="宋体" w:cs="宋体"/>
          <w:sz w:val="24"/>
          <w:lang w:bidi="ar"/>
        </w:rPr>
        <w:t>5.填装器有效容积（</w:t>
      </w:r>
      <w:r>
        <w:rPr>
          <w:rFonts w:hint="eastAsia" w:ascii="宋体" w:hAnsi="宋体" w:eastAsia="Arial" w:cs="宋体"/>
          <w:sz w:val="24"/>
          <w:lang w:bidi="ar"/>
        </w:rPr>
        <w:t>m</w:t>
      </w:r>
      <w:r>
        <w:rPr>
          <w:rFonts w:ascii="宋体" w:hAnsi="宋体" w:eastAsia="Arial" w:cs="宋体"/>
          <w:sz w:val="24"/>
          <w:lang w:bidi="ar"/>
        </w:rPr>
        <w:t>³</w:t>
      </w:r>
      <w:r>
        <w:rPr>
          <w:rFonts w:hint="eastAsia" w:ascii="宋体" w:hAnsi="宋体" w:cs="宋体"/>
          <w:sz w:val="24"/>
          <w:lang w:bidi="ar"/>
        </w:rPr>
        <w:t>）≥0.8</w:t>
      </w:r>
    </w:p>
    <w:p w14:paraId="05B4FA50">
      <w:pPr>
        <w:tabs>
          <w:tab w:val="left" w:pos="567"/>
        </w:tabs>
        <w:spacing w:line="360" w:lineRule="auto"/>
        <w:ind w:firstLine="480" w:firstLineChars="200"/>
        <w:rPr>
          <w:rFonts w:hint="eastAsia" w:ascii="宋体" w:hAnsi="宋体" w:cs="宋体"/>
          <w:sz w:val="24"/>
          <w:lang w:bidi="ar"/>
        </w:rPr>
      </w:pPr>
      <w:r>
        <w:rPr>
          <w:rFonts w:hint="eastAsia" w:ascii="宋体" w:hAnsi="宋体" w:cs="宋体"/>
          <w:sz w:val="24"/>
          <w:lang w:bidi="ar"/>
        </w:rPr>
        <w:t>6.箱体容积（</w:t>
      </w:r>
      <w:r>
        <w:rPr>
          <w:rFonts w:hint="eastAsia" w:ascii="宋体" w:hAnsi="宋体" w:eastAsia="Arial" w:cs="宋体"/>
          <w:sz w:val="24"/>
          <w:lang w:bidi="ar"/>
        </w:rPr>
        <w:t>m</w:t>
      </w:r>
      <w:r>
        <w:rPr>
          <w:rFonts w:ascii="宋体" w:hAnsi="宋体" w:eastAsia="Arial" w:cs="宋体"/>
          <w:sz w:val="24"/>
          <w:lang w:bidi="ar"/>
        </w:rPr>
        <w:t>³</w:t>
      </w:r>
      <w:r>
        <w:rPr>
          <w:rFonts w:hint="eastAsia" w:ascii="宋体" w:hAnsi="宋体" w:cs="宋体"/>
          <w:sz w:val="24"/>
          <w:lang w:bidi="ar"/>
        </w:rPr>
        <w:t>）≥6</w:t>
      </w:r>
    </w:p>
    <w:p w14:paraId="7BA828DF">
      <w:pPr>
        <w:tabs>
          <w:tab w:val="left" w:pos="567"/>
        </w:tabs>
        <w:spacing w:line="360" w:lineRule="auto"/>
        <w:ind w:firstLine="480" w:firstLineChars="200"/>
        <w:rPr>
          <w:rFonts w:hint="eastAsia" w:ascii="宋体" w:hAnsi="宋体" w:cs="宋体"/>
          <w:sz w:val="24"/>
          <w:lang w:bidi="ar"/>
        </w:rPr>
      </w:pPr>
      <w:r>
        <w:rPr>
          <w:rFonts w:hint="eastAsia" w:ascii="宋体" w:hAnsi="宋体" w:cs="宋体"/>
          <w:sz w:val="24"/>
          <w:lang w:bidi="ar"/>
        </w:rPr>
        <w:t>7.最高车速km/h≥80</w:t>
      </w:r>
    </w:p>
    <w:p w14:paraId="5CEDB04C">
      <w:pPr>
        <w:tabs>
          <w:tab w:val="left" w:pos="567"/>
        </w:tabs>
        <w:spacing w:line="360" w:lineRule="auto"/>
        <w:ind w:firstLine="480" w:firstLineChars="200"/>
        <w:rPr>
          <w:rFonts w:hint="eastAsia" w:ascii="宋体" w:hAnsi="宋体" w:cs="宋体"/>
          <w:sz w:val="24"/>
          <w:lang w:bidi="ar"/>
        </w:rPr>
      </w:pPr>
      <w:r>
        <w:rPr>
          <w:rFonts w:hint="eastAsia" w:ascii="宋体" w:hAnsi="宋体" w:cs="宋体"/>
          <w:sz w:val="24"/>
          <w:lang w:bidi="ar"/>
        </w:rPr>
        <w:t>8.污水箱体容积（m³）≥0.2</w:t>
      </w:r>
    </w:p>
    <w:p w14:paraId="6CB3D73F">
      <w:pPr>
        <w:tabs>
          <w:tab w:val="left" w:pos="567"/>
        </w:tabs>
        <w:spacing w:line="360" w:lineRule="auto"/>
        <w:ind w:firstLine="480" w:firstLineChars="200"/>
        <w:rPr>
          <w:rFonts w:hint="eastAsia" w:ascii="宋体" w:hAnsi="宋体" w:cs="宋体"/>
          <w:sz w:val="24"/>
          <w:lang w:bidi="ar"/>
        </w:rPr>
      </w:pPr>
      <w:r>
        <w:rPr>
          <w:rFonts w:hint="eastAsia" w:ascii="宋体" w:hAnsi="宋体" w:cs="宋体"/>
          <w:sz w:val="24"/>
          <w:lang w:bidi="ar"/>
        </w:rPr>
        <w:t>9.电池类型：磷酸铁锂电池；电池能量密度（Wh/kg）≥140</w:t>
      </w:r>
    </w:p>
    <w:p w14:paraId="3DBF36DD">
      <w:pPr>
        <w:tabs>
          <w:tab w:val="left" w:pos="567"/>
        </w:tabs>
        <w:spacing w:line="360" w:lineRule="auto"/>
        <w:ind w:firstLine="480" w:firstLineChars="200"/>
        <w:rPr>
          <w:rFonts w:hint="eastAsia" w:ascii="宋体" w:hAnsi="宋体" w:cs="宋体"/>
          <w:sz w:val="24"/>
          <w:lang w:bidi="ar"/>
        </w:rPr>
      </w:pPr>
      <w:r>
        <w:rPr>
          <w:rFonts w:hint="eastAsia" w:ascii="宋体" w:hAnsi="宋体" w:cs="宋体"/>
          <w:sz w:val="24"/>
          <w:lang w:bidi="ar"/>
        </w:rPr>
        <w:t>10.驱动电机额定功率(kW)≥80</w:t>
      </w:r>
    </w:p>
    <w:p w14:paraId="51FBBBD4">
      <w:pPr>
        <w:tabs>
          <w:tab w:val="left" w:pos="567"/>
        </w:tabs>
        <w:spacing w:line="360" w:lineRule="auto"/>
        <w:ind w:firstLine="482" w:firstLineChars="200"/>
        <w:rPr>
          <w:rFonts w:hint="eastAsia" w:ascii="宋体" w:hAnsi="宋体" w:cs="宋体"/>
          <w:sz w:val="24"/>
          <w:lang w:bidi="ar"/>
        </w:rPr>
      </w:pPr>
      <w:r>
        <w:rPr>
          <w:rFonts w:hint="eastAsia" w:ascii="宋体" w:hAnsi="宋体" w:cs="宋体"/>
          <w:b/>
          <w:bCs/>
          <w:sz w:val="24"/>
        </w:rPr>
        <w:t>#</w:t>
      </w:r>
      <w:r>
        <w:rPr>
          <w:rFonts w:hint="eastAsia" w:ascii="宋体" w:hAnsi="宋体" w:cs="宋体"/>
          <w:sz w:val="24"/>
          <w:lang w:bidi="ar"/>
        </w:rPr>
        <w:t>11.续驶里程(等速法)km≥350</w:t>
      </w:r>
    </w:p>
    <w:p w14:paraId="59F1B0ED">
      <w:pPr>
        <w:tabs>
          <w:tab w:val="left" w:pos="567"/>
        </w:tabs>
        <w:spacing w:line="360" w:lineRule="auto"/>
        <w:ind w:firstLine="480" w:firstLineChars="200"/>
        <w:rPr>
          <w:rFonts w:hint="eastAsia" w:ascii="宋体" w:hAnsi="宋体" w:cs="宋体"/>
          <w:sz w:val="24"/>
          <w:lang w:bidi="ar"/>
        </w:rPr>
      </w:pPr>
      <w:r>
        <w:rPr>
          <w:rFonts w:hint="eastAsia" w:ascii="宋体" w:hAnsi="宋体" w:cs="宋体"/>
          <w:sz w:val="24"/>
          <w:lang w:bidi="ar"/>
        </w:rPr>
        <w:t>12.电池总储电量（kWh）≥110</w:t>
      </w:r>
    </w:p>
    <w:p w14:paraId="5BD057FB">
      <w:pPr>
        <w:suppressAutoHyphens/>
        <w:spacing w:line="360" w:lineRule="auto"/>
        <w:jc w:val="left"/>
        <w:rPr>
          <w:rFonts w:hint="eastAsia" w:ascii="宋体" w:hAnsi="宋体" w:cs="宋体"/>
          <w:b/>
          <w:bCs/>
          <w:sz w:val="24"/>
          <w:lang w:bidi="ar"/>
        </w:rPr>
      </w:pPr>
      <w:r>
        <w:rPr>
          <w:rFonts w:hint="eastAsia" w:ascii="宋体" w:hAnsi="宋体" w:cs="宋体"/>
          <w:b/>
          <w:bCs/>
          <w:sz w:val="24"/>
          <w:lang w:bidi="ar"/>
        </w:rPr>
        <w:t>1.2主要技术性能要求</w:t>
      </w:r>
    </w:p>
    <w:p w14:paraId="01365933">
      <w:pPr>
        <w:pStyle w:val="2"/>
        <w:spacing w:line="360" w:lineRule="auto"/>
        <w:rPr>
          <w:rFonts w:hint="eastAsia" w:hAnsi="Times New Roman" w:cs="Times New Roman"/>
        </w:rPr>
      </w:pPr>
      <w:r>
        <w:rPr>
          <w:rFonts w:hint="eastAsia"/>
        </w:rPr>
        <w:t>1.车箱与后门要求采用锁钩式可补偿自动锁紧系统，确保锁装牢固可靠；车箱与后门之间要求配有整体密封胶条（全密封），确保密封不漏水。</w:t>
      </w:r>
    </w:p>
    <w:p w14:paraId="290D83AC">
      <w:pPr>
        <w:pStyle w:val="2"/>
        <w:spacing w:line="360" w:lineRule="auto"/>
        <w:rPr>
          <w:rFonts w:hint="eastAsia"/>
        </w:rPr>
      </w:pPr>
      <w:r>
        <w:rPr>
          <w:rFonts w:hint="eastAsia"/>
        </w:rPr>
        <w:t>2.液压回路设计合理、系统内部热损耗小，在连续工作条件下，液压油箱中</w:t>
      </w:r>
      <w:bookmarkStart w:id="0" w:name="_GoBack"/>
      <w:bookmarkEnd w:id="0"/>
      <w:r>
        <w:rPr>
          <w:rFonts w:hint="eastAsia"/>
        </w:rPr>
        <w:t>的油温不超过70℃。</w:t>
      </w:r>
    </w:p>
    <w:p w14:paraId="06A37EC0">
      <w:pPr>
        <w:tabs>
          <w:tab w:val="left" w:pos="567"/>
        </w:tabs>
        <w:spacing w:line="360" w:lineRule="auto"/>
        <w:ind w:firstLine="422" w:firstLineChars="200"/>
        <w:rPr>
          <w:rFonts w:hint="eastAsia" w:ascii="宋体" w:hAnsi="宋体" w:cs="宋体"/>
          <w:sz w:val="24"/>
          <w:lang w:bidi="ar"/>
        </w:rPr>
      </w:pPr>
      <w:r>
        <w:rPr>
          <w:rFonts w:hAnsi="宋体" w:cs="宋体"/>
          <w:b/>
          <w:bCs/>
        </w:rPr>
        <w:t>#</w:t>
      </w:r>
      <w:r>
        <w:rPr>
          <w:rFonts w:hint="eastAsia" w:ascii="宋体" w:hAnsi="宋体" w:cs="宋体"/>
          <w:sz w:val="24"/>
          <w:lang w:bidi="ar"/>
        </w:rPr>
        <w:t>3.</w:t>
      </w:r>
      <w:r>
        <w:rPr>
          <w:rFonts w:hint="eastAsia" w:ascii="宋体" w:hAnsi="宋体" w:cs="宋体"/>
          <w:spacing w:val="-8"/>
          <w:kern w:val="0"/>
          <w:sz w:val="24"/>
          <w:lang w:bidi="ar"/>
        </w:rPr>
        <w:t>供应商应提供原厂配套车辆底</w:t>
      </w:r>
      <w:r>
        <w:rPr>
          <w:rFonts w:hint="eastAsia" w:ascii="宋体" w:hAnsi="宋体" w:cs="宋体"/>
          <w:spacing w:val="-7"/>
          <w:kern w:val="0"/>
          <w:sz w:val="24"/>
          <w:lang w:bidi="ar"/>
        </w:rPr>
        <w:t>盘</w:t>
      </w:r>
      <w:r>
        <w:rPr>
          <w:rFonts w:hint="eastAsia" w:ascii="宋体" w:hAnsi="宋体" w:cs="宋体"/>
          <w:spacing w:val="-8"/>
          <w:kern w:val="0"/>
          <w:sz w:val="24"/>
          <w:lang w:bidi="ar"/>
        </w:rPr>
        <w:t>。</w:t>
      </w:r>
    </w:p>
    <w:p w14:paraId="0CC6F9C5">
      <w:pPr>
        <w:pStyle w:val="2"/>
        <w:spacing w:line="360" w:lineRule="auto"/>
        <w:rPr>
          <w:rFonts w:hint="eastAsia" w:hAnsi="Times New Roman" w:cs="Times New Roman"/>
        </w:rPr>
      </w:pPr>
      <w:r>
        <w:rPr>
          <w:rFonts w:hint="eastAsia" w:cs="宋体"/>
          <w:b/>
          <w:bCs/>
        </w:rPr>
        <w:t>#4</w:t>
      </w:r>
      <w:r>
        <w:rPr>
          <w:rFonts w:hint="eastAsia"/>
        </w:rPr>
        <w:t>.选用液压泵、多路阀、油缸密封件等关键液压件性能优良，液压泵和多路阀质保期不少于8年，液压油缸质保期不少于5年。液压系统除液压泵、液压阀和液压油缸的其他部件质保期不少于3年。</w:t>
      </w:r>
    </w:p>
    <w:p w14:paraId="653CD900">
      <w:pPr>
        <w:pStyle w:val="2"/>
        <w:spacing w:line="360" w:lineRule="auto"/>
        <w:rPr>
          <w:rFonts w:hint="eastAsia"/>
        </w:rPr>
      </w:pPr>
      <w:r>
        <w:rPr>
          <w:rFonts w:hint="eastAsia"/>
        </w:rPr>
        <w:t>5.上装配有可以调节的自动加速装置。</w:t>
      </w:r>
    </w:p>
    <w:p w14:paraId="791ED431">
      <w:pPr>
        <w:pStyle w:val="2"/>
        <w:spacing w:line="360" w:lineRule="auto"/>
        <w:rPr>
          <w:rFonts w:hint="eastAsia" w:cs="宋体"/>
          <w:b/>
          <w:bCs/>
        </w:rPr>
      </w:pPr>
      <w:r>
        <w:rPr>
          <w:rFonts w:hint="eastAsia" w:cs="宋体"/>
          <w:b/>
          <w:bCs/>
        </w:rPr>
        <w:t>#6</w:t>
      </w:r>
      <w:r>
        <w:rPr>
          <w:rFonts w:hint="eastAsia"/>
        </w:rPr>
        <w:t>.上装机械部件和厢体，采用高强度材料，充分保证结构件强度，防止变形或破裂，厢体内采用防腐处理技术，不因腐蚀而渗漏，质保期不少于8年。</w:t>
      </w:r>
    </w:p>
    <w:p w14:paraId="55C0A157">
      <w:pPr>
        <w:pStyle w:val="2"/>
        <w:spacing w:line="360" w:lineRule="auto"/>
        <w:rPr>
          <w:rFonts w:hint="eastAsia" w:hAnsi="Times New Roman" w:cs="Times New Roman"/>
        </w:rPr>
      </w:pPr>
      <w:r>
        <w:rPr>
          <w:rFonts w:hint="eastAsia" w:cs="宋体"/>
          <w:b/>
          <w:bCs/>
        </w:rPr>
        <w:t>#7</w:t>
      </w:r>
      <w:r>
        <w:rPr>
          <w:rFonts w:hint="eastAsia"/>
        </w:rPr>
        <w:t>.驾驶室装配耐磨布艺座椅和耐磨地脚，座椅填充物和弹簧耐疲劳强度高，质保期不少于5年。</w:t>
      </w:r>
    </w:p>
    <w:p w14:paraId="78FB74A6">
      <w:pPr>
        <w:pStyle w:val="2"/>
        <w:spacing w:line="360" w:lineRule="auto"/>
        <w:rPr>
          <w:rFonts w:hint="eastAsia"/>
        </w:rPr>
      </w:pPr>
      <w:r>
        <w:rPr>
          <w:rFonts w:hint="eastAsia" w:cs="宋体"/>
          <w:b/>
          <w:bCs/>
        </w:rPr>
        <w:t>#8</w:t>
      </w:r>
      <w:r>
        <w:rPr>
          <w:rFonts w:hint="eastAsia"/>
        </w:rPr>
        <w:t>.整车电子元件防尘防水等级达到IP67或优于。</w:t>
      </w:r>
    </w:p>
    <w:p w14:paraId="0F4EFAD5">
      <w:pPr>
        <w:pStyle w:val="2"/>
        <w:spacing w:line="360" w:lineRule="auto"/>
        <w:ind w:left="420" w:leftChars="200" w:firstLine="0"/>
        <w:rPr>
          <w:rFonts w:hint="eastAsia" w:cs="宋体"/>
          <w:bCs/>
          <w:kern w:val="0"/>
          <w:lang w:bidi="ar"/>
        </w:rPr>
      </w:pPr>
      <w:r>
        <w:rPr>
          <w:rFonts w:hint="eastAsia" w:cs="宋体"/>
          <w:bCs/>
          <w:kern w:val="0"/>
          <w:lang w:bidi="ar"/>
        </w:rPr>
        <w:t>9.驾驶室内装备空调制冷制热系统。</w:t>
      </w:r>
    </w:p>
    <w:p w14:paraId="2EE1440F">
      <w:pPr>
        <w:pStyle w:val="2"/>
        <w:spacing w:line="360" w:lineRule="auto"/>
        <w:rPr>
          <w:rFonts w:hint="eastAsia" w:cs="宋体"/>
          <w:spacing w:val="-7"/>
          <w:lang w:bidi="ar"/>
        </w:rPr>
      </w:pPr>
      <w:r>
        <w:rPr>
          <w:rFonts w:hint="eastAsia" w:cs="宋体"/>
          <w:spacing w:val="-7"/>
          <w:lang w:bidi="ar"/>
        </w:rPr>
        <w:t>注：以上条款须提供承诺书。</w:t>
      </w:r>
    </w:p>
    <w:p w14:paraId="0E292180">
      <w:pPr>
        <w:pStyle w:val="2"/>
        <w:spacing w:line="360" w:lineRule="auto"/>
        <w:ind w:firstLine="0"/>
        <w:rPr>
          <w:rFonts w:hint="eastAsia" w:cs="宋体"/>
          <w:b/>
          <w:bCs/>
          <w:lang w:bidi="ar"/>
        </w:rPr>
      </w:pPr>
      <w:r>
        <w:rPr>
          <w:rFonts w:hint="eastAsia" w:cs="宋体"/>
          <w:b/>
          <w:bCs/>
          <w:lang w:bidi="ar"/>
        </w:rPr>
        <w:t>1.3其他要求：</w:t>
      </w:r>
    </w:p>
    <w:p w14:paraId="3F10BAF6">
      <w:pPr>
        <w:suppressAutoHyphens/>
        <w:spacing w:line="360" w:lineRule="auto"/>
        <w:ind w:firstLine="480" w:firstLineChars="200"/>
        <w:jc w:val="left"/>
        <w:rPr>
          <w:rFonts w:hint="eastAsia" w:ascii="宋体" w:hAnsi="宋体" w:cs="宋体"/>
          <w:bCs/>
          <w:sz w:val="24"/>
        </w:rPr>
      </w:pPr>
      <w:r>
        <w:rPr>
          <w:rFonts w:hint="eastAsia" w:ascii="宋体" w:hAnsi="宋体" w:cs="宋体"/>
          <w:bCs/>
          <w:sz w:val="24"/>
        </w:rPr>
        <w:t>★1.为贯彻落实挥发性有机物污染治理专项行动有关要求，依据《北京市财政局北京市生态环境局关于政府采购推广使用低挥发性有机化合物（VOCs）有关事项的通知》（京财采购〔2020〕2381号）要求，本项目中涉及涂料（车漆）等挥发性有机物产品的，属于强制性标准的，供应商应执行符合国家的VOCs含量限制标准：GB-24409-2020车辆涂料中有害物质限量；汽车整车制造环节所属地为北京市的应符合DB11/1227-2015汽车整车制造业（涂装工序）大气污染物排放标准，汽车整车制造环节所属地非北京市的执行所在地大气污染物排放</w:t>
      </w:r>
      <w:r>
        <w:rPr>
          <w:rFonts w:hint="eastAsia" w:ascii="宋体" w:hAnsi="宋体" w:cs="宋体"/>
          <w:bCs/>
          <w:sz w:val="24"/>
          <w:lang w:eastAsia="zh-CN"/>
        </w:rPr>
        <w:t>标准</w:t>
      </w:r>
      <w:r>
        <w:rPr>
          <w:rFonts w:hint="eastAsia" w:ascii="宋体" w:hAnsi="宋体" w:cs="宋体"/>
          <w:bCs/>
          <w:sz w:val="24"/>
        </w:rPr>
        <w:t>。</w:t>
      </w:r>
    </w:p>
    <w:p w14:paraId="42C75C79">
      <w:pPr>
        <w:suppressAutoHyphens/>
        <w:autoSpaceDE w:val="0"/>
        <w:autoSpaceDN w:val="0"/>
        <w:spacing w:before="103" w:line="360" w:lineRule="auto"/>
        <w:ind w:right="483" w:firstLine="480" w:firstLineChars="200"/>
        <w:jc w:val="left"/>
        <w:rPr>
          <w:rFonts w:hint="eastAsia" w:ascii="宋体" w:hAnsi="宋体" w:cs="宋体"/>
          <w:kern w:val="0"/>
          <w:sz w:val="24"/>
        </w:rPr>
      </w:pPr>
      <w:r>
        <w:rPr>
          <w:rFonts w:hint="eastAsia" w:ascii="宋体" w:hAnsi="宋体" w:cs="宋体"/>
          <w:bCs/>
          <w:kern w:val="0"/>
          <w:sz w:val="24"/>
          <w:lang w:bidi="ar"/>
        </w:rPr>
        <w:t>★2.</w:t>
      </w:r>
      <w:r>
        <w:rPr>
          <w:rFonts w:hint="eastAsia" w:ascii="宋体" w:hAnsi="宋体" w:cs="宋体"/>
          <w:spacing w:val="-8"/>
          <w:kern w:val="0"/>
          <w:sz w:val="24"/>
          <w:lang w:bidi="ar"/>
        </w:rPr>
        <w:t>车身的颜色、标识必须符</w:t>
      </w:r>
      <w:r>
        <w:rPr>
          <w:rFonts w:hint="eastAsia" w:ascii="宋体" w:hAnsi="宋体" w:cs="宋体"/>
          <w:kern w:val="0"/>
          <w:sz w:val="24"/>
          <w:lang w:bidi="ar"/>
        </w:rPr>
        <w:t>合采购人的要求。</w:t>
      </w:r>
    </w:p>
    <w:p w14:paraId="7832AE39">
      <w:pPr>
        <w:suppressAutoHyphens/>
        <w:autoSpaceDE w:val="0"/>
        <w:autoSpaceDN w:val="0"/>
        <w:spacing w:before="1" w:line="360" w:lineRule="auto"/>
        <w:ind w:left="258" w:right="481" w:firstLine="240" w:firstLineChars="100"/>
        <w:jc w:val="left"/>
        <w:rPr>
          <w:rFonts w:hint="eastAsia" w:ascii="宋体" w:hAnsi="宋体" w:cs="宋体"/>
          <w:kern w:val="0"/>
          <w:sz w:val="24"/>
        </w:rPr>
      </w:pPr>
      <w:r>
        <w:rPr>
          <w:rFonts w:hint="eastAsia" w:ascii="宋体" w:hAnsi="宋体" w:cs="宋体"/>
          <w:bCs/>
          <w:kern w:val="0"/>
          <w:sz w:val="24"/>
          <w:lang w:bidi="ar"/>
        </w:rPr>
        <w:t>★3.</w:t>
      </w:r>
      <w:r>
        <w:rPr>
          <w:rFonts w:hint="eastAsia" w:ascii="宋体" w:hAnsi="宋体" w:cs="宋体"/>
          <w:spacing w:val="-8"/>
          <w:kern w:val="0"/>
          <w:sz w:val="24"/>
          <w:lang w:bidi="ar"/>
        </w:rPr>
        <w:t>供应商提供车辆底盘和改装部分的使用、维修、保养等方面的全部技术资</w:t>
      </w:r>
      <w:r>
        <w:rPr>
          <w:rFonts w:hint="eastAsia" w:ascii="宋体" w:hAnsi="宋体" w:cs="宋体"/>
          <w:kern w:val="0"/>
          <w:sz w:val="24"/>
          <w:lang w:bidi="ar"/>
        </w:rPr>
        <w:t>料。</w:t>
      </w:r>
    </w:p>
    <w:p w14:paraId="38146ADD">
      <w:pPr>
        <w:suppressAutoHyphens/>
        <w:autoSpaceDE w:val="0"/>
        <w:autoSpaceDN w:val="0"/>
        <w:spacing w:before="1" w:line="360" w:lineRule="auto"/>
        <w:ind w:right="481" w:firstLine="480" w:firstLineChars="200"/>
        <w:jc w:val="left"/>
        <w:rPr>
          <w:rFonts w:hint="eastAsia" w:ascii="宋体" w:hAnsi="宋体" w:cs="宋体"/>
          <w:bCs/>
          <w:kern w:val="0"/>
          <w:sz w:val="24"/>
          <w:lang w:bidi="ar"/>
        </w:rPr>
      </w:pPr>
      <w:r>
        <w:rPr>
          <w:rFonts w:hint="eastAsia" w:ascii="宋体" w:hAnsi="宋体" w:cs="宋体"/>
          <w:bCs/>
          <w:kern w:val="0"/>
          <w:sz w:val="24"/>
          <w:lang w:bidi="ar"/>
        </w:rPr>
        <w:t>★4.供应商提供的车辆与采购人现有充电设备设施相匹配；且配备与采购人现有充电设备设施通用或兼容的充电桩、240kW总控箱中控制模块等，负责安装和调试。供应商的中标金额含以上设备设施及安装调试等所有费用。</w:t>
      </w:r>
    </w:p>
    <w:p w14:paraId="6631B277">
      <w:pPr>
        <w:pStyle w:val="8"/>
        <w:ind w:firstLine="480"/>
        <w:rPr>
          <w:rFonts w:hint="eastAsia" w:ascii="宋体" w:hAnsi="宋体" w:cs="宋体"/>
          <w:szCs w:val="24"/>
        </w:rPr>
      </w:pPr>
      <w:r>
        <w:rPr>
          <w:rFonts w:hint="eastAsia" w:ascii="宋体" w:hAnsi="宋体" w:cs="宋体"/>
          <w:szCs w:val="24"/>
          <w:lang w:bidi="ar"/>
        </w:rPr>
        <w:t>★5.</w:t>
      </w:r>
      <w:r>
        <w:rPr>
          <w:rFonts w:hint="eastAsia" w:ascii="宋体" w:hAnsi="宋体" w:cs="宋体"/>
          <w:spacing w:val="-8"/>
          <w:szCs w:val="24"/>
          <w:lang w:bidi="ar"/>
        </w:rPr>
        <w:t>供应商</w:t>
      </w:r>
      <w:r>
        <w:rPr>
          <w:rFonts w:hint="eastAsia" w:ascii="宋体" w:hAnsi="宋体" w:cs="宋体"/>
          <w:spacing w:val="-7"/>
          <w:szCs w:val="24"/>
          <w:lang w:bidi="ar"/>
        </w:rPr>
        <w:t>须负责所交付车辆</w:t>
      </w:r>
      <w:r>
        <w:rPr>
          <w:rFonts w:hint="eastAsia" w:asciiTheme="minorEastAsia" w:hAnsiTheme="minorEastAsia" w:eastAsiaTheme="minorEastAsia" w:cstheme="minorEastAsia"/>
          <w:spacing w:val="-7"/>
          <w:szCs w:val="24"/>
          <w:lang w:bidi="ar"/>
        </w:rPr>
        <w:t>的购置税、</w:t>
      </w:r>
      <w:r>
        <w:rPr>
          <w:rFonts w:hint="eastAsia" w:ascii="宋体" w:hAnsi="宋体" w:cs="宋体"/>
          <w:spacing w:val="-7"/>
          <w:szCs w:val="24"/>
          <w:lang w:bidi="ar"/>
        </w:rPr>
        <w:t>验车、上牌、放大标识、</w:t>
      </w:r>
      <w:r>
        <w:rPr>
          <w:rFonts w:hint="eastAsia" w:ascii="宋体" w:hAnsi="宋体" w:cs="宋体"/>
          <w:szCs w:val="24"/>
          <w:lang w:bidi="ar"/>
        </w:rPr>
        <w:t>加装作业工具箱、灭火器架，所有费用包含在投标报价中。</w:t>
      </w:r>
    </w:p>
    <w:p w14:paraId="47B9DB89">
      <w:pPr>
        <w:suppressAutoHyphens/>
        <w:autoSpaceDE w:val="0"/>
        <w:autoSpaceDN w:val="0"/>
        <w:spacing w:before="1" w:line="360" w:lineRule="auto"/>
        <w:ind w:right="481" w:firstLine="480" w:firstLineChars="200"/>
        <w:jc w:val="left"/>
        <w:rPr>
          <w:rFonts w:hint="eastAsia" w:ascii="宋体" w:hAnsi="宋体" w:cs="宋体"/>
          <w:kern w:val="0"/>
          <w:sz w:val="24"/>
        </w:rPr>
      </w:pPr>
      <w:r>
        <w:rPr>
          <w:rFonts w:hint="eastAsia" w:ascii="宋体" w:hAnsi="宋体" w:cs="宋体"/>
          <w:kern w:val="0"/>
          <w:sz w:val="24"/>
          <w:lang w:bidi="ar"/>
        </w:rPr>
        <w:t>6.供应商除了向</w:t>
      </w:r>
      <w:r>
        <w:rPr>
          <w:rFonts w:hint="eastAsia" w:ascii="宋体" w:hAnsi="宋体" w:cs="宋体"/>
          <w:spacing w:val="-9"/>
          <w:kern w:val="0"/>
          <w:sz w:val="24"/>
          <w:lang w:bidi="ar"/>
        </w:rPr>
        <w:t>采购人</w:t>
      </w:r>
      <w:r>
        <w:rPr>
          <w:rFonts w:hint="eastAsia" w:ascii="宋体" w:hAnsi="宋体" w:cs="宋体"/>
          <w:kern w:val="0"/>
          <w:sz w:val="24"/>
          <w:lang w:bidi="ar"/>
        </w:rPr>
        <w:t>提供技术资料外，还需提供24小时电话技术支持，并就所投产品测试、操作、保养和简单检修等有关内容</w:t>
      </w:r>
      <w:r>
        <w:rPr>
          <w:rFonts w:hint="eastAsia" w:asciiTheme="minorEastAsia" w:hAnsiTheme="minorEastAsia" w:eastAsiaTheme="minorEastAsia" w:cstheme="minorEastAsia"/>
          <w:spacing w:val="-7"/>
          <w:sz w:val="24"/>
          <w:lang w:bidi="ar"/>
        </w:rPr>
        <w:t>进行培训</w:t>
      </w:r>
      <w:r>
        <w:rPr>
          <w:rFonts w:hint="eastAsia" w:asciiTheme="minorEastAsia" w:hAnsiTheme="minorEastAsia" w:eastAsiaTheme="minorEastAsia" w:cstheme="minorEastAsia"/>
          <w:spacing w:val="-7"/>
          <w:kern w:val="0"/>
          <w:sz w:val="24"/>
          <w:lang w:bidi="ar"/>
        </w:rPr>
        <w:t>，</w:t>
      </w:r>
      <w:r>
        <w:rPr>
          <w:rFonts w:hint="eastAsia" w:ascii="宋体" w:hAnsi="宋体" w:cs="宋体"/>
          <w:kern w:val="0"/>
          <w:sz w:val="24"/>
          <w:lang w:bidi="ar"/>
        </w:rPr>
        <w:t>培训时间、地点由采购人指定，整个系统培训次数不低于2次，每次不低于2小时，并提供24小时</w:t>
      </w:r>
      <w:r>
        <w:rPr>
          <w:rFonts w:hint="eastAsia" w:ascii="宋体" w:hAnsi="宋体" w:cs="宋体"/>
          <w:spacing w:val="-11"/>
          <w:kern w:val="0"/>
          <w:sz w:val="24"/>
          <w:lang w:bidi="ar"/>
        </w:rPr>
        <w:t>培训答疑</w:t>
      </w:r>
      <w:r>
        <w:rPr>
          <w:rFonts w:hint="eastAsia" w:ascii="宋体" w:hAnsi="宋体" w:cs="宋体"/>
          <w:kern w:val="0"/>
          <w:sz w:val="24"/>
          <w:lang w:bidi="ar"/>
        </w:rPr>
        <w:t>热线。培训合格的标准为：能独立、正确地对设备进行操作、保养。</w:t>
      </w:r>
    </w:p>
    <w:p w14:paraId="35855B36">
      <w:pPr>
        <w:suppressAutoHyphens/>
        <w:autoSpaceDE w:val="0"/>
        <w:autoSpaceDN w:val="0"/>
        <w:spacing w:before="1" w:line="360" w:lineRule="auto"/>
        <w:ind w:right="481" w:firstLine="480" w:firstLineChars="200"/>
        <w:jc w:val="left"/>
        <w:rPr>
          <w:rFonts w:hint="eastAsia" w:ascii="宋体" w:hAnsi="宋体" w:cs="宋体"/>
          <w:kern w:val="0"/>
          <w:sz w:val="24"/>
        </w:rPr>
      </w:pPr>
      <w:r>
        <w:rPr>
          <w:rFonts w:hint="eastAsia" w:ascii="宋体" w:hAnsi="宋体" w:cs="宋体"/>
          <w:kern w:val="0"/>
          <w:sz w:val="24"/>
          <w:lang w:bidi="ar"/>
        </w:rPr>
        <w:t>7.所投产品实行“三包”（修理、更换、退货）。在质量保证期内，发生故障时，1小时响应，接到故障电话2小时内到达现场，故障响应时间1小时，一般故障恢复时间3小时，紧急故障恢复时间1小时；提供7*24小时热线电话，节假日照常上班；如果8小时内不能修复，提供同等档次备用设备。如果供应商在收到通知后15个工作日内没有弥补缺陷，</w:t>
      </w:r>
      <w:r>
        <w:rPr>
          <w:rFonts w:hint="eastAsia" w:ascii="宋体" w:hAnsi="宋体" w:cs="宋体"/>
          <w:spacing w:val="-9"/>
          <w:kern w:val="0"/>
          <w:sz w:val="24"/>
          <w:lang w:bidi="ar"/>
        </w:rPr>
        <w:t>采购人</w:t>
      </w:r>
      <w:r>
        <w:rPr>
          <w:rFonts w:hint="eastAsia" w:ascii="宋体" w:hAnsi="宋体" w:cs="宋体"/>
          <w:kern w:val="0"/>
          <w:sz w:val="24"/>
          <w:lang w:bidi="ar"/>
        </w:rPr>
        <w:t>可采取必要的补救措施，但风险和费用将由供应商承担。质保期满后应协助</w:t>
      </w:r>
      <w:r>
        <w:rPr>
          <w:rFonts w:hint="eastAsia" w:ascii="宋体" w:hAnsi="宋体" w:cs="宋体"/>
          <w:spacing w:val="-9"/>
          <w:kern w:val="0"/>
          <w:sz w:val="24"/>
          <w:lang w:bidi="ar"/>
        </w:rPr>
        <w:t>采购人</w:t>
      </w:r>
      <w:r>
        <w:rPr>
          <w:rFonts w:hint="eastAsia" w:ascii="宋体" w:hAnsi="宋体" w:cs="宋体"/>
          <w:kern w:val="0"/>
          <w:sz w:val="24"/>
          <w:lang w:bidi="ar"/>
        </w:rPr>
        <w:t>车辆维修及配件供应。</w:t>
      </w:r>
    </w:p>
    <w:p w14:paraId="200296FC">
      <w:pPr>
        <w:suppressAutoHyphens/>
        <w:autoSpaceDE w:val="0"/>
        <w:autoSpaceDN w:val="0"/>
        <w:spacing w:before="1" w:line="360" w:lineRule="auto"/>
        <w:ind w:right="481" w:firstLine="480" w:firstLineChars="200"/>
        <w:jc w:val="left"/>
        <w:rPr>
          <w:rFonts w:hint="eastAsia" w:ascii="宋体" w:hAnsi="宋体" w:cs="宋体"/>
          <w:kern w:val="0"/>
          <w:sz w:val="24"/>
          <w:lang w:bidi="ar"/>
        </w:rPr>
      </w:pPr>
      <w:r>
        <w:rPr>
          <w:rFonts w:hint="eastAsia" w:ascii="宋体" w:hAnsi="宋体" w:cs="宋体"/>
          <w:bCs/>
          <w:kern w:val="0"/>
          <w:sz w:val="24"/>
          <w:lang w:bidi="ar"/>
        </w:rPr>
        <w:t>★8.</w:t>
      </w:r>
      <w:r>
        <w:rPr>
          <w:rFonts w:hint="eastAsia" w:ascii="宋体" w:hAnsi="宋体" w:cs="宋体"/>
          <w:kern w:val="0"/>
          <w:sz w:val="24"/>
          <w:lang w:bidi="ar"/>
        </w:rPr>
        <w:t>交货地点：北京市环境卫生涉外服务中心院内。</w:t>
      </w:r>
    </w:p>
    <w:p w14:paraId="6BEE0693">
      <w:pPr>
        <w:suppressAutoHyphens/>
        <w:autoSpaceDE w:val="0"/>
        <w:autoSpaceDN w:val="0"/>
        <w:spacing w:before="1" w:line="360" w:lineRule="auto"/>
        <w:ind w:right="481" w:firstLine="480" w:firstLineChars="200"/>
        <w:jc w:val="left"/>
        <w:rPr>
          <w:rFonts w:hint="eastAsia" w:ascii="宋体" w:hAnsi="宋体" w:eastAsia="Arial" w:cs="宋体"/>
          <w:spacing w:val="-7"/>
          <w:kern w:val="0"/>
          <w:sz w:val="24"/>
          <w:lang w:bidi="ar"/>
        </w:rPr>
      </w:pPr>
      <w:r>
        <w:rPr>
          <w:rFonts w:hint="eastAsia" w:ascii="宋体" w:hAnsi="宋体" w:cs="宋体"/>
          <w:bCs/>
          <w:kern w:val="0"/>
          <w:sz w:val="24"/>
          <w:lang w:bidi="ar"/>
        </w:rPr>
        <w:t>★9.</w:t>
      </w:r>
      <w:r>
        <w:rPr>
          <w:rFonts w:hint="eastAsia" w:ascii="宋体" w:hAnsi="宋体" w:cs="宋体"/>
          <w:kern w:val="0"/>
          <w:sz w:val="24"/>
          <w:lang w:bidi="ar"/>
        </w:rPr>
        <w:t>运送方式：</w:t>
      </w:r>
      <w:r>
        <w:rPr>
          <w:rFonts w:hint="eastAsia" w:ascii="宋体" w:hAnsi="宋体" w:cs="宋体"/>
          <w:bCs/>
          <w:kern w:val="0"/>
          <w:sz w:val="24"/>
          <w:lang w:bidi="ar"/>
        </w:rPr>
        <w:t>供应商提供的车辆须用中大型运输车辆完成运输</w:t>
      </w:r>
      <w:r>
        <w:rPr>
          <w:rFonts w:hint="eastAsia" w:asciiTheme="minorEastAsia" w:hAnsiTheme="minorEastAsia" w:eastAsiaTheme="minorEastAsia" w:cstheme="minorEastAsia"/>
          <w:bCs/>
          <w:kern w:val="0"/>
          <w:sz w:val="24"/>
          <w:lang w:bidi="ar"/>
        </w:rPr>
        <w:t>且</w:t>
      </w:r>
      <w:r>
        <w:rPr>
          <w:rFonts w:hint="eastAsia" w:asciiTheme="minorEastAsia" w:hAnsiTheme="minorEastAsia" w:eastAsiaTheme="minorEastAsia" w:cstheme="minorEastAsia"/>
          <w:spacing w:val="-7"/>
          <w:sz w:val="24"/>
          <w:lang w:bidi="ar"/>
        </w:rPr>
        <w:t>抵达交货地点时的</w:t>
      </w:r>
      <w:r>
        <w:rPr>
          <w:rFonts w:hint="eastAsia" w:ascii="宋体" w:hAnsi="宋体" w:cs="宋体"/>
          <w:spacing w:val="-7"/>
          <w:kern w:val="0"/>
          <w:sz w:val="24"/>
          <w:lang w:bidi="ar"/>
        </w:rPr>
        <w:t>车辆里程数不得超过300公里。</w:t>
      </w:r>
    </w:p>
    <w:p w14:paraId="2BE8F6DA">
      <w:pPr>
        <w:suppressAutoHyphens/>
        <w:autoSpaceDE w:val="0"/>
        <w:autoSpaceDN w:val="0"/>
        <w:spacing w:before="1" w:line="360" w:lineRule="auto"/>
        <w:ind w:right="482" w:firstLine="422" w:firstLineChars="200"/>
        <w:jc w:val="left"/>
        <w:rPr>
          <w:rFonts w:hint="eastAsia" w:ascii="宋体" w:hAnsi="宋体" w:cs="宋体"/>
          <w:kern w:val="0"/>
          <w:sz w:val="24"/>
          <w:lang w:bidi="ar"/>
        </w:rPr>
      </w:pPr>
      <w:r>
        <w:rPr>
          <w:rFonts w:hAnsi="宋体" w:cs="宋体"/>
          <w:b/>
          <w:bCs/>
        </w:rPr>
        <w:t>#</w:t>
      </w:r>
      <w:r>
        <w:rPr>
          <w:rFonts w:hint="eastAsia" w:cs="宋体" w:asciiTheme="minorEastAsia" w:hAnsiTheme="minorEastAsia" w:eastAsiaTheme="minorEastAsia"/>
          <w:b/>
          <w:bCs/>
          <w:sz w:val="24"/>
        </w:rPr>
        <w:t>10</w:t>
      </w:r>
      <w:r>
        <w:rPr>
          <w:rFonts w:hint="eastAsia" w:ascii="宋体" w:hAnsi="宋体" w:cs="宋体"/>
          <w:b/>
          <w:bCs/>
          <w:sz w:val="24"/>
          <w:lang w:bidi="ar"/>
        </w:rPr>
        <w:t>.</w:t>
      </w:r>
      <w:r>
        <w:rPr>
          <w:rFonts w:hint="eastAsia" w:ascii="宋体" w:hAnsi="宋体" w:cs="宋体"/>
          <w:sz w:val="24"/>
          <w:lang w:bidi="ar"/>
        </w:rPr>
        <w:t>验收</w:t>
      </w:r>
      <w:r>
        <w:rPr>
          <w:rFonts w:hint="eastAsia" w:ascii="宋体" w:hAnsi="宋体" w:cs="宋体"/>
          <w:kern w:val="0"/>
          <w:sz w:val="24"/>
          <w:lang w:bidi="ar"/>
        </w:rPr>
        <w:t>内容：货物品牌、型号、参数、合格证、保修卡、随车工具；设备到达时，供应商应向采购人提供下列文件和资料：设备原厂商的维保证明；技术和管理资料及文件，包括说明书、系统程序（光盘）、设备发运和装箱的详细资料；详细的设备质量文件，如：产品合格证明书等；操作、保养和使用手册。</w:t>
      </w:r>
    </w:p>
    <w:p w14:paraId="3D42147E">
      <w:pPr>
        <w:suppressAutoHyphens/>
        <w:autoSpaceDE w:val="0"/>
        <w:autoSpaceDN w:val="0"/>
        <w:spacing w:before="1" w:line="360" w:lineRule="auto"/>
        <w:ind w:right="481" w:firstLine="480" w:firstLineChars="200"/>
        <w:jc w:val="left"/>
        <w:rPr>
          <w:rFonts w:hint="eastAsia" w:ascii="宋体" w:hAnsi="宋体" w:cs="宋体"/>
          <w:kern w:val="0"/>
          <w:sz w:val="24"/>
          <w:lang w:bidi="ar"/>
        </w:rPr>
      </w:pPr>
      <w:r>
        <w:rPr>
          <w:rFonts w:hint="eastAsia" w:ascii="宋体" w:hAnsi="宋体" w:cs="宋体"/>
          <w:bCs/>
          <w:kern w:val="0"/>
          <w:sz w:val="24"/>
          <w:lang w:bidi="ar"/>
        </w:rPr>
        <w:t>★11.</w:t>
      </w:r>
      <w:r>
        <w:rPr>
          <w:rFonts w:hint="eastAsia" w:ascii="宋体" w:hAnsi="宋体" w:cs="宋体"/>
          <w:kern w:val="0"/>
          <w:sz w:val="24"/>
          <w:lang w:bidi="ar"/>
        </w:rPr>
        <w:t>交货期：合同签订后50日历日。</w:t>
      </w:r>
    </w:p>
    <w:p w14:paraId="341E314B">
      <w:pPr>
        <w:suppressAutoHyphens/>
        <w:autoSpaceDE w:val="0"/>
        <w:autoSpaceDN w:val="0"/>
        <w:spacing w:before="1" w:line="360" w:lineRule="auto"/>
        <w:ind w:right="482"/>
        <w:jc w:val="left"/>
        <w:rPr>
          <w:rFonts w:hint="eastAsia" w:ascii="宋体" w:hAnsi="宋体" w:cs="宋体"/>
          <w:kern w:val="0"/>
          <w:sz w:val="24"/>
          <w:lang w:bidi="ar"/>
        </w:rPr>
      </w:pPr>
      <w:r>
        <w:rPr>
          <w:rFonts w:hint="eastAsia" w:ascii="宋体" w:hAnsi="宋体" w:cs="宋体"/>
          <w:kern w:val="0"/>
          <w:sz w:val="24"/>
          <w:lang w:bidi="ar"/>
        </w:rPr>
        <w:t>注：以上★号条款须提供承诺书。</w:t>
      </w:r>
    </w:p>
    <w:p w14:paraId="20FA28E2">
      <w:pPr>
        <w:spacing w:line="360" w:lineRule="auto"/>
        <w:jc w:val="left"/>
        <w:rPr>
          <w:rFonts w:hint="eastAsia" w:ascii="宋体" w:hAnsi="宋体" w:cs="宋体"/>
          <w:b/>
          <w:bCs/>
          <w:i/>
          <w:iCs/>
          <w:sz w:val="24"/>
        </w:rPr>
      </w:pPr>
      <w:r>
        <w:rPr>
          <w:rFonts w:hint="eastAsia" w:ascii="宋体" w:hAnsi="宋体" w:cs="宋体"/>
          <w:b/>
          <w:bCs/>
          <w:sz w:val="24"/>
        </w:rPr>
        <w:t>二、验收标准</w:t>
      </w:r>
    </w:p>
    <w:p w14:paraId="1EBC984C">
      <w:pPr>
        <w:suppressAutoHyphens/>
        <w:autoSpaceDE w:val="0"/>
        <w:autoSpaceDN w:val="0"/>
        <w:spacing w:before="1" w:line="360" w:lineRule="auto"/>
        <w:ind w:right="482" w:firstLine="482" w:firstLineChars="200"/>
        <w:jc w:val="left"/>
        <w:rPr>
          <w:rFonts w:hint="eastAsia" w:ascii="宋体" w:hAnsi="宋体" w:cs="宋体"/>
          <w:b/>
          <w:bCs/>
          <w:kern w:val="0"/>
          <w:sz w:val="24"/>
          <w:lang w:bidi="ar"/>
        </w:rPr>
      </w:pPr>
      <w:r>
        <w:rPr>
          <w:rFonts w:hint="eastAsia" w:ascii="宋体" w:hAnsi="宋体" w:cs="宋体"/>
          <w:b/>
          <w:bCs/>
          <w:kern w:val="0"/>
          <w:sz w:val="24"/>
          <w:lang w:bidi="ar"/>
        </w:rPr>
        <w:t>符合国家有关规定标准，具体为：</w:t>
      </w:r>
    </w:p>
    <w:p w14:paraId="2B2E2377">
      <w:pPr>
        <w:suppressAutoHyphens/>
        <w:autoSpaceDE w:val="0"/>
        <w:autoSpaceDN w:val="0"/>
        <w:adjustRightIn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采购人在验收标的物时，应对照合同清单或附件，认真检查标的物的各项标识、单据、数量、型号、外观有无损坏、受潮等，检查介质、载体、附件、技术资料等是否符合合同约定，是否完整。如发现标的物不符合合同约定，采购人有权在法律规定的合理期限内提出异议，要求供应商退货或免费更换或补齐。</w:t>
      </w:r>
    </w:p>
    <w:p w14:paraId="44AAC1C8">
      <w:pPr>
        <w:suppressAutoHyphens/>
        <w:autoSpaceDE w:val="0"/>
        <w:autoSpaceDN w:val="0"/>
        <w:adjustRightIn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2.供应商所交付标的物在安装调试过程中，如发现存在质量问题或使用功能达不到供应商承诺或合同约定的技术要求，采购人有权在法律规定的合理期限内提出异议，要求供应商免费更换或退货。</w:t>
      </w:r>
    </w:p>
    <w:p w14:paraId="439B130E">
      <w:pPr>
        <w:suppressAutoHyphens/>
        <w:autoSpaceDE w:val="0"/>
        <w:autoSpaceDN w:val="0"/>
        <w:adjustRightIn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3.如按供应商规定其验收只有在生产厂商或供应商的工程师在现场才能进行开箱验收，供应商在标的物交付后</w:t>
      </w:r>
      <w:r>
        <w:rPr>
          <w:rFonts w:hint="eastAsia" w:ascii="宋体" w:hAnsi="宋体" w:cs="宋体"/>
          <w:kern w:val="0"/>
          <w:sz w:val="24"/>
          <w:lang w:bidi="he-IL"/>
        </w:rPr>
        <w:t>5</w:t>
      </w:r>
      <w:r>
        <w:rPr>
          <w:rFonts w:hint="eastAsia" w:ascii="宋体" w:hAnsi="宋体" w:cs="宋体"/>
          <w:kern w:val="0"/>
          <w:sz w:val="24"/>
        </w:rPr>
        <w:t>日内通知采购人相关人员配合进行现场开箱验收。</w:t>
      </w:r>
    </w:p>
    <w:p w14:paraId="6DC6EA9D">
      <w:pPr>
        <w:suppressAutoHyphens/>
        <w:autoSpaceDE w:val="0"/>
        <w:autoSpaceDN w:val="0"/>
        <w:adjustRightIn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4.供应商应积极配合采购人处理和解决验收中出现的各种问题，并在采购人要求的期限内提出可行的解决或整改方案，直到验收合格为止。</w:t>
      </w:r>
    </w:p>
    <w:p w14:paraId="146ABD55">
      <w:pPr>
        <w:suppressAutoHyphens/>
        <w:autoSpaceDE w:val="0"/>
        <w:autoSpaceDN w:val="0"/>
        <w:adjustRightIn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5.如果供应商向采购人提供的是服务行为时，其验收的标准按双方的具体约定或商业惯例进行。</w:t>
      </w:r>
    </w:p>
    <w:p w14:paraId="3ACE4488">
      <w:pPr>
        <w:suppressAutoHyphens/>
        <w:autoSpaceDE w:val="0"/>
        <w:autoSpaceDN w:val="0"/>
        <w:adjustRightInd w:val="0"/>
        <w:spacing w:line="360" w:lineRule="auto"/>
        <w:ind w:firstLine="480" w:firstLineChars="200"/>
        <w:jc w:val="left"/>
        <w:rPr>
          <w:rFonts w:ascii="宋体" w:hAnsi="宋体" w:cs="宋体"/>
          <w:kern w:val="0"/>
          <w:sz w:val="24"/>
        </w:rPr>
      </w:pPr>
      <w:r>
        <w:rPr>
          <w:rFonts w:hint="eastAsia" w:ascii="宋体" w:hAnsi="宋体" w:cs="宋体"/>
          <w:kern w:val="0"/>
          <w:sz w:val="24"/>
        </w:rPr>
        <w:t>6.采购人在对供应商所交付标的物进行验收时，有权委托相关专家代表采购人进行验收。</w:t>
      </w:r>
    </w:p>
    <w:sectPr>
      <w:footerReference r:id="rId3" w:type="default"/>
      <w:pgSz w:w="11906" w:h="16838"/>
      <w:pgMar w:top="1440" w:right="1797" w:bottom="1440" w:left="179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D8A9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D1E24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D1E24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235"/>
    <w:rsid w:val="001E2235"/>
    <w:rsid w:val="0049333B"/>
    <w:rsid w:val="006E10FA"/>
    <w:rsid w:val="00A158F3"/>
    <w:rsid w:val="1E80769F"/>
    <w:rsid w:val="77E12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7"/>
    <w:semiHidden/>
    <w:unhideWhenUsed/>
    <w:qFormat/>
    <w:uiPriority w:val="99"/>
    <w:pPr>
      <w:autoSpaceDE w:val="0"/>
      <w:autoSpaceDN w:val="0"/>
      <w:adjustRightInd w:val="0"/>
      <w:ind w:firstLine="420"/>
      <w:jc w:val="left"/>
    </w:pPr>
    <w:rPr>
      <w:rFonts w:ascii="宋体" w:hAnsi="宋体" w:cstheme="minorBidi"/>
      <w:sz w:val="24"/>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正文缩进 字符"/>
    <w:link w:val="2"/>
    <w:semiHidden/>
    <w:qFormat/>
    <w:locked/>
    <w:uiPriority w:val="99"/>
    <w:rPr>
      <w:rFonts w:ascii="宋体" w:hAnsi="宋体" w:eastAsia="宋体"/>
      <w:sz w:val="24"/>
      <w:szCs w:val="24"/>
    </w:rPr>
  </w:style>
  <w:style w:type="paragraph" w:customStyle="1" w:styleId="8">
    <w:name w:val="+正文"/>
    <w:basedOn w:val="1"/>
    <w:qFormat/>
    <w:uiPriority w:val="0"/>
    <w:pPr>
      <w:spacing w:line="360" w:lineRule="auto"/>
      <w:ind w:firstLine="200" w:firstLineChars="200"/>
    </w:pPr>
    <w:rPr>
      <w:rFonts w:ascii="Calibri" w:hAnsi="Calibri"/>
      <w:kern w:val="0"/>
      <w:sz w:val="24"/>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d7feadbd-13dc-45f9-8a7e-3e9089686918</errorID>
      <errorWord>(</errorWord>
      <group>L1_Format</group>
      <groupName>格式问题</groupName>
      <ability>L2_HalfPunc_CN</ability>
      <abilityName>全半角问题</abilityName>
      <candidateList>
        <item>（</item>
      </candidateList>
      <explain>文本全半角错误。</explain>
      <paraID>51FBBBD4</paraID>
      <start>8</start>
      <end>9</end>
      <status>unmodified</status>
      <modifiedWord/>
      <trackRevisions>false</trackRevisions>
    </reviewItem>
    <reviewItem>
      <errorID>4b2a919d-1848-4e28-9088-c3fcf558b64d</errorID>
      <errorWord>)</errorWord>
      <group>L1_Format</group>
      <groupName>格式问题</groupName>
      <ability>L2_HalfPunc_CN</ability>
      <abilityName>全半角问题</abilityName>
      <candidateList>
        <item>）</item>
      </candidateList>
      <explain>文本全半角错误。</explain>
      <paraID>51FBBBD4</paraID>
      <start>12</start>
      <end>13</end>
      <status>unmodified</status>
      <modifiedWord/>
      <trackRevisions>false</trackRevisions>
    </reviewItem>
    <reviewItem>
      <errorID>1bcf80e4-9d6e-49fc-9656-151f12ef01c5</errorID>
      <errorWord>车箱</errorWord>
      <group>L1_Word</group>
      <groupName>字词问题</groupName>
      <ability>L2_Variant</ability>
      <abilityName>异形词</abilityName>
      <candidateList>
        <item>车厢</item>
      </candidateList>
      <explain>词汇[车箱]的规范词形写作[车厢]。</explain>
      <paraID> 1365933</paraID>
      <start>2</start>
      <end>4</end>
      <status>unmodified</status>
      <modifiedWord/>
      <trackRevisions>false</trackRevisions>
    </reviewItem>
    <reviewItem>
      <errorID>aed06ca7-13aa-4e72-9b02-9b6d537a0ebb</errorID>
      <errorWord>车箱</errorWord>
      <group>L1_Word</group>
      <groupName>字词问题</groupName>
      <ability>L2_Variant</ability>
      <abilityName>异形词</abilityName>
      <candidateList>
        <item>车厢</item>
      </candidateList>
      <explain>词汇[车箱]的规范词形写作[车厢]。</explain>
      <paraID> 1365933</paraID>
      <start>33</start>
      <end>35</end>
      <status>unmodified</status>
      <modifiedWord/>
      <trackRevisions>false</trackRevisions>
    </reviewItem>
    <reviewItem>
      <errorID>a13b9740-0760-4fa0-b49c-3d4ad03f0b6f</errorID>
      <errorWord>放</errorWord>
      <group>L1_Word</group>
      <groupName>字词问题</groupName>
      <ability>L2_Typo</ability>
      <abilityName>字词错误</abilityName>
      <candidateList>
        <item>放标</item>
      </candidateList>
      <explain/>
      <paraID>3F10BAF6</paraID>
      <start>259</start>
      <end>260</end>
      <status>ignored</status>
      <modifiedWord/>
      <trackRevisions>false</trackRevisions>
    </reviewItem>
    <reviewItem>
      <errorID>75814f61-7336-4726-808d-7bad654a4cf0</errorID>
      <errorWord>准</errorWord>
      <group>L1_Grammar</group>
      <groupName>语法问题</groupName>
      <ability>L2_Order</ability>
      <abilityName>语序不当</abilityName>
      <candidateList>
        <item>标准</item>
      </candidateList>
      <explain>句子可能没有遵循时空、逻辑顺序，或者介词、关联词等位置不当。</explain>
      <paraID>3F10BAF6</paraID>
      <start>260</start>
      <end>262</end>
      <status>modified</status>
      <modifiedWord>标准</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3f655d-3e2d-4802-8406-e427c358287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4</Pages>
  <Words>2115</Words>
  <Characters>2281</Characters>
  <Lines>16</Lines>
  <Paragraphs>4</Paragraphs>
  <TotalTime>1</TotalTime>
  <ScaleCrop>false</ScaleCrop>
  <LinksUpToDate>false</LinksUpToDate>
  <CharactersWithSpaces>2285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2026-07-21T15:52:00Z</dcterms:created>
  <dc:creator>李丁</dc:creator>
  <cp:lastModifiedBy>洪硕</cp:lastModifiedBy>
  <dcterms:modified xsi:type="dcterms:W3CDTF">2026-07-23T07:31:47Z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B314428949A60E2DA50F606A24B452B5_42</vt:lpwstr>
  </property>
  <property fmtid="{D5CDD505-2E9C-101B-9397-08002B2CF9AE}" pid="4" name="KSOTemplateDocerSaveRecord">
    <vt:lpwstr>eyJoZGlkIjoiN2EzMjNhYmEzY2U3YjA0MmMwZmM0NzM3ZjdlNTFlYWEiLCJ1c2VySWQiOiIyMTcxMjA1MDgifQ==</vt:lpwstr>
  </property>
</Properties>
</file>