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320" w:firstLineChars="100"/>
        <w:jc w:val="left"/>
        <w:rPr>
          <w:rFonts w:ascii="黑体" w:hAnsi="黑体" w:eastAsia="黑体" w:cs="黑体"/>
          <w:sz w:val="32"/>
          <w:szCs w:val="32"/>
        </w:rPr>
      </w:pPr>
    </w:p>
    <w:p>
      <w:pPr>
        <w:widowControl/>
        <w:jc w:val="left"/>
        <w:rPr>
          <w:rFonts w:ascii="宋体" w:hAnsi="宋体" w:eastAsia="仿宋_GB2312"/>
          <w:sz w:val="24"/>
        </w:rPr>
      </w:pPr>
    </w:p>
    <w:p>
      <w:pPr>
        <w:widowControl/>
        <w:jc w:val="left"/>
        <w:rPr>
          <w:rFonts w:ascii="宋体" w:hAnsi="宋体" w:eastAsia="仿宋_GB2312"/>
          <w:sz w:val="24"/>
        </w:rPr>
      </w:pPr>
    </w:p>
    <w:p>
      <w:pPr>
        <w:snapToGrid w:val="0"/>
        <w:spacing w:line="640" w:lineRule="exact"/>
        <w:jc w:val="center"/>
        <w:rPr>
          <w:rFonts w:ascii="宋体" w:hAnsi="宋体" w:eastAsia="方正小标宋简体"/>
          <w:sz w:val="44"/>
          <w:szCs w:val="44"/>
        </w:rPr>
      </w:pPr>
    </w:p>
    <w:p>
      <w:pPr>
        <w:pStyle w:val="2"/>
        <w:numPr>
          <w:ilvl w:val="0"/>
          <w:numId w:val="0"/>
        </w:numPr>
        <w:spacing w:before="156" w:after="156"/>
        <w:rPr>
          <w:rFonts w:ascii="宋体" w:hAnsi="宋体" w:eastAsia="方正小标宋简体"/>
          <w:b w:val="0"/>
          <w:color w:val="auto"/>
          <w:sz w:val="44"/>
          <w:szCs w:val="44"/>
        </w:rPr>
      </w:pPr>
    </w:p>
    <w:p>
      <w:pPr>
        <w:pStyle w:val="3"/>
        <w:rPr>
          <w:rFonts w:ascii="宋体" w:hAnsi="宋体"/>
        </w:rPr>
      </w:pPr>
    </w:p>
    <w:p>
      <w:pPr>
        <w:adjustRightInd w:val="0"/>
        <w:snapToGrid w:val="0"/>
        <w:spacing w:line="600" w:lineRule="exact"/>
        <w:jc w:val="center"/>
        <w:rPr>
          <w:rFonts w:ascii="宋体" w:hAnsi="宋体" w:eastAsia="方正小标宋简体"/>
          <w:sz w:val="44"/>
          <w:szCs w:val="44"/>
        </w:rPr>
      </w:pPr>
      <w:bookmarkStart w:id="0" w:name="_Hlk519875026"/>
      <w:r>
        <w:rPr>
          <w:rFonts w:hint="eastAsia" w:ascii="宋体" w:hAnsi="宋体" w:eastAsia="方正小标宋简体"/>
          <w:sz w:val="44"/>
          <w:szCs w:val="44"/>
        </w:rPr>
        <w:t>北京市“十四五”时期城市照明发展规划</w:t>
      </w:r>
    </w:p>
    <w:p>
      <w:pPr>
        <w:adjustRightInd w:val="0"/>
        <w:snapToGrid w:val="0"/>
        <w:spacing w:line="600" w:lineRule="exact"/>
        <w:jc w:val="center"/>
        <w:rPr>
          <w:rFonts w:ascii="宋体" w:hAnsi="宋体" w:eastAsia="楷体_GB2312" w:cs="楷体_GB2312"/>
          <w:sz w:val="32"/>
          <w:szCs w:val="32"/>
        </w:rPr>
      </w:pPr>
    </w:p>
    <w:p>
      <w:pPr>
        <w:jc w:val="center"/>
        <w:rPr>
          <w:rFonts w:ascii="宋体" w:hAnsi="宋体" w:eastAsia="方正小标宋简体"/>
          <w:sz w:val="44"/>
          <w:szCs w:val="44"/>
        </w:rPr>
      </w:pPr>
    </w:p>
    <w:p>
      <w:pPr>
        <w:jc w:val="center"/>
        <w:rPr>
          <w:rFonts w:ascii="宋体" w:hAnsi="宋体" w:eastAsia="方正小标宋简体"/>
          <w:sz w:val="44"/>
          <w:szCs w:val="44"/>
        </w:rPr>
      </w:pPr>
    </w:p>
    <w:p>
      <w:pPr>
        <w:jc w:val="center"/>
        <w:rPr>
          <w:rFonts w:ascii="宋体" w:hAnsi="宋体" w:eastAsia="方正小标宋简体"/>
          <w:sz w:val="44"/>
          <w:szCs w:val="44"/>
        </w:rPr>
      </w:pPr>
    </w:p>
    <w:p>
      <w:pPr>
        <w:jc w:val="center"/>
        <w:rPr>
          <w:rFonts w:ascii="宋体" w:hAnsi="宋体" w:eastAsia="方正小标宋简体"/>
          <w:sz w:val="44"/>
          <w:szCs w:val="44"/>
        </w:rPr>
      </w:pPr>
    </w:p>
    <w:p>
      <w:pPr>
        <w:jc w:val="center"/>
        <w:rPr>
          <w:rFonts w:ascii="宋体" w:hAnsi="宋体" w:eastAsia="方正小标宋简体"/>
          <w:sz w:val="44"/>
          <w:szCs w:val="44"/>
        </w:rPr>
      </w:pPr>
    </w:p>
    <w:p>
      <w:pPr>
        <w:rPr>
          <w:rFonts w:ascii="宋体" w:hAnsi="宋体" w:eastAsia="方正小标宋简体"/>
          <w:sz w:val="44"/>
          <w:szCs w:val="44"/>
        </w:rPr>
      </w:pPr>
    </w:p>
    <w:p>
      <w:pPr>
        <w:jc w:val="center"/>
        <w:rPr>
          <w:rFonts w:ascii="宋体" w:hAnsi="宋体" w:eastAsia="方正小标宋简体"/>
          <w:sz w:val="44"/>
          <w:szCs w:val="44"/>
        </w:rPr>
      </w:pPr>
    </w:p>
    <w:p>
      <w:pPr>
        <w:snapToGrid w:val="0"/>
        <w:jc w:val="center"/>
        <w:rPr>
          <w:rFonts w:ascii="宋体" w:hAnsi="宋体" w:eastAsia="方正小标宋简体"/>
          <w:sz w:val="32"/>
          <w:szCs w:val="32"/>
        </w:rPr>
      </w:pPr>
      <w:r>
        <w:rPr>
          <w:rFonts w:hint="eastAsia" w:ascii="宋体" w:hAnsi="宋体" w:eastAsia="方正小标宋简体"/>
          <w:sz w:val="32"/>
          <w:szCs w:val="32"/>
        </w:rPr>
        <w:t>北京市城市管理委员会</w:t>
      </w:r>
    </w:p>
    <w:p>
      <w:pPr>
        <w:snapToGrid w:val="0"/>
        <w:jc w:val="center"/>
        <w:rPr>
          <w:rFonts w:ascii="宋体" w:hAnsi="宋体"/>
        </w:rPr>
      </w:pPr>
    </w:p>
    <w:p>
      <w:pPr>
        <w:pStyle w:val="3"/>
        <w:rPr>
          <w:rFonts w:ascii="宋体" w:hAnsi="宋体" w:eastAsia="方正小标宋简体"/>
          <w:sz w:val="32"/>
          <w:szCs w:val="32"/>
        </w:rPr>
      </w:pPr>
    </w:p>
    <w:p>
      <w:pPr>
        <w:rPr>
          <w:rFonts w:ascii="宋体" w:hAnsi="宋体"/>
        </w:rPr>
      </w:pPr>
    </w:p>
    <w:p>
      <w:pPr>
        <w:pStyle w:val="2"/>
        <w:numPr>
          <w:ilvl w:val="0"/>
          <w:numId w:val="0"/>
        </w:numPr>
        <w:spacing w:before="156" w:after="156"/>
        <w:rPr>
          <w:rFonts w:ascii="宋体" w:hAnsi="宋体"/>
          <w:b w:val="0"/>
          <w:color w:val="auto"/>
        </w:rPr>
        <w:sectPr>
          <w:headerReference r:id="rId4" w:type="first"/>
          <w:headerReference r:id="rId3" w:type="default"/>
          <w:footerReference r:id="rId5" w:type="default"/>
          <w:pgSz w:w="11906" w:h="16838"/>
          <w:pgMar w:top="2098" w:right="1474" w:bottom="1984" w:left="1587" w:header="850" w:footer="1587" w:gutter="0"/>
          <w:pgNumType w:start="0"/>
          <w:cols w:space="0" w:num="1"/>
          <w:titlePg/>
          <w:docGrid w:type="lines" w:linePitch="312" w:charSpace="0"/>
        </w:sectPr>
      </w:pPr>
    </w:p>
    <w:p>
      <w:pPr>
        <w:pStyle w:val="2"/>
        <w:numPr>
          <w:ilvl w:val="255"/>
          <w:numId w:val="0"/>
        </w:numPr>
        <w:spacing w:before="156" w:after="156"/>
        <w:rPr>
          <w:rFonts w:ascii="宋体" w:hAnsi="宋体"/>
        </w:rPr>
        <w:sectPr>
          <w:footerReference r:id="rId6" w:type="default"/>
          <w:pgSz w:w="11906" w:h="16838"/>
          <w:pgMar w:top="2098" w:right="1474" w:bottom="1984" w:left="1587" w:header="850" w:footer="1587" w:gutter="0"/>
          <w:pgNumType w:start="1"/>
          <w:cols w:space="0" w:num="1"/>
          <w:docGrid w:type="lines" w:linePitch="312" w:charSpace="0"/>
        </w:sectPr>
      </w:pPr>
    </w:p>
    <w:p>
      <w:pPr>
        <w:pStyle w:val="3"/>
        <w:rPr>
          <w:rFonts w:ascii="宋体" w:hAnsi="宋体"/>
        </w:rPr>
      </w:pPr>
    </w:p>
    <w:p>
      <w:pPr>
        <w:pStyle w:val="5"/>
        <w:keepNext w:val="0"/>
        <w:keepLines w:val="0"/>
        <w:pageBreakBefore w:val="0"/>
        <w:widowControl w:val="0"/>
        <w:numPr>
          <w:ilvl w:val="0"/>
          <w:numId w:val="0"/>
        </w:numPr>
        <w:adjustRightInd w:val="0"/>
        <w:snapToGrid w:val="0"/>
        <w:spacing w:before="0" w:after="0"/>
        <w:rPr>
          <w:rFonts w:ascii="宋体" w:hAnsi="宋体"/>
          <w:b w:val="0"/>
          <w:bCs w:val="0"/>
        </w:rPr>
      </w:pPr>
      <w:bookmarkStart w:id="1" w:name="_Toc87265717"/>
      <w:bookmarkStart w:id="2" w:name="_Toc75499179"/>
      <w:bookmarkStart w:id="3" w:name="_Toc87609318"/>
      <w:bookmarkStart w:id="4" w:name="_Toc88042796"/>
      <w:bookmarkStart w:id="5" w:name="_Toc87051117"/>
      <w:bookmarkStart w:id="6" w:name="_Toc84585578"/>
      <w:bookmarkStart w:id="7" w:name="_Toc88653434"/>
      <w:bookmarkStart w:id="8" w:name="_Toc87049911"/>
      <w:bookmarkStart w:id="9" w:name="_Toc87261827"/>
      <w:bookmarkStart w:id="10" w:name="_Toc87270609"/>
      <w:bookmarkStart w:id="11" w:name="_Toc12384"/>
      <w:bookmarkStart w:id="12" w:name="_Toc83734696"/>
      <w:bookmarkStart w:id="13" w:name="_Toc88053724"/>
      <w:bookmarkStart w:id="14" w:name="_Toc30310"/>
      <w:bookmarkStart w:id="15" w:name="_Toc84600577"/>
      <w:bookmarkStart w:id="16" w:name="_Toc87049359"/>
      <w:bookmarkStart w:id="17" w:name="_Toc83737370"/>
      <w:bookmarkStart w:id="18" w:name="_Toc88212835"/>
      <w:bookmarkStart w:id="19" w:name="_Toc88034936"/>
      <w:bookmarkStart w:id="20" w:name="_Toc88656211"/>
      <w:bookmarkStart w:id="21" w:name="_Toc29094"/>
      <w:bookmarkStart w:id="22" w:name="_Toc88211692"/>
      <w:bookmarkStart w:id="23" w:name="_Toc87053073"/>
      <w:bookmarkStart w:id="24" w:name="_Toc88056834"/>
      <w:bookmarkStart w:id="25" w:name="_Toc88502644"/>
      <w:bookmarkStart w:id="26" w:name="_Toc84585169"/>
      <w:bookmarkStart w:id="27" w:name="_Toc88213078"/>
      <w:bookmarkStart w:id="28" w:name="_Toc30318"/>
      <w:bookmarkStart w:id="29" w:name="_Toc88117745"/>
      <w:bookmarkStart w:id="30" w:name="_Toc25618"/>
      <w:bookmarkStart w:id="31" w:name="_Toc13781"/>
      <w:bookmarkStart w:id="32" w:name="_Toc88056552"/>
      <w:bookmarkStart w:id="33" w:name="_Toc88041674"/>
      <w:bookmarkStart w:id="34" w:name="_Toc86654458"/>
      <w:bookmarkStart w:id="35" w:name="_Toc83377201"/>
      <w:bookmarkStart w:id="36" w:name="_Toc87050153"/>
      <w:bookmarkStart w:id="37" w:name="_Toc88062573"/>
      <w:bookmarkStart w:id="38" w:name="_Toc87049998"/>
      <w:bookmarkStart w:id="39" w:name="_Toc60666716"/>
      <w:bookmarkStart w:id="40" w:name="_Toc10679"/>
      <w:bookmarkStart w:id="41" w:name="_Toc17003"/>
      <w:bookmarkStart w:id="42" w:name="_Toc87053160"/>
      <w:bookmarkStart w:id="43" w:name="_Toc87052116"/>
      <w:bookmarkStart w:id="44" w:name="_Toc87462448"/>
      <w:bookmarkStart w:id="45" w:name="_Toc87269486"/>
      <w:bookmarkStart w:id="46" w:name="_Toc87462331"/>
      <w:bookmarkStart w:id="47" w:name="_Toc87269571"/>
      <w:r>
        <w:rPr>
          <w:rStyle w:val="194"/>
          <w:rFonts w:hint="eastAsia" w:ascii="宋体" w:hAnsi="宋体" w:eastAsia="方正小标宋简体" w:cs="方正小标宋简体"/>
          <w:b w:val="0"/>
          <w:bCs w:val="0"/>
        </w:rPr>
        <w:t>目  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ascii="宋体" w:hAnsi="宋体"/>
          <w:b w:val="0"/>
          <w:bCs w:val="0"/>
        </w:rPr>
        <w:fldChar w:fldCharType="begin"/>
      </w:r>
      <w:r>
        <w:rPr>
          <w:rFonts w:ascii="宋体" w:hAnsi="宋体"/>
          <w:b w:val="0"/>
          <w:bCs w:val="0"/>
        </w:rPr>
        <w:instrText xml:space="preserve"> TOC \o "1-2" \h \z \u </w:instrText>
      </w:r>
      <w:r>
        <w:rPr>
          <w:rFonts w:ascii="宋体" w:hAnsi="宋体"/>
          <w:b w:val="0"/>
          <w:bCs w:val="0"/>
        </w:rPr>
        <w:fldChar w:fldCharType="separate"/>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"_Toc10679" </w:instrText>
      </w:r>
      <w:r>
        <w:fldChar w:fldCharType="separate"/>
      </w:r>
      <w:r>
        <w:rPr>
          <w:rFonts w:hint="eastAsia" w:ascii="宋体" w:hAnsi="宋体" w:eastAsia="黑体" w:cs="黑体"/>
          <w:b w:val="0"/>
          <w:bCs/>
          <w:sz w:val="32"/>
          <w:szCs w:val="32"/>
        </w:rPr>
        <w:t>目</w:t>
      </w:r>
      <w:r>
        <w:rPr>
          <w:rFonts w:ascii="宋体" w:hAnsi="宋体" w:eastAsia="黑体" w:cs="黑体"/>
          <w:b w:val="0"/>
          <w:bCs/>
          <w:sz w:val="32"/>
          <w:szCs w:val="32"/>
        </w:rPr>
        <w:t xml:space="preserve">  </w:t>
      </w:r>
      <w:r>
        <w:rPr>
          <w:rFonts w:hint="eastAsia" w:ascii="宋体" w:hAnsi="宋体" w:eastAsia="黑体" w:cs="黑体"/>
          <w:b w:val="0"/>
          <w:bCs/>
          <w:sz w:val="32"/>
          <w:szCs w:val="32"/>
        </w:rPr>
        <w:t>录</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_Toc10679 </w:instrText>
      </w:r>
      <w:r>
        <w:rPr>
          <w:rFonts w:ascii="宋体" w:hAnsi="宋体" w:eastAsia="黑体" w:cs="黑体"/>
          <w:b w:val="0"/>
          <w:bCs/>
          <w:sz w:val="32"/>
          <w:szCs w:val="32"/>
        </w:rPr>
        <w:fldChar w:fldCharType="separate"/>
      </w:r>
      <w:r>
        <w:rPr>
          <w:rFonts w:ascii="宋体" w:hAnsi="宋体" w:eastAsia="黑体" w:cs="黑体"/>
          <w:b w:val="0"/>
          <w:bCs/>
          <w:sz w:val="32"/>
          <w:szCs w:val="32"/>
        </w:rPr>
        <w:t>2</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"_Toc26872" </w:instrText>
      </w:r>
      <w:r>
        <w:fldChar w:fldCharType="separate"/>
      </w:r>
      <w:r>
        <w:rPr>
          <w:rFonts w:hint="eastAsia" w:ascii="宋体" w:hAnsi="宋体" w:eastAsia="黑体" w:cs="黑体"/>
          <w:b w:val="0"/>
          <w:bCs/>
          <w:sz w:val="32"/>
          <w:szCs w:val="32"/>
        </w:rPr>
        <w:t>序</w:t>
      </w:r>
      <w:r>
        <w:rPr>
          <w:rFonts w:ascii="宋体" w:hAnsi="宋体" w:eastAsia="黑体" w:cs="黑体"/>
          <w:b w:val="0"/>
          <w:bCs/>
          <w:sz w:val="32"/>
          <w:szCs w:val="32"/>
        </w:rPr>
        <w:t xml:space="preserve">  </w:t>
      </w:r>
      <w:r>
        <w:rPr>
          <w:rFonts w:hint="eastAsia" w:ascii="宋体" w:hAnsi="宋体" w:eastAsia="黑体" w:cs="黑体"/>
          <w:b w:val="0"/>
          <w:bCs/>
          <w:sz w:val="32"/>
          <w:szCs w:val="32"/>
        </w:rPr>
        <w:t>言</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_Toc26872 </w:instrText>
      </w:r>
      <w:r>
        <w:rPr>
          <w:rFonts w:ascii="宋体" w:hAnsi="宋体" w:eastAsia="黑体" w:cs="黑体"/>
          <w:b w:val="0"/>
          <w:bCs/>
          <w:sz w:val="32"/>
          <w:szCs w:val="32"/>
        </w:rPr>
        <w:fldChar w:fldCharType="separate"/>
      </w:r>
      <w:r>
        <w:rPr>
          <w:rFonts w:ascii="宋体" w:hAnsi="宋体" w:eastAsia="黑体" w:cs="黑体"/>
          <w:b w:val="0"/>
          <w:bCs/>
          <w:sz w:val="32"/>
          <w:szCs w:val="32"/>
        </w:rPr>
        <w:t>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60"/>
        <w:tabs>
          <w:tab w:val="right" w:leader="dot" w:pos="8845"/>
          <w:tab w:val="clear" w:pos="8296"/>
        </w:tabs>
        <w:spacing w:line="560" w:lineRule="exact"/>
        <w:rPr>
          <w:rFonts w:ascii="宋体" w:hAnsi="宋体"/>
          <w:sz w:val="32"/>
          <w:szCs w:val="32"/>
        </w:rPr>
      </w:pPr>
      <w:r>
        <w:fldChar w:fldCharType="begin"/>
      </w:r>
      <w:r>
        <w:instrText xml:space="preserve"> HYPERLINK \l "_Toc20602" </w:instrText>
      </w:r>
      <w:r>
        <w:fldChar w:fldCharType="separate"/>
      </w:r>
      <w:r>
        <w:rPr>
          <w:rFonts w:hint="eastAsia" w:ascii="宋体" w:hAnsi="宋体" w:eastAsia="黑体" w:cs="黑体"/>
          <w:b w:val="0"/>
          <w:bCs/>
          <w:sz w:val="32"/>
          <w:szCs w:val="32"/>
        </w:rPr>
        <w:t>第一章</w:t>
      </w:r>
      <w:r>
        <w:rPr>
          <w:rFonts w:ascii="宋体" w:hAnsi="宋体" w:eastAsia="黑体" w:cs="黑体"/>
          <w:b w:val="0"/>
          <w:bCs/>
          <w:sz w:val="32"/>
          <w:szCs w:val="32"/>
        </w:rPr>
        <w:t xml:space="preserve"> </w:t>
      </w:r>
      <w:r>
        <w:rPr>
          <w:rFonts w:hint="eastAsia" w:ascii="宋体" w:hAnsi="宋体" w:eastAsia="黑体" w:cs="黑体"/>
          <w:b w:val="0"/>
          <w:bCs/>
          <w:sz w:val="32"/>
          <w:szCs w:val="32"/>
        </w:rPr>
        <w:t>“十三五”时期发展回顾</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_Toc20602 </w:instrText>
      </w:r>
      <w:r>
        <w:rPr>
          <w:rFonts w:ascii="宋体" w:hAnsi="宋体" w:eastAsia="黑体" w:cs="黑体"/>
          <w:b w:val="0"/>
          <w:bCs/>
          <w:sz w:val="32"/>
          <w:szCs w:val="32"/>
        </w:rPr>
        <w:fldChar w:fldCharType="separate"/>
      </w:r>
      <w:r>
        <w:rPr>
          <w:rFonts w:ascii="宋体" w:hAnsi="宋体" w:eastAsia="黑体" w:cs="黑体"/>
          <w:b w:val="0"/>
          <w:bCs/>
          <w:sz w:val="32"/>
          <w:szCs w:val="32"/>
        </w:rPr>
        <w:t>6</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"_Toc22932" </w:instrText>
      </w:r>
      <w:r>
        <w:fldChar w:fldCharType="separate"/>
      </w:r>
      <w:r>
        <w:rPr>
          <w:rFonts w:hint="eastAsia" w:ascii="宋体" w:hAnsi="宋体" w:eastAsia="楷体_GB2312" w:cs="楷体_GB2312"/>
          <w:sz w:val="32"/>
          <w:szCs w:val="32"/>
        </w:rPr>
        <w:t>一、发展成就</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_Toc22932 </w:instrText>
      </w:r>
      <w:r>
        <w:rPr>
          <w:rFonts w:ascii="宋体" w:hAnsi="宋体" w:eastAsia="楷体_GB2312" w:cs="楷体_GB2312"/>
          <w:sz w:val="32"/>
          <w:szCs w:val="32"/>
        </w:rPr>
        <w:fldChar w:fldCharType="separate"/>
      </w:r>
      <w:r>
        <w:rPr>
          <w:rFonts w:ascii="宋体" w:hAnsi="宋体" w:eastAsia="楷体_GB2312" w:cs="楷体_GB2312"/>
          <w:sz w:val="32"/>
          <w:szCs w:val="32"/>
        </w:rPr>
        <w:t>6</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"_Toc12564" </w:instrText>
      </w:r>
      <w:r>
        <w:fldChar w:fldCharType="separate"/>
      </w:r>
      <w:r>
        <w:rPr>
          <w:rFonts w:hint="eastAsia" w:ascii="宋体" w:hAnsi="宋体" w:eastAsia="楷体_GB2312" w:cs="楷体_GB2312"/>
          <w:sz w:val="32"/>
          <w:szCs w:val="32"/>
        </w:rPr>
        <w:t>二、主要问题</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_Toc12564 </w:instrText>
      </w:r>
      <w:r>
        <w:rPr>
          <w:rFonts w:ascii="宋体" w:hAnsi="宋体" w:eastAsia="楷体_GB2312" w:cs="楷体_GB2312"/>
          <w:sz w:val="32"/>
          <w:szCs w:val="32"/>
        </w:rPr>
        <w:fldChar w:fldCharType="separate"/>
      </w:r>
      <w:r>
        <w:rPr>
          <w:rFonts w:ascii="宋体" w:hAnsi="宋体" w:eastAsia="楷体_GB2312" w:cs="楷体_GB2312"/>
          <w:sz w:val="32"/>
          <w:szCs w:val="32"/>
        </w:rPr>
        <w:t>10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"_Toc32026" </w:instrText>
      </w:r>
      <w:r>
        <w:fldChar w:fldCharType="separate"/>
      </w:r>
      <w:r>
        <w:rPr>
          <w:rFonts w:hint="eastAsia" w:ascii="宋体" w:hAnsi="宋体" w:eastAsia="楷体_GB2312" w:cs="楷体_GB2312"/>
          <w:sz w:val="32"/>
          <w:szCs w:val="32"/>
        </w:rPr>
        <w:t>三、面临形势</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_Toc32026 </w:instrText>
      </w:r>
      <w:r>
        <w:rPr>
          <w:rFonts w:ascii="宋体" w:hAnsi="宋体" w:eastAsia="楷体_GB2312" w:cs="楷体_GB2312"/>
          <w:sz w:val="32"/>
          <w:szCs w:val="32"/>
        </w:rPr>
        <w:fldChar w:fldCharType="separate"/>
      </w:r>
      <w:r>
        <w:rPr>
          <w:rFonts w:ascii="宋体" w:hAnsi="宋体" w:eastAsia="楷体_GB2312" w:cs="楷体_GB2312"/>
          <w:sz w:val="32"/>
          <w:szCs w:val="32"/>
        </w:rPr>
        <w:t>11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sz w:val="32"/>
          <w:szCs w:val="32"/>
        </w:rPr>
      </w:pPr>
      <w:r>
        <w:fldChar w:fldCharType="begin"/>
      </w:r>
      <w:r>
        <w:instrText xml:space="preserve"> HYPERLINK \l "_Toc24741" </w:instrText>
      </w:r>
      <w:r>
        <w:fldChar w:fldCharType="separate"/>
      </w:r>
      <w:r>
        <w:rPr>
          <w:rFonts w:hint="eastAsia" w:ascii="宋体" w:hAnsi="宋体" w:eastAsia="黑体" w:cs="黑体"/>
          <w:b w:val="0"/>
          <w:sz w:val="32"/>
          <w:szCs w:val="32"/>
        </w:rPr>
        <w:t>第二章</w:t>
      </w:r>
      <w:r>
        <w:rPr>
          <w:rFonts w:ascii="宋体" w:hAnsi="宋体" w:eastAsia="黑体" w:cs="黑体"/>
          <w:b w:val="0"/>
          <w:sz w:val="32"/>
          <w:szCs w:val="32"/>
        </w:rPr>
        <w:t xml:space="preserve"> </w:t>
      </w:r>
      <w:r>
        <w:rPr>
          <w:rFonts w:hint="eastAsia" w:ascii="宋体" w:hAnsi="宋体" w:eastAsia="黑体" w:cs="黑体"/>
          <w:b w:val="0"/>
          <w:sz w:val="32"/>
          <w:szCs w:val="32"/>
        </w:rPr>
        <w:t>指导思想和发展目标</w:t>
      </w:r>
      <w:r>
        <w:rPr>
          <w:rFonts w:ascii="宋体" w:hAnsi="宋体" w:eastAsia="黑体" w:cs="黑体"/>
          <w:b w:val="0"/>
          <w:sz w:val="32"/>
          <w:szCs w:val="32"/>
        </w:rPr>
        <w:tab/>
      </w:r>
      <w:r>
        <w:rPr>
          <w:rFonts w:ascii="宋体" w:hAnsi="宋体" w:eastAsia="黑体" w:cs="黑体"/>
          <w:b w:val="0"/>
          <w:sz w:val="32"/>
          <w:szCs w:val="32"/>
        </w:rPr>
        <w:fldChar w:fldCharType="begin"/>
      </w:r>
      <w:r>
        <w:rPr>
          <w:rFonts w:ascii="宋体" w:hAnsi="宋体" w:eastAsia="黑体" w:cs="黑体"/>
          <w:b w:val="0"/>
          <w:sz w:val="32"/>
          <w:szCs w:val="32"/>
        </w:rPr>
        <w:instrText xml:space="preserve"> PAGEREF _Toc24741 </w:instrText>
      </w:r>
      <w:r>
        <w:rPr>
          <w:rFonts w:ascii="宋体" w:hAnsi="宋体" w:eastAsia="黑体" w:cs="黑体"/>
          <w:b w:val="0"/>
          <w:sz w:val="32"/>
          <w:szCs w:val="32"/>
        </w:rPr>
        <w:fldChar w:fldCharType="separate"/>
      </w:r>
      <w:r>
        <w:rPr>
          <w:rFonts w:ascii="宋体" w:hAnsi="宋体" w:eastAsia="黑体" w:cs="黑体"/>
          <w:b w:val="0"/>
          <w:sz w:val="32"/>
          <w:szCs w:val="32"/>
        </w:rPr>
        <w:t>14</w:t>
      </w:r>
      <w:r>
        <w:rPr>
          <w:rFonts w:ascii="宋体" w:hAnsi="宋体" w:eastAsia="黑体" w:cs="黑体"/>
          <w:b w:val="0"/>
          <w:sz w:val="32"/>
          <w:szCs w:val="32"/>
        </w:rPr>
        <w:fldChar w:fldCharType="end"/>
      </w:r>
      <w:r>
        <w:rPr>
          <w:rFonts w:ascii="宋体" w:hAnsi="宋体" w:eastAsia="黑体" w:cs="黑体"/>
          <w:b w:val="0"/>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"_Toc24986" </w:instrText>
      </w:r>
      <w:r>
        <w:fldChar w:fldCharType="separate"/>
      </w:r>
      <w:r>
        <w:rPr>
          <w:rFonts w:hint="eastAsia" w:ascii="宋体" w:hAnsi="宋体" w:eastAsia="楷体_GB2312" w:cs="楷体_GB2312"/>
          <w:sz w:val="32"/>
          <w:szCs w:val="32"/>
        </w:rPr>
        <w:t>一、指导思想</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_Toc24986 </w:instrText>
      </w:r>
      <w:r>
        <w:rPr>
          <w:rFonts w:ascii="宋体" w:hAnsi="宋体" w:eastAsia="楷体_GB2312" w:cs="楷体_GB2312"/>
          <w:sz w:val="32"/>
          <w:szCs w:val="32"/>
        </w:rPr>
        <w:fldChar w:fldCharType="separate"/>
      </w:r>
      <w:r>
        <w:rPr>
          <w:rFonts w:ascii="宋体" w:hAnsi="宋体" w:eastAsia="楷体_GB2312" w:cs="楷体_GB2312"/>
          <w:sz w:val="32"/>
          <w:szCs w:val="32"/>
        </w:rPr>
        <w:t>14</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"_Toc5289" </w:instrText>
      </w:r>
      <w:r>
        <w:fldChar w:fldCharType="separate"/>
      </w:r>
      <w:r>
        <w:rPr>
          <w:rFonts w:hint="eastAsia" w:ascii="宋体" w:hAnsi="宋体" w:eastAsia="楷体_GB2312" w:cs="楷体_GB2312"/>
          <w:sz w:val="32"/>
          <w:szCs w:val="32"/>
        </w:rPr>
        <w:t>二、基本原则</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_Toc5289 </w:instrText>
      </w:r>
      <w:r>
        <w:rPr>
          <w:rFonts w:ascii="宋体" w:hAnsi="宋体" w:eastAsia="楷体_GB2312" w:cs="楷体_GB2312"/>
          <w:sz w:val="32"/>
          <w:szCs w:val="32"/>
        </w:rPr>
        <w:fldChar w:fldCharType="separate"/>
      </w:r>
      <w:r>
        <w:rPr>
          <w:rFonts w:ascii="宋体" w:hAnsi="宋体" w:eastAsia="楷体_GB2312" w:cs="楷体_GB2312"/>
          <w:sz w:val="32"/>
          <w:szCs w:val="32"/>
        </w:rPr>
        <w:t>14</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"_Toc28583" </w:instrText>
      </w:r>
      <w:r>
        <w:fldChar w:fldCharType="separate"/>
      </w:r>
      <w:r>
        <w:rPr>
          <w:rFonts w:hint="eastAsia" w:ascii="宋体" w:hAnsi="宋体" w:eastAsia="楷体_GB2312" w:cs="楷体_GB2312"/>
          <w:sz w:val="32"/>
          <w:szCs w:val="32"/>
        </w:rPr>
        <w:t>三、规划依据</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_Toc28583 </w:instrText>
      </w:r>
      <w:r>
        <w:rPr>
          <w:rFonts w:ascii="宋体" w:hAnsi="宋体" w:eastAsia="楷体_GB2312" w:cs="楷体_GB2312"/>
          <w:sz w:val="32"/>
          <w:szCs w:val="32"/>
        </w:rPr>
        <w:fldChar w:fldCharType="separate"/>
      </w:r>
      <w:r>
        <w:rPr>
          <w:rFonts w:ascii="宋体" w:hAnsi="宋体" w:eastAsia="楷体_GB2312" w:cs="楷体_GB2312"/>
          <w:sz w:val="32"/>
          <w:szCs w:val="32"/>
        </w:rPr>
        <w:t>15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"_Toc95" </w:instrText>
      </w:r>
      <w:r>
        <w:fldChar w:fldCharType="separate"/>
      </w:r>
      <w:r>
        <w:rPr>
          <w:rFonts w:hint="eastAsia" w:ascii="宋体" w:hAnsi="宋体" w:eastAsia="楷体_GB2312" w:cs="楷体_GB2312"/>
          <w:sz w:val="32"/>
          <w:szCs w:val="32"/>
        </w:rPr>
        <w:t>四、发展目标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_Toc95 </w:instrText>
      </w:r>
      <w:r>
        <w:rPr>
          <w:rFonts w:ascii="宋体" w:hAnsi="宋体" w:eastAsia="楷体_GB2312" w:cs="楷体_GB2312"/>
          <w:sz w:val="32"/>
          <w:szCs w:val="32"/>
        </w:rPr>
        <w:fldChar w:fldCharType="separate"/>
      </w:r>
      <w:r>
        <w:rPr>
          <w:rFonts w:ascii="宋体" w:hAnsi="宋体" w:eastAsia="楷体_GB2312" w:cs="楷体_GB2312"/>
          <w:sz w:val="32"/>
          <w:szCs w:val="32"/>
        </w:rPr>
        <w:t>17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"_Toc11919" </w:instrText>
      </w:r>
      <w:r>
        <w:fldChar w:fldCharType="separate"/>
      </w:r>
      <w:r>
        <w:rPr>
          <w:rFonts w:hint="eastAsia" w:ascii="宋体" w:hAnsi="宋体" w:eastAsia="楷体_GB2312" w:cs="楷体_GB2312"/>
          <w:sz w:val="32"/>
          <w:szCs w:val="32"/>
        </w:rPr>
        <w:t>五、主要指标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_Toc11919 </w:instrText>
      </w:r>
      <w:r>
        <w:rPr>
          <w:rFonts w:ascii="宋体" w:hAnsi="宋体" w:eastAsia="楷体_GB2312" w:cs="楷体_GB2312"/>
          <w:sz w:val="32"/>
          <w:szCs w:val="32"/>
        </w:rPr>
        <w:fldChar w:fldCharType="separate"/>
      </w:r>
      <w:r>
        <w:rPr>
          <w:rFonts w:ascii="宋体" w:hAnsi="宋体" w:eastAsia="楷体_GB2312" w:cs="楷体_GB2312"/>
          <w:sz w:val="32"/>
          <w:szCs w:val="32"/>
        </w:rPr>
        <w:t>18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"_Toc29350" </w:instrText>
      </w:r>
      <w:r>
        <w:fldChar w:fldCharType="separate"/>
      </w:r>
      <w:r>
        <w:rPr>
          <w:rFonts w:hint="eastAsia" w:ascii="宋体" w:hAnsi="宋体" w:eastAsia="黑体" w:cs="黑体"/>
          <w:b w:val="0"/>
          <w:bCs/>
          <w:sz w:val="32"/>
          <w:szCs w:val="32"/>
        </w:rPr>
        <w:t>第三章</w:t>
      </w:r>
      <w:r>
        <w:rPr>
          <w:rFonts w:ascii="宋体" w:hAnsi="宋体" w:eastAsia="黑体" w:cs="黑体"/>
          <w:b w:val="0"/>
          <w:bCs/>
          <w:sz w:val="32"/>
          <w:szCs w:val="32"/>
        </w:rPr>
        <w:t xml:space="preserve"> </w:t>
      </w:r>
      <w:r>
        <w:rPr>
          <w:rFonts w:hint="eastAsia" w:ascii="宋体" w:hAnsi="宋体" w:eastAsia="黑体" w:cs="黑体"/>
          <w:b w:val="0"/>
          <w:bCs/>
          <w:sz w:val="32"/>
          <w:szCs w:val="32"/>
        </w:rPr>
        <w:t>安全宜居，构建一流城市照明</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_Toc29350 </w:instrText>
      </w:r>
      <w:r>
        <w:rPr>
          <w:rFonts w:ascii="宋体" w:hAnsi="宋体" w:eastAsia="黑体" w:cs="黑体"/>
          <w:b w:val="0"/>
          <w:bCs/>
          <w:sz w:val="32"/>
          <w:szCs w:val="32"/>
        </w:rPr>
        <w:fldChar w:fldCharType="separate"/>
      </w:r>
      <w:r>
        <w:rPr>
          <w:rFonts w:ascii="宋体" w:hAnsi="宋体" w:eastAsia="黑体" w:cs="黑体"/>
          <w:b w:val="0"/>
          <w:bCs/>
          <w:sz w:val="32"/>
          <w:szCs w:val="32"/>
        </w:rPr>
        <w:t>19</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"_Toc11099" </w:instrText>
      </w:r>
      <w:r>
        <w:fldChar w:fldCharType="separate"/>
      </w:r>
      <w:r>
        <w:rPr>
          <w:rFonts w:hint="eastAsia" w:ascii="宋体" w:hAnsi="宋体" w:eastAsia="楷体_GB2312" w:cs="楷体_GB2312"/>
          <w:sz w:val="32"/>
          <w:szCs w:val="32"/>
        </w:rPr>
        <w:t>一、治理无灯路段，满足照明需求</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_Toc11099 </w:instrText>
      </w:r>
      <w:r>
        <w:rPr>
          <w:rFonts w:ascii="宋体" w:hAnsi="宋体" w:eastAsia="楷体_GB2312" w:cs="楷体_GB2312"/>
          <w:sz w:val="32"/>
          <w:szCs w:val="32"/>
        </w:rPr>
        <w:fldChar w:fldCharType="separate"/>
      </w:r>
      <w:r>
        <w:rPr>
          <w:rFonts w:ascii="宋体" w:hAnsi="宋体" w:eastAsia="楷体_GB2312" w:cs="楷体_GB2312"/>
          <w:sz w:val="32"/>
          <w:szCs w:val="32"/>
        </w:rPr>
        <w:t>19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"_Toc24448" </w:instrText>
      </w:r>
      <w:r>
        <w:fldChar w:fldCharType="separate"/>
      </w:r>
      <w:r>
        <w:rPr>
          <w:rFonts w:hint="eastAsia" w:ascii="宋体" w:hAnsi="宋体" w:eastAsia="楷体_GB2312" w:cs="楷体_GB2312"/>
          <w:sz w:val="32"/>
          <w:szCs w:val="32"/>
        </w:rPr>
        <w:t>二、区域维护改造，基础设施升级</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_Toc24448 </w:instrText>
      </w:r>
      <w:r>
        <w:rPr>
          <w:rFonts w:ascii="宋体" w:hAnsi="宋体" w:eastAsia="楷体_GB2312" w:cs="楷体_GB2312"/>
          <w:sz w:val="32"/>
          <w:szCs w:val="32"/>
        </w:rPr>
        <w:fldChar w:fldCharType="separate"/>
      </w:r>
      <w:r>
        <w:rPr>
          <w:rFonts w:ascii="宋体" w:hAnsi="宋体" w:eastAsia="楷体_GB2312" w:cs="楷体_GB2312"/>
          <w:sz w:val="32"/>
          <w:szCs w:val="32"/>
        </w:rPr>
        <w:t>19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"_Toc8374" </w:instrText>
      </w:r>
      <w:r>
        <w:fldChar w:fldCharType="separate"/>
      </w:r>
      <w:r>
        <w:rPr>
          <w:rFonts w:hint="eastAsia" w:ascii="宋体" w:hAnsi="宋体" w:eastAsia="楷体_GB2312" w:cs="楷体_GB2312"/>
          <w:sz w:val="32"/>
          <w:szCs w:val="32"/>
        </w:rPr>
        <w:t>三、突出居住区域，提升环境品质</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_Toc8374 </w:instrText>
      </w:r>
      <w:r>
        <w:rPr>
          <w:rFonts w:ascii="宋体" w:hAnsi="宋体" w:eastAsia="楷体_GB2312" w:cs="楷体_GB2312"/>
          <w:sz w:val="32"/>
          <w:szCs w:val="32"/>
        </w:rPr>
        <w:fldChar w:fldCharType="separate"/>
      </w:r>
      <w:r>
        <w:rPr>
          <w:rFonts w:ascii="宋体" w:hAnsi="宋体" w:eastAsia="楷体_GB2312" w:cs="楷体_GB2312"/>
          <w:sz w:val="32"/>
          <w:szCs w:val="32"/>
        </w:rPr>
        <w:t>19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"_Toc6867" </w:instrText>
      </w:r>
      <w:r>
        <w:fldChar w:fldCharType="separate"/>
      </w:r>
      <w:r>
        <w:rPr>
          <w:rFonts w:hint="eastAsia" w:ascii="宋体" w:hAnsi="宋体" w:eastAsia="楷体_GB2312" w:cs="楷体_GB2312"/>
          <w:sz w:val="32"/>
          <w:szCs w:val="32"/>
        </w:rPr>
        <w:t>四、完善</w:t>
      </w:r>
      <w:r>
        <w:rPr>
          <w:rFonts w:hint="eastAsia" w:ascii="宋体" w:hAnsi="宋体" w:eastAsia="楷体_GB2312" w:cs="楷体_GB2312"/>
          <w:sz w:val="32"/>
          <w:szCs w:val="32"/>
          <w:lang w:eastAsia="zh-Hans"/>
        </w:rPr>
        <w:t>指标</w:t>
      </w:r>
      <w:r>
        <w:rPr>
          <w:rFonts w:hint="eastAsia" w:ascii="宋体" w:hAnsi="宋体" w:eastAsia="楷体_GB2312" w:cs="楷体_GB2312"/>
          <w:sz w:val="32"/>
          <w:szCs w:val="32"/>
        </w:rPr>
        <w:t>体系，健全功能照明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_Toc6867 </w:instrText>
      </w:r>
      <w:r>
        <w:rPr>
          <w:rFonts w:ascii="宋体" w:hAnsi="宋体" w:eastAsia="楷体_GB2312" w:cs="楷体_GB2312"/>
          <w:sz w:val="32"/>
          <w:szCs w:val="32"/>
        </w:rPr>
        <w:fldChar w:fldCharType="separate"/>
      </w:r>
      <w:r>
        <w:rPr>
          <w:rFonts w:ascii="宋体" w:hAnsi="宋体" w:eastAsia="楷体_GB2312" w:cs="楷体_GB2312"/>
          <w:sz w:val="32"/>
          <w:szCs w:val="32"/>
        </w:rPr>
        <w:t>20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"_Toc12080" </w:instrText>
      </w:r>
      <w:r>
        <w:fldChar w:fldCharType="separate"/>
      </w:r>
      <w:r>
        <w:rPr>
          <w:rFonts w:hint="eastAsia" w:ascii="宋体" w:hAnsi="宋体" w:eastAsia="黑体" w:cs="黑体"/>
          <w:b w:val="0"/>
          <w:bCs/>
          <w:sz w:val="32"/>
          <w:szCs w:val="32"/>
        </w:rPr>
        <w:t>第四章</w:t>
      </w:r>
      <w:r>
        <w:rPr>
          <w:rFonts w:ascii="宋体" w:hAnsi="宋体" w:eastAsia="黑体" w:cs="黑体"/>
          <w:b w:val="0"/>
          <w:bCs/>
          <w:sz w:val="32"/>
          <w:szCs w:val="32"/>
        </w:rPr>
        <w:t xml:space="preserve"> </w:t>
      </w:r>
      <w:r>
        <w:rPr>
          <w:rFonts w:hint="eastAsia" w:ascii="宋体" w:hAnsi="宋体" w:eastAsia="黑体" w:cs="黑体"/>
          <w:b w:val="0"/>
          <w:bCs/>
          <w:sz w:val="32"/>
          <w:szCs w:val="32"/>
        </w:rPr>
        <w:t>双碳统筹，建设低碳节能典范</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_Toc12080 </w:instrText>
      </w:r>
      <w:r>
        <w:rPr>
          <w:rFonts w:ascii="宋体" w:hAnsi="宋体" w:eastAsia="黑体" w:cs="黑体"/>
          <w:b w:val="0"/>
          <w:bCs/>
          <w:sz w:val="32"/>
          <w:szCs w:val="32"/>
        </w:rPr>
        <w:fldChar w:fldCharType="separate"/>
      </w:r>
      <w:r>
        <w:rPr>
          <w:rFonts w:ascii="宋体" w:hAnsi="宋体" w:eastAsia="黑体" w:cs="黑体"/>
          <w:b w:val="0"/>
          <w:bCs/>
          <w:sz w:val="32"/>
          <w:szCs w:val="32"/>
        </w:rPr>
        <w:t>21</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"_Toc30251" </w:instrText>
      </w:r>
      <w:r>
        <w:fldChar w:fldCharType="separate"/>
      </w:r>
      <w:r>
        <w:rPr>
          <w:rFonts w:hint="eastAsia" w:ascii="宋体" w:hAnsi="宋体" w:eastAsia="楷体_GB2312" w:cs="楷体_GB2312"/>
          <w:sz w:val="32"/>
          <w:szCs w:val="32"/>
        </w:rPr>
        <w:t>一、建立负面清单制度，强化标准约束</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_Toc30251 </w:instrText>
      </w:r>
      <w:r>
        <w:rPr>
          <w:rFonts w:ascii="宋体" w:hAnsi="宋体" w:eastAsia="楷体_GB2312" w:cs="楷体_GB2312"/>
          <w:sz w:val="32"/>
          <w:szCs w:val="32"/>
        </w:rPr>
        <w:fldChar w:fldCharType="separate"/>
      </w:r>
      <w:r>
        <w:rPr>
          <w:rFonts w:ascii="宋体" w:hAnsi="宋体" w:eastAsia="楷体_GB2312" w:cs="楷体_GB2312"/>
          <w:sz w:val="32"/>
          <w:szCs w:val="32"/>
        </w:rPr>
        <w:t>21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"_Toc12408" </w:instrText>
      </w:r>
      <w:r>
        <w:fldChar w:fldCharType="separate"/>
      </w:r>
      <w:r>
        <w:rPr>
          <w:rFonts w:hint="eastAsia" w:ascii="宋体" w:hAnsi="宋体" w:eastAsia="楷体_GB2312" w:cs="楷体_GB2312"/>
          <w:sz w:val="32"/>
          <w:szCs w:val="32"/>
        </w:rPr>
        <w:t>二、严控照明启闭时间及供电</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_Toc12408 </w:instrText>
      </w:r>
      <w:r>
        <w:rPr>
          <w:rFonts w:ascii="宋体" w:hAnsi="宋体" w:eastAsia="楷体_GB2312" w:cs="楷体_GB2312"/>
          <w:sz w:val="32"/>
          <w:szCs w:val="32"/>
        </w:rPr>
        <w:fldChar w:fldCharType="separate"/>
      </w:r>
      <w:r>
        <w:rPr>
          <w:rFonts w:ascii="宋体" w:hAnsi="宋体" w:eastAsia="楷体_GB2312" w:cs="楷体_GB2312"/>
          <w:sz w:val="32"/>
          <w:szCs w:val="32"/>
        </w:rPr>
        <w:t>21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"_Toc16770" </w:instrText>
      </w:r>
      <w:r>
        <w:fldChar w:fldCharType="separate"/>
      </w:r>
      <w:r>
        <w:rPr>
          <w:rFonts w:hint="eastAsia" w:ascii="宋体" w:hAnsi="宋体" w:eastAsia="楷体_GB2312" w:cs="楷体_GB2312"/>
          <w:sz w:val="32"/>
          <w:szCs w:val="32"/>
        </w:rPr>
        <w:t>三、推广高效产品，促进低碳节能</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_Toc16770 </w:instrText>
      </w:r>
      <w:r>
        <w:rPr>
          <w:rFonts w:ascii="宋体" w:hAnsi="宋体" w:eastAsia="楷体_GB2312" w:cs="楷体_GB2312"/>
          <w:sz w:val="32"/>
          <w:szCs w:val="32"/>
        </w:rPr>
        <w:fldChar w:fldCharType="separate"/>
      </w:r>
      <w:r>
        <w:rPr>
          <w:rFonts w:ascii="宋体" w:hAnsi="宋体" w:eastAsia="楷体_GB2312" w:cs="楷体_GB2312"/>
          <w:sz w:val="32"/>
          <w:szCs w:val="32"/>
        </w:rPr>
        <w:t>22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"_Toc17793" </w:instrText>
      </w:r>
      <w:r>
        <w:fldChar w:fldCharType="separate"/>
      </w:r>
      <w:r>
        <w:rPr>
          <w:rFonts w:hint="eastAsia" w:ascii="宋体" w:hAnsi="宋体" w:eastAsia="楷体_GB2312" w:cs="楷体_GB2312"/>
          <w:sz w:val="32"/>
          <w:szCs w:val="32"/>
        </w:rPr>
        <w:t>四、建立科学指标体系</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_Toc17793 </w:instrText>
      </w:r>
      <w:r>
        <w:rPr>
          <w:rFonts w:ascii="宋体" w:hAnsi="宋体" w:eastAsia="楷体_GB2312" w:cs="楷体_GB2312"/>
          <w:sz w:val="32"/>
          <w:szCs w:val="32"/>
        </w:rPr>
        <w:fldChar w:fldCharType="separate"/>
      </w:r>
      <w:r>
        <w:rPr>
          <w:rFonts w:ascii="宋体" w:hAnsi="宋体" w:eastAsia="楷体_GB2312" w:cs="楷体_GB2312"/>
          <w:sz w:val="32"/>
          <w:szCs w:val="32"/>
        </w:rPr>
        <w:t>22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"_Toc28510" </w:instrText>
      </w:r>
      <w:r>
        <w:fldChar w:fldCharType="separate"/>
      </w:r>
      <w:r>
        <w:rPr>
          <w:rFonts w:hint="eastAsia" w:ascii="宋体" w:hAnsi="宋体" w:eastAsia="黑体" w:cs="黑体"/>
          <w:b w:val="0"/>
          <w:bCs/>
          <w:sz w:val="32"/>
          <w:szCs w:val="32"/>
        </w:rPr>
        <w:t>第五章</w:t>
      </w:r>
      <w:r>
        <w:rPr>
          <w:rFonts w:ascii="宋体" w:hAnsi="宋体" w:eastAsia="黑体" w:cs="黑体"/>
          <w:b w:val="0"/>
          <w:bCs/>
          <w:sz w:val="32"/>
          <w:szCs w:val="32"/>
        </w:rPr>
        <w:t xml:space="preserve"> </w:t>
      </w:r>
      <w:r>
        <w:rPr>
          <w:rFonts w:hint="eastAsia" w:ascii="宋体" w:hAnsi="宋体" w:eastAsia="黑体" w:cs="黑体"/>
          <w:b w:val="0"/>
          <w:bCs/>
          <w:sz w:val="32"/>
          <w:szCs w:val="32"/>
        </w:rPr>
        <w:t>绿色生态，全生命周期管理</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_Toc28510 </w:instrText>
      </w:r>
      <w:r>
        <w:rPr>
          <w:rFonts w:ascii="宋体" w:hAnsi="宋体" w:eastAsia="黑体" w:cs="黑体"/>
          <w:b w:val="0"/>
          <w:bCs/>
          <w:sz w:val="32"/>
          <w:szCs w:val="32"/>
        </w:rPr>
        <w:fldChar w:fldCharType="separate"/>
      </w:r>
      <w:r>
        <w:rPr>
          <w:rFonts w:ascii="宋体" w:hAnsi="宋体" w:eastAsia="黑体" w:cs="黑体"/>
          <w:b w:val="0"/>
          <w:bCs/>
          <w:sz w:val="32"/>
          <w:szCs w:val="32"/>
        </w:rPr>
        <w:t>25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"_Toc32428" </w:instrText>
      </w:r>
      <w:r>
        <w:fldChar w:fldCharType="separate"/>
      </w:r>
      <w:r>
        <w:rPr>
          <w:rFonts w:hint="eastAsia" w:ascii="宋体" w:hAnsi="宋体" w:eastAsia="楷体_GB2312" w:cs="楷体_GB2312"/>
          <w:sz w:val="32"/>
          <w:szCs w:val="32"/>
        </w:rPr>
        <w:t>一、“暗天空”保护</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_Toc32428 </w:instrText>
      </w:r>
      <w:r>
        <w:rPr>
          <w:rFonts w:ascii="宋体" w:hAnsi="宋体" w:eastAsia="楷体_GB2312" w:cs="楷体_GB2312"/>
          <w:sz w:val="32"/>
          <w:szCs w:val="32"/>
        </w:rPr>
        <w:fldChar w:fldCharType="separate"/>
      </w:r>
      <w:r>
        <w:rPr>
          <w:rFonts w:ascii="宋体" w:hAnsi="宋体" w:eastAsia="楷体_GB2312" w:cs="楷体_GB2312"/>
          <w:sz w:val="32"/>
          <w:szCs w:val="32"/>
        </w:rPr>
        <w:t>25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"_Toc24259" </w:instrText>
      </w:r>
      <w:r>
        <w:fldChar w:fldCharType="separate"/>
      </w:r>
      <w:r>
        <w:rPr>
          <w:rFonts w:hint="eastAsia" w:ascii="宋体" w:hAnsi="宋体" w:eastAsia="楷体_GB2312" w:cs="楷体_GB2312"/>
          <w:sz w:val="32"/>
          <w:szCs w:val="32"/>
        </w:rPr>
        <w:t>二、光污染防治</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_Toc24259 </w:instrText>
      </w:r>
      <w:r>
        <w:rPr>
          <w:rFonts w:ascii="宋体" w:hAnsi="宋体" w:eastAsia="楷体_GB2312" w:cs="楷体_GB2312"/>
          <w:sz w:val="32"/>
          <w:szCs w:val="32"/>
        </w:rPr>
        <w:fldChar w:fldCharType="separate"/>
      </w:r>
      <w:r>
        <w:rPr>
          <w:rFonts w:ascii="宋体" w:hAnsi="宋体" w:eastAsia="楷体_GB2312" w:cs="楷体_GB2312"/>
          <w:sz w:val="32"/>
          <w:szCs w:val="32"/>
        </w:rPr>
        <w:t>25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"_Toc13935" </w:instrText>
      </w:r>
      <w:r>
        <w:fldChar w:fldCharType="separate"/>
      </w:r>
      <w:r>
        <w:rPr>
          <w:rFonts w:hint="eastAsia" w:ascii="宋体" w:hAnsi="宋体" w:eastAsia="楷体_GB2312" w:cs="楷体_GB2312"/>
          <w:sz w:val="32"/>
          <w:szCs w:val="32"/>
        </w:rPr>
        <w:t>三、全生命周期</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_Toc13935 </w:instrText>
      </w:r>
      <w:r>
        <w:rPr>
          <w:rFonts w:ascii="宋体" w:hAnsi="宋体" w:eastAsia="楷体_GB2312" w:cs="楷体_GB2312"/>
          <w:sz w:val="32"/>
          <w:szCs w:val="32"/>
        </w:rPr>
        <w:fldChar w:fldCharType="separate"/>
      </w:r>
      <w:r>
        <w:rPr>
          <w:rFonts w:ascii="宋体" w:hAnsi="宋体" w:eastAsia="楷体_GB2312" w:cs="楷体_GB2312"/>
          <w:sz w:val="32"/>
          <w:szCs w:val="32"/>
        </w:rPr>
        <w:t>25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"_Toc8647" </w:instrText>
      </w:r>
      <w:r>
        <w:fldChar w:fldCharType="separate"/>
      </w:r>
      <w:r>
        <w:rPr>
          <w:rFonts w:hint="eastAsia" w:ascii="宋体" w:hAnsi="宋体" w:eastAsia="黑体" w:cs="黑体"/>
          <w:b w:val="0"/>
          <w:bCs/>
          <w:sz w:val="32"/>
          <w:szCs w:val="32"/>
        </w:rPr>
        <w:t>第六章</w:t>
      </w:r>
      <w:r>
        <w:rPr>
          <w:rFonts w:ascii="宋体" w:hAnsi="宋体" w:eastAsia="黑体" w:cs="黑体"/>
          <w:b w:val="0"/>
          <w:bCs/>
          <w:sz w:val="32"/>
          <w:szCs w:val="32"/>
        </w:rPr>
        <w:t xml:space="preserve"> </w:t>
      </w:r>
      <w:r>
        <w:rPr>
          <w:rFonts w:hint="eastAsia" w:ascii="宋体" w:hAnsi="宋体" w:eastAsia="黑体" w:cs="黑体"/>
          <w:b w:val="0"/>
          <w:bCs/>
          <w:sz w:val="32"/>
          <w:szCs w:val="32"/>
        </w:rPr>
        <w:t>特色格局，营造四种夜间氛围</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_Toc8647 </w:instrText>
      </w:r>
      <w:r>
        <w:rPr>
          <w:rFonts w:ascii="宋体" w:hAnsi="宋体" w:eastAsia="黑体" w:cs="黑体"/>
          <w:b w:val="0"/>
          <w:bCs/>
          <w:sz w:val="32"/>
          <w:szCs w:val="32"/>
        </w:rPr>
        <w:fldChar w:fldCharType="separate"/>
      </w:r>
      <w:r>
        <w:rPr>
          <w:rFonts w:ascii="宋体" w:hAnsi="宋体" w:eastAsia="黑体" w:cs="黑体"/>
          <w:b w:val="0"/>
          <w:bCs/>
          <w:sz w:val="32"/>
          <w:szCs w:val="32"/>
        </w:rPr>
        <w:t>28</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"_Toc14869" </w:instrText>
      </w:r>
      <w:r>
        <w:fldChar w:fldCharType="separate"/>
      </w:r>
      <w:r>
        <w:rPr>
          <w:rFonts w:hint="eastAsia" w:ascii="宋体" w:hAnsi="宋体" w:eastAsia="楷体_GB2312" w:cs="楷体_GB2312"/>
          <w:sz w:val="32"/>
          <w:szCs w:val="32"/>
        </w:rPr>
        <w:t>一、庄重大气的政治中心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_Toc14869 </w:instrText>
      </w:r>
      <w:r>
        <w:rPr>
          <w:rFonts w:ascii="宋体" w:hAnsi="宋体" w:eastAsia="楷体_GB2312" w:cs="楷体_GB2312"/>
          <w:sz w:val="32"/>
          <w:szCs w:val="32"/>
        </w:rPr>
        <w:fldChar w:fldCharType="separate"/>
      </w:r>
      <w:r>
        <w:rPr>
          <w:rFonts w:ascii="宋体" w:hAnsi="宋体" w:eastAsia="楷体_GB2312" w:cs="楷体_GB2312"/>
          <w:sz w:val="32"/>
          <w:szCs w:val="32"/>
        </w:rPr>
        <w:t>28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"_Toc3542" </w:instrText>
      </w:r>
      <w:r>
        <w:fldChar w:fldCharType="separate"/>
      </w:r>
      <w:r>
        <w:rPr>
          <w:rFonts w:hint="eastAsia" w:ascii="宋体" w:hAnsi="宋体" w:eastAsia="楷体_GB2312" w:cs="楷体_GB2312"/>
          <w:sz w:val="32"/>
          <w:szCs w:val="32"/>
        </w:rPr>
        <w:t>二、古今交融的文化中心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_Toc3542 </w:instrText>
      </w:r>
      <w:r>
        <w:rPr>
          <w:rFonts w:ascii="宋体" w:hAnsi="宋体" w:eastAsia="楷体_GB2312" w:cs="楷体_GB2312"/>
          <w:sz w:val="32"/>
          <w:szCs w:val="32"/>
        </w:rPr>
        <w:fldChar w:fldCharType="separate"/>
      </w:r>
      <w:r>
        <w:rPr>
          <w:rFonts w:ascii="宋体" w:hAnsi="宋体" w:eastAsia="楷体_GB2312" w:cs="楷体_GB2312"/>
          <w:sz w:val="32"/>
          <w:szCs w:val="32"/>
        </w:rPr>
        <w:t>28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"_Toc31108" </w:instrText>
      </w:r>
      <w:r>
        <w:fldChar w:fldCharType="separate"/>
      </w:r>
      <w:r>
        <w:rPr>
          <w:rFonts w:hint="eastAsia" w:ascii="宋体" w:hAnsi="宋体" w:eastAsia="楷体_GB2312" w:cs="楷体_GB2312"/>
          <w:sz w:val="32"/>
          <w:szCs w:val="32"/>
        </w:rPr>
        <w:t>三、壮丽有序的国际交往中心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_Toc31108 </w:instrText>
      </w:r>
      <w:r>
        <w:rPr>
          <w:rFonts w:ascii="宋体" w:hAnsi="宋体" w:eastAsia="楷体_GB2312" w:cs="楷体_GB2312"/>
          <w:sz w:val="32"/>
          <w:szCs w:val="32"/>
        </w:rPr>
        <w:fldChar w:fldCharType="separate"/>
      </w:r>
      <w:r>
        <w:rPr>
          <w:rFonts w:ascii="宋体" w:hAnsi="宋体" w:eastAsia="楷体_GB2312" w:cs="楷体_GB2312"/>
          <w:sz w:val="32"/>
          <w:szCs w:val="32"/>
        </w:rPr>
        <w:t>29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"_Toc2778" </w:instrText>
      </w:r>
      <w:r>
        <w:fldChar w:fldCharType="separate"/>
      </w:r>
      <w:r>
        <w:rPr>
          <w:rFonts w:hint="eastAsia" w:ascii="宋体" w:hAnsi="宋体" w:eastAsia="楷体_GB2312" w:cs="楷体_GB2312"/>
          <w:sz w:val="32"/>
          <w:szCs w:val="32"/>
        </w:rPr>
        <w:t>四、简洁高效的科技创新中心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_Toc2778 </w:instrText>
      </w:r>
      <w:r>
        <w:rPr>
          <w:rFonts w:ascii="宋体" w:hAnsi="宋体" w:eastAsia="楷体_GB2312" w:cs="楷体_GB2312"/>
          <w:sz w:val="32"/>
          <w:szCs w:val="32"/>
        </w:rPr>
        <w:fldChar w:fldCharType="separate"/>
      </w:r>
      <w:r>
        <w:rPr>
          <w:rFonts w:ascii="宋体" w:hAnsi="宋体" w:eastAsia="楷体_GB2312" w:cs="楷体_GB2312"/>
          <w:sz w:val="32"/>
          <w:szCs w:val="32"/>
        </w:rPr>
        <w:t>29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"_Toc32300" </w:instrText>
      </w:r>
      <w:r>
        <w:fldChar w:fldCharType="separate"/>
      </w:r>
      <w:r>
        <w:rPr>
          <w:rFonts w:hint="eastAsia" w:ascii="宋体" w:hAnsi="宋体" w:eastAsia="黑体" w:cs="黑体"/>
          <w:b w:val="0"/>
          <w:bCs/>
          <w:sz w:val="32"/>
          <w:szCs w:val="32"/>
        </w:rPr>
        <w:t>第七章</w:t>
      </w:r>
      <w:r>
        <w:rPr>
          <w:rFonts w:ascii="宋体" w:hAnsi="宋体" w:eastAsia="黑体" w:cs="黑体"/>
          <w:b w:val="0"/>
          <w:bCs/>
          <w:sz w:val="32"/>
          <w:szCs w:val="32"/>
        </w:rPr>
        <w:t xml:space="preserve"> </w:t>
      </w:r>
      <w:r>
        <w:rPr>
          <w:rFonts w:hint="eastAsia" w:ascii="宋体" w:hAnsi="宋体" w:eastAsia="黑体" w:cs="黑体"/>
          <w:b w:val="0"/>
          <w:bCs/>
          <w:sz w:val="32"/>
          <w:szCs w:val="32"/>
        </w:rPr>
        <w:t>夜游赋能，营造夜间繁荣消费环境</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_Toc32300 </w:instrText>
      </w:r>
      <w:r>
        <w:rPr>
          <w:rFonts w:ascii="宋体" w:hAnsi="宋体" w:eastAsia="黑体" w:cs="黑体"/>
          <w:b w:val="0"/>
          <w:bCs/>
          <w:sz w:val="32"/>
          <w:szCs w:val="32"/>
        </w:rPr>
        <w:fldChar w:fldCharType="separate"/>
      </w:r>
      <w:r>
        <w:rPr>
          <w:rFonts w:ascii="宋体" w:hAnsi="宋体" w:eastAsia="黑体" w:cs="黑体"/>
          <w:b w:val="0"/>
          <w:bCs/>
          <w:sz w:val="32"/>
          <w:szCs w:val="32"/>
        </w:rPr>
        <w:t>31</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"_Toc230" </w:instrText>
      </w:r>
      <w:r>
        <w:fldChar w:fldCharType="separate"/>
      </w:r>
      <w:r>
        <w:rPr>
          <w:rFonts w:hint="eastAsia" w:ascii="宋体" w:hAnsi="宋体" w:eastAsia="楷体_GB2312" w:cs="楷体_GB2312"/>
          <w:sz w:val="32"/>
          <w:szCs w:val="32"/>
        </w:rPr>
        <w:t>一、打造“夜京城”消费活力地标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_Toc230 </w:instrText>
      </w:r>
      <w:r>
        <w:rPr>
          <w:rFonts w:ascii="宋体" w:hAnsi="宋体" w:eastAsia="楷体_GB2312" w:cs="楷体_GB2312"/>
          <w:sz w:val="32"/>
          <w:szCs w:val="32"/>
        </w:rPr>
        <w:fldChar w:fldCharType="separate"/>
      </w:r>
      <w:r>
        <w:rPr>
          <w:rFonts w:ascii="宋体" w:hAnsi="宋体" w:eastAsia="楷体_GB2312" w:cs="楷体_GB2312"/>
          <w:sz w:val="32"/>
          <w:szCs w:val="32"/>
        </w:rPr>
        <w:t>31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"_Toc10902" </w:instrText>
      </w:r>
      <w:r>
        <w:fldChar w:fldCharType="separate"/>
      </w:r>
      <w:r>
        <w:rPr>
          <w:rFonts w:hint="eastAsia" w:ascii="宋体" w:hAnsi="宋体" w:eastAsia="楷体_GB2312" w:cs="楷体_GB2312"/>
          <w:sz w:val="32"/>
          <w:szCs w:val="32"/>
        </w:rPr>
        <w:t>二、升级“夜京城”商圈照明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_Toc10902 </w:instrText>
      </w:r>
      <w:r>
        <w:rPr>
          <w:rFonts w:ascii="宋体" w:hAnsi="宋体" w:eastAsia="楷体_GB2312" w:cs="楷体_GB2312"/>
          <w:sz w:val="32"/>
          <w:szCs w:val="32"/>
        </w:rPr>
        <w:fldChar w:fldCharType="separate"/>
      </w:r>
      <w:r>
        <w:rPr>
          <w:rFonts w:ascii="宋体" w:hAnsi="宋体" w:eastAsia="楷体_GB2312" w:cs="楷体_GB2312"/>
          <w:sz w:val="32"/>
          <w:szCs w:val="32"/>
        </w:rPr>
        <w:t>31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"_Toc32" </w:instrText>
      </w:r>
      <w:r>
        <w:fldChar w:fldCharType="separate"/>
      </w:r>
      <w:r>
        <w:rPr>
          <w:rFonts w:hint="eastAsia" w:ascii="宋体" w:hAnsi="宋体" w:eastAsia="楷体_GB2312" w:cs="楷体_GB2312"/>
          <w:sz w:val="32"/>
          <w:szCs w:val="32"/>
        </w:rPr>
        <w:t>三、建设城市副中心消费圈照明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_Toc32 </w:instrText>
      </w:r>
      <w:r>
        <w:rPr>
          <w:rFonts w:ascii="宋体" w:hAnsi="宋体" w:eastAsia="楷体_GB2312" w:cs="楷体_GB2312"/>
          <w:sz w:val="32"/>
          <w:szCs w:val="32"/>
        </w:rPr>
        <w:fldChar w:fldCharType="separate"/>
      </w:r>
      <w:r>
        <w:rPr>
          <w:rFonts w:ascii="宋体" w:hAnsi="宋体" w:eastAsia="楷体_GB2312" w:cs="楷体_GB2312"/>
          <w:sz w:val="32"/>
          <w:szCs w:val="32"/>
        </w:rPr>
        <w:t>31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"_Toc3872" </w:instrText>
      </w:r>
      <w:r>
        <w:fldChar w:fldCharType="separate"/>
      </w:r>
      <w:r>
        <w:rPr>
          <w:rFonts w:hint="eastAsia" w:ascii="宋体" w:hAnsi="宋体" w:eastAsia="楷体_GB2312" w:cs="楷体_GB2312"/>
          <w:sz w:val="32"/>
          <w:szCs w:val="32"/>
        </w:rPr>
        <w:t>四、培育“夜京城”生活圈</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_Toc3872 </w:instrText>
      </w:r>
      <w:r>
        <w:rPr>
          <w:rFonts w:ascii="宋体" w:hAnsi="宋体" w:eastAsia="楷体_GB2312" w:cs="楷体_GB2312"/>
          <w:sz w:val="32"/>
          <w:szCs w:val="32"/>
        </w:rPr>
        <w:fldChar w:fldCharType="separate"/>
      </w:r>
      <w:r>
        <w:rPr>
          <w:rFonts w:ascii="宋体" w:hAnsi="宋体" w:eastAsia="楷体_GB2312" w:cs="楷体_GB2312"/>
          <w:sz w:val="32"/>
          <w:szCs w:val="32"/>
        </w:rPr>
        <w:t>32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"_Toc23796" </w:instrText>
      </w:r>
      <w:r>
        <w:fldChar w:fldCharType="separate"/>
      </w:r>
      <w:r>
        <w:rPr>
          <w:rFonts w:hint="eastAsia" w:ascii="宋体" w:hAnsi="宋体" w:eastAsia="黑体" w:cs="黑体"/>
          <w:b w:val="0"/>
          <w:bCs/>
          <w:sz w:val="32"/>
          <w:szCs w:val="32"/>
        </w:rPr>
        <w:t>第八章</w:t>
      </w:r>
      <w:r>
        <w:rPr>
          <w:rFonts w:ascii="宋体" w:hAnsi="宋体" w:eastAsia="黑体" w:cs="黑体"/>
          <w:b w:val="0"/>
          <w:bCs/>
          <w:sz w:val="32"/>
          <w:szCs w:val="32"/>
        </w:rPr>
        <w:t xml:space="preserve"> </w:t>
      </w:r>
      <w:r>
        <w:rPr>
          <w:rFonts w:hint="eastAsia" w:ascii="宋体" w:hAnsi="宋体" w:eastAsia="黑体" w:cs="黑体"/>
          <w:b w:val="0"/>
          <w:bCs/>
          <w:sz w:val="32"/>
          <w:szCs w:val="32"/>
        </w:rPr>
        <w:t>国事庆典，灯光助力大国首都风范</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_Toc23796 </w:instrText>
      </w:r>
      <w:r>
        <w:rPr>
          <w:rFonts w:ascii="宋体" w:hAnsi="宋体" w:eastAsia="黑体" w:cs="黑体"/>
          <w:b w:val="0"/>
          <w:bCs/>
          <w:sz w:val="32"/>
          <w:szCs w:val="32"/>
        </w:rPr>
        <w:fldChar w:fldCharType="separate"/>
      </w:r>
      <w:r>
        <w:rPr>
          <w:rFonts w:ascii="宋体" w:hAnsi="宋体" w:eastAsia="黑体" w:cs="黑体"/>
          <w:b w:val="0"/>
          <w:bCs/>
          <w:sz w:val="32"/>
          <w:szCs w:val="32"/>
        </w:rPr>
        <w:t>33</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"_Toc17902" </w:instrText>
      </w:r>
      <w:r>
        <w:fldChar w:fldCharType="separate"/>
      </w:r>
      <w:r>
        <w:rPr>
          <w:rFonts w:hint="eastAsia" w:ascii="宋体" w:hAnsi="宋体" w:eastAsia="楷体_GB2312" w:cs="楷体_GB2312"/>
          <w:sz w:val="32"/>
          <w:szCs w:val="32"/>
        </w:rPr>
        <w:t>一、彰显“双奥”优势</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_Toc17902 </w:instrText>
      </w:r>
      <w:r>
        <w:rPr>
          <w:rFonts w:ascii="宋体" w:hAnsi="宋体" w:eastAsia="楷体_GB2312" w:cs="楷体_GB2312"/>
          <w:sz w:val="32"/>
          <w:szCs w:val="32"/>
        </w:rPr>
        <w:fldChar w:fldCharType="separate"/>
      </w:r>
      <w:r>
        <w:rPr>
          <w:rFonts w:ascii="宋体" w:hAnsi="宋体" w:eastAsia="楷体_GB2312" w:cs="楷体_GB2312"/>
          <w:sz w:val="32"/>
          <w:szCs w:val="32"/>
        </w:rPr>
        <w:t>33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"_Toc2770" </w:instrText>
      </w:r>
      <w:r>
        <w:fldChar w:fldCharType="separate"/>
      </w:r>
      <w:r>
        <w:rPr>
          <w:rFonts w:hint="eastAsia" w:ascii="宋体" w:hAnsi="宋体" w:eastAsia="楷体_GB2312" w:cs="楷体_GB2312"/>
          <w:sz w:val="32"/>
          <w:szCs w:val="32"/>
        </w:rPr>
        <w:t>二、重大活动服务保障</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_Toc2770 </w:instrText>
      </w:r>
      <w:r>
        <w:rPr>
          <w:rFonts w:ascii="宋体" w:hAnsi="宋体" w:eastAsia="楷体_GB2312" w:cs="楷体_GB2312"/>
          <w:sz w:val="32"/>
          <w:szCs w:val="32"/>
        </w:rPr>
        <w:fldChar w:fldCharType="separate"/>
      </w:r>
      <w:r>
        <w:rPr>
          <w:rFonts w:ascii="宋体" w:hAnsi="宋体" w:eastAsia="楷体_GB2312" w:cs="楷体_GB2312"/>
          <w:sz w:val="32"/>
          <w:szCs w:val="32"/>
        </w:rPr>
        <w:t>33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"_Toc5916" </w:instrText>
      </w:r>
      <w:r>
        <w:fldChar w:fldCharType="separate"/>
      </w:r>
      <w:r>
        <w:rPr>
          <w:rFonts w:hint="eastAsia" w:ascii="宋体" w:hAnsi="宋体" w:eastAsia="黑体" w:cs="黑体"/>
          <w:b w:val="0"/>
          <w:bCs/>
          <w:sz w:val="32"/>
          <w:szCs w:val="32"/>
        </w:rPr>
        <w:t>第九章</w:t>
      </w:r>
      <w:r>
        <w:rPr>
          <w:rFonts w:ascii="宋体" w:hAnsi="宋体" w:eastAsia="黑体" w:cs="黑体"/>
          <w:b w:val="0"/>
          <w:bCs/>
          <w:sz w:val="32"/>
          <w:szCs w:val="32"/>
        </w:rPr>
        <w:t xml:space="preserve"> </w:t>
      </w:r>
      <w:r>
        <w:rPr>
          <w:rFonts w:hint="eastAsia" w:ascii="宋体" w:hAnsi="宋体" w:eastAsia="黑体" w:cs="黑体"/>
          <w:b w:val="0"/>
          <w:bCs/>
          <w:sz w:val="32"/>
          <w:szCs w:val="32"/>
        </w:rPr>
        <w:t>精细管理，高品质照明治理新局面</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_Toc5916 </w:instrText>
      </w:r>
      <w:r>
        <w:rPr>
          <w:rFonts w:ascii="宋体" w:hAnsi="宋体" w:eastAsia="黑体" w:cs="黑体"/>
          <w:b w:val="0"/>
          <w:bCs/>
          <w:sz w:val="32"/>
          <w:szCs w:val="32"/>
        </w:rPr>
        <w:fldChar w:fldCharType="separate"/>
      </w:r>
      <w:r>
        <w:rPr>
          <w:rFonts w:ascii="宋体" w:hAnsi="宋体" w:eastAsia="黑体" w:cs="黑体"/>
          <w:b w:val="0"/>
          <w:bCs/>
          <w:sz w:val="32"/>
          <w:szCs w:val="32"/>
        </w:rPr>
        <w:t>35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"_Toc4625" </w:instrText>
      </w:r>
      <w:r>
        <w:fldChar w:fldCharType="separate"/>
      </w:r>
      <w:r>
        <w:rPr>
          <w:rFonts w:hint="eastAsia" w:ascii="宋体" w:hAnsi="宋体" w:eastAsia="楷体_GB2312" w:cs="楷体_GB2312"/>
          <w:sz w:val="32"/>
          <w:szCs w:val="32"/>
        </w:rPr>
        <w:t>一、规范编制，建立长效机制</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_Toc4625 </w:instrText>
      </w:r>
      <w:r>
        <w:rPr>
          <w:rFonts w:ascii="宋体" w:hAnsi="宋体" w:eastAsia="楷体_GB2312" w:cs="楷体_GB2312"/>
          <w:sz w:val="32"/>
          <w:szCs w:val="32"/>
        </w:rPr>
        <w:fldChar w:fldCharType="separate"/>
      </w:r>
      <w:r>
        <w:rPr>
          <w:rFonts w:ascii="宋体" w:hAnsi="宋体" w:eastAsia="楷体_GB2312" w:cs="楷体_GB2312"/>
          <w:sz w:val="32"/>
          <w:szCs w:val="32"/>
        </w:rPr>
        <w:t>35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"_Toc28586" </w:instrText>
      </w:r>
      <w:r>
        <w:fldChar w:fldCharType="separate"/>
      </w:r>
      <w:r>
        <w:rPr>
          <w:rFonts w:hint="eastAsia" w:ascii="宋体" w:hAnsi="宋体" w:eastAsia="楷体_GB2312" w:cs="楷体_GB2312"/>
          <w:sz w:val="32"/>
          <w:szCs w:val="32"/>
        </w:rPr>
        <w:t>二、隐患排查，优化措施方法</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_Toc28586 </w:instrText>
      </w:r>
      <w:r>
        <w:rPr>
          <w:rFonts w:ascii="宋体" w:hAnsi="宋体" w:eastAsia="楷体_GB2312" w:cs="楷体_GB2312"/>
          <w:sz w:val="32"/>
          <w:szCs w:val="32"/>
        </w:rPr>
        <w:fldChar w:fldCharType="separate"/>
      </w:r>
      <w:r>
        <w:rPr>
          <w:rFonts w:ascii="宋体" w:hAnsi="宋体" w:eastAsia="楷体_GB2312" w:cs="楷体_GB2312"/>
          <w:sz w:val="32"/>
          <w:szCs w:val="32"/>
        </w:rPr>
        <w:t>35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"_Toc8614" </w:instrText>
      </w:r>
      <w:r>
        <w:fldChar w:fldCharType="separate"/>
      </w:r>
      <w:r>
        <w:rPr>
          <w:rFonts w:hint="eastAsia" w:ascii="宋体" w:hAnsi="宋体" w:eastAsia="楷体_GB2312" w:cs="楷体_GB2312"/>
          <w:sz w:val="32"/>
          <w:szCs w:val="32"/>
        </w:rPr>
        <w:t>三、部门统筹，健全体制机制</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_Toc8614 </w:instrText>
      </w:r>
      <w:r>
        <w:rPr>
          <w:rFonts w:ascii="宋体" w:hAnsi="宋体" w:eastAsia="楷体_GB2312" w:cs="楷体_GB2312"/>
          <w:sz w:val="32"/>
          <w:szCs w:val="32"/>
        </w:rPr>
        <w:fldChar w:fldCharType="separate"/>
      </w:r>
      <w:r>
        <w:rPr>
          <w:rFonts w:ascii="宋体" w:hAnsi="宋体" w:eastAsia="楷体_GB2312" w:cs="楷体_GB2312"/>
          <w:sz w:val="32"/>
          <w:szCs w:val="32"/>
        </w:rPr>
        <w:t>36</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"_Toc18632" </w:instrText>
      </w:r>
      <w:r>
        <w:fldChar w:fldCharType="separate"/>
      </w:r>
      <w:r>
        <w:rPr>
          <w:rFonts w:hint="eastAsia" w:ascii="宋体" w:hAnsi="宋体" w:eastAsia="黑体" w:cs="黑体"/>
          <w:b w:val="0"/>
          <w:bCs/>
          <w:sz w:val="32"/>
          <w:szCs w:val="32"/>
        </w:rPr>
        <w:t>第十章</w:t>
      </w:r>
      <w:r>
        <w:rPr>
          <w:rFonts w:ascii="宋体" w:hAnsi="宋体" w:eastAsia="黑体" w:cs="黑体"/>
          <w:b w:val="0"/>
          <w:bCs/>
          <w:sz w:val="32"/>
          <w:szCs w:val="32"/>
        </w:rPr>
        <w:t xml:space="preserve"> </w:t>
      </w:r>
      <w:r>
        <w:rPr>
          <w:rFonts w:hint="eastAsia" w:ascii="宋体" w:hAnsi="宋体" w:eastAsia="黑体" w:cs="黑体"/>
          <w:b w:val="0"/>
          <w:bCs/>
          <w:sz w:val="32"/>
          <w:szCs w:val="32"/>
        </w:rPr>
        <w:t>科技引领，构建智慧城市照明体系</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_Toc18632 </w:instrText>
      </w:r>
      <w:r>
        <w:rPr>
          <w:rFonts w:ascii="宋体" w:hAnsi="宋体" w:eastAsia="黑体" w:cs="黑体"/>
          <w:b w:val="0"/>
          <w:bCs/>
          <w:sz w:val="32"/>
          <w:szCs w:val="32"/>
        </w:rPr>
        <w:fldChar w:fldCharType="separate"/>
      </w:r>
      <w:r>
        <w:rPr>
          <w:rFonts w:ascii="宋体" w:hAnsi="宋体" w:eastAsia="黑体" w:cs="黑体"/>
          <w:b w:val="0"/>
          <w:bCs/>
          <w:sz w:val="32"/>
          <w:szCs w:val="32"/>
        </w:rPr>
        <w:t>37</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"_Toc976" </w:instrText>
      </w:r>
      <w:r>
        <w:fldChar w:fldCharType="separate"/>
      </w:r>
      <w:r>
        <w:rPr>
          <w:rFonts w:hint="eastAsia" w:ascii="宋体" w:hAnsi="宋体" w:eastAsia="楷体_GB2312" w:cs="楷体_GB2312"/>
          <w:sz w:val="32"/>
          <w:szCs w:val="32"/>
        </w:rPr>
        <w:t>一、信息化智慧化管控平台</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_Toc976 </w:instrText>
      </w:r>
      <w:r>
        <w:rPr>
          <w:rFonts w:ascii="宋体" w:hAnsi="宋体" w:eastAsia="楷体_GB2312" w:cs="楷体_GB2312"/>
          <w:sz w:val="32"/>
          <w:szCs w:val="32"/>
        </w:rPr>
        <w:fldChar w:fldCharType="separate"/>
      </w:r>
      <w:r>
        <w:rPr>
          <w:rFonts w:ascii="宋体" w:hAnsi="宋体" w:eastAsia="楷体_GB2312" w:cs="楷体_GB2312"/>
          <w:sz w:val="32"/>
          <w:szCs w:val="32"/>
        </w:rPr>
        <w:t>37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"_Toc19040" </w:instrText>
      </w:r>
      <w:r>
        <w:fldChar w:fldCharType="separate"/>
      </w:r>
      <w:r>
        <w:rPr>
          <w:rFonts w:hint="eastAsia" w:ascii="宋体" w:hAnsi="宋体" w:eastAsia="楷体_GB2312" w:cs="楷体_GB2312"/>
          <w:sz w:val="32"/>
          <w:szCs w:val="32"/>
        </w:rPr>
        <w:t>二、数媒技术共创“智慧城市”</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_Toc19040 </w:instrText>
      </w:r>
      <w:r>
        <w:rPr>
          <w:rFonts w:ascii="宋体" w:hAnsi="宋体" w:eastAsia="楷体_GB2312" w:cs="楷体_GB2312"/>
          <w:sz w:val="32"/>
          <w:szCs w:val="32"/>
        </w:rPr>
        <w:fldChar w:fldCharType="separate"/>
      </w:r>
      <w:r>
        <w:rPr>
          <w:rFonts w:ascii="宋体" w:hAnsi="宋体" w:eastAsia="楷体_GB2312" w:cs="楷体_GB2312"/>
          <w:sz w:val="32"/>
          <w:szCs w:val="32"/>
        </w:rPr>
        <w:t>37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"_Toc13545" </w:instrText>
      </w:r>
      <w:r>
        <w:fldChar w:fldCharType="separate"/>
      </w:r>
      <w:r>
        <w:rPr>
          <w:rFonts w:hint="eastAsia" w:ascii="宋体" w:hAnsi="宋体" w:eastAsia="楷体_GB2312" w:cs="楷体_GB2312"/>
          <w:sz w:val="32"/>
          <w:szCs w:val="32"/>
        </w:rPr>
        <w:t>三、系统互联共建智慧照明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_Toc13545 </w:instrText>
      </w:r>
      <w:r>
        <w:rPr>
          <w:rFonts w:ascii="宋体" w:hAnsi="宋体" w:eastAsia="楷体_GB2312" w:cs="楷体_GB2312"/>
          <w:sz w:val="32"/>
          <w:szCs w:val="32"/>
        </w:rPr>
        <w:fldChar w:fldCharType="separate"/>
      </w:r>
      <w:r>
        <w:rPr>
          <w:rFonts w:ascii="宋体" w:hAnsi="宋体" w:eastAsia="楷体_GB2312" w:cs="楷体_GB2312"/>
          <w:sz w:val="32"/>
          <w:szCs w:val="32"/>
        </w:rPr>
        <w:t>37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"_Toc2834" </w:instrText>
      </w:r>
      <w:r>
        <w:fldChar w:fldCharType="separate"/>
      </w:r>
      <w:r>
        <w:rPr>
          <w:rFonts w:hint="eastAsia" w:ascii="宋体" w:hAnsi="宋体" w:eastAsia="黑体" w:cs="黑体"/>
          <w:b w:val="0"/>
          <w:bCs/>
          <w:sz w:val="32"/>
          <w:szCs w:val="32"/>
        </w:rPr>
        <w:t>第十一章</w:t>
      </w:r>
      <w:r>
        <w:rPr>
          <w:rFonts w:ascii="宋体" w:hAnsi="宋体" w:eastAsia="黑体" w:cs="黑体"/>
          <w:b w:val="0"/>
          <w:bCs/>
          <w:sz w:val="32"/>
          <w:szCs w:val="32"/>
        </w:rPr>
        <w:t xml:space="preserve"> </w:t>
      </w:r>
      <w:r>
        <w:rPr>
          <w:rFonts w:hint="eastAsia" w:ascii="宋体" w:hAnsi="宋体" w:eastAsia="黑体" w:cs="黑体"/>
          <w:b w:val="0"/>
          <w:bCs/>
          <w:sz w:val="32"/>
          <w:szCs w:val="32"/>
        </w:rPr>
        <w:t>专项行动与重点项目</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_Toc2834 </w:instrText>
      </w:r>
      <w:r>
        <w:rPr>
          <w:rFonts w:ascii="宋体" w:hAnsi="宋体" w:eastAsia="黑体" w:cs="黑体"/>
          <w:b w:val="0"/>
          <w:bCs/>
          <w:sz w:val="32"/>
          <w:szCs w:val="32"/>
        </w:rPr>
        <w:fldChar w:fldCharType="separate"/>
      </w:r>
      <w:r>
        <w:rPr>
          <w:rFonts w:ascii="宋体" w:hAnsi="宋体" w:eastAsia="黑体" w:cs="黑体"/>
          <w:b w:val="0"/>
          <w:bCs/>
          <w:sz w:val="32"/>
          <w:szCs w:val="32"/>
        </w:rPr>
        <w:t>38</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"_Toc5627" </w:instrText>
      </w:r>
      <w:r>
        <w:fldChar w:fldCharType="separate"/>
      </w:r>
      <w:r>
        <w:rPr>
          <w:rFonts w:hint="eastAsia" w:ascii="宋体" w:hAnsi="宋体" w:eastAsia="楷体_GB2312" w:cs="楷体_GB2312"/>
          <w:sz w:val="32"/>
          <w:szCs w:val="32"/>
        </w:rPr>
        <w:t>一、路灯问题治理专项行动</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_Toc5627 </w:instrText>
      </w:r>
      <w:r>
        <w:rPr>
          <w:rFonts w:ascii="宋体" w:hAnsi="宋体" w:eastAsia="楷体_GB2312" w:cs="楷体_GB2312"/>
          <w:sz w:val="32"/>
          <w:szCs w:val="32"/>
        </w:rPr>
        <w:fldChar w:fldCharType="separate"/>
      </w:r>
      <w:r>
        <w:rPr>
          <w:rFonts w:ascii="宋体" w:hAnsi="宋体" w:eastAsia="楷体_GB2312" w:cs="楷体_GB2312"/>
          <w:sz w:val="32"/>
          <w:szCs w:val="32"/>
        </w:rPr>
        <w:t>38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"_Toc8452" </w:instrText>
      </w:r>
      <w:r>
        <w:fldChar w:fldCharType="separate"/>
      </w:r>
      <w:r>
        <w:rPr>
          <w:rFonts w:hint="eastAsia" w:ascii="宋体" w:hAnsi="宋体" w:eastAsia="楷体_GB2312" w:cs="楷体_GB2312"/>
          <w:sz w:val="32"/>
          <w:szCs w:val="32"/>
        </w:rPr>
        <w:t>二、重点建设项目</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_Toc8452 </w:instrText>
      </w:r>
      <w:r>
        <w:rPr>
          <w:rFonts w:ascii="宋体" w:hAnsi="宋体" w:eastAsia="楷体_GB2312" w:cs="楷体_GB2312"/>
          <w:sz w:val="32"/>
          <w:szCs w:val="32"/>
        </w:rPr>
        <w:fldChar w:fldCharType="separate"/>
      </w:r>
      <w:r>
        <w:rPr>
          <w:rFonts w:ascii="宋体" w:hAnsi="宋体" w:eastAsia="楷体_GB2312" w:cs="楷体_GB2312"/>
          <w:sz w:val="32"/>
          <w:szCs w:val="32"/>
        </w:rPr>
        <w:t>39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"_Toc16590" </w:instrText>
      </w:r>
      <w:r>
        <w:fldChar w:fldCharType="separate"/>
      </w:r>
      <w:r>
        <w:rPr>
          <w:rFonts w:hint="eastAsia" w:ascii="宋体" w:hAnsi="宋体" w:eastAsia="黑体" w:cs="黑体"/>
          <w:b w:val="0"/>
          <w:bCs/>
          <w:sz w:val="32"/>
          <w:szCs w:val="32"/>
        </w:rPr>
        <w:t>第十二章</w:t>
      </w:r>
      <w:r>
        <w:rPr>
          <w:rFonts w:ascii="宋体" w:hAnsi="宋体" w:eastAsia="黑体" w:cs="黑体"/>
          <w:b w:val="0"/>
          <w:bCs/>
          <w:sz w:val="32"/>
          <w:szCs w:val="32"/>
        </w:rPr>
        <w:t xml:space="preserve"> </w:t>
      </w:r>
      <w:r>
        <w:rPr>
          <w:rFonts w:hint="eastAsia" w:ascii="宋体" w:hAnsi="宋体" w:eastAsia="黑体" w:cs="黑体"/>
          <w:b w:val="0"/>
          <w:bCs/>
          <w:sz w:val="32"/>
          <w:szCs w:val="32"/>
        </w:rPr>
        <w:t>保障措施</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_Toc16590 </w:instrText>
      </w:r>
      <w:r>
        <w:rPr>
          <w:rFonts w:ascii="宋体" w:hAnsi="宋体" w:eastAsia="黑体" w:cs="黑体"/>
          <w:b w:val="0"/>
          <w:bCs/>
          <w:sz w:val="32"/>
          <w:szCs w:val="32"/>
        </w:rPr>
        <w:fldChar w:fldCharType="separate"/>
      </w:r>
      <w:r>
        <w:rPr>
          <w:rFonts w:ascii="宋体" w:hAnsi="宋体" w:eastAsia="黑体" w:cs="黑体"/>
          <w:b w:val="0"/>
          <w:bCs/>
          <w:sz w:val="32"/>
          <w:szCs w:val="32"/>
        </w:rPr>
        <w:t>43</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"_Toc4654" </w:instrText>
      </w:r>
      <w:r>
        <w:fldChar w:fldCharType="separate"/>
      </w:r>
      <w:r>
        <w:rPr>
          <w:rFonts w:hint="eastAsia" w:ascii="宋体" w:hAnsi="宋体" w:eastAsia="楷体_GB2312" w:cs="楷体_GB2312"/>
          <w:sz w:val="32"/>
          <w:szCs w:val="32"/>
        </w:rPr>
        <w:t>一、加强组织领导，保障实施成效</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_Toc4654 </w:instrText>
      </w:r>
      <w:r>
        <w:rPr>
          <w:rFonts w:ascii="宋体" w:hAnsi="宋体" w:eastAsia="楷体_GB2312" w:cs="楷体_GB2312"/>
          <w:sz w:val="32"/>
          <w:szCs w:val="32"/>
        </w:rPr>
        <w:fldChar w:fldCharType="separate"/>
      </w:r>
      <w:r>
        <w:rPr>
          <w:rFonts w:ascii="宋体" w:hAnsi="宋体" w:eastAsia="楷体_GB2312" w:cs="楷体_GB2312"/>
          <w:sz w:val="32"/>
          <w:szCs w:val="32"/>
        </w:rPr>
        <w:t>43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"_Toc29061" </w:instrText>
      </w:r>
      <w:r>
        <w:fldChar w:fldCharType="separate"/>
      </w:r>
      <w:r>
        <w:rPr>
          <w:rFonts w:hint="eastAsia" w:ascii="宋体" w:hAnsi="宋体" w:eastAsia="楷体_GB2312" w:cs="楷体_GB2312"/>
          <w:sz w:val="32"/>
          <w:szCs w:val="32"/>
        </w:rPr>
        <w:t>二、完善运行规范，出台法规标准</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_Toc29061 </w:instrText>
      </w:r>
      <w:r>
        <w:rPr>
          <w:rFonts w:ascii="宋体" w:hAnsi="宋体" w:eastAsia="楷体_GB2312" w:cs="楷体_GB2312"/>
          <w:sz w:val="32"/>
          <w:szCs w:val="32"/>
        </w:rPr>
        <w:fldChar w:fldCharType="separate"/>
      </w:r>
      <w:r>
        <w:rPr>
          <w:rFonts w:ascii="宋体" w:hAnsi="宋体" w:eastAsia="楷体_GB2312" w:cs="楷体_GB2312"/>
          <w:sz w:val="32"/>
          <w:szCs w:val="32"/>
        </w:rPr>
        <w:t>43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"_Toc26636" </w:instrText>
      </w:r>
      <w:r>
        <w:fldChar w:fldCharType="separate"/>
      </w:r>
      <w:r>
        <w:rPr>
          <w:rFonts w:hint="eastAsia" w:ascii="宋体" w:hAnsi="宋体" w:eastAsia="楷体_GB2312" w:cs="楷体_GB2312"/>
          <w:sz w:val="32"/>
          <w:szCs w:val="32"/>
        </w:rPr>
        <w:t>三、完善体制机制，健全管理体系</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_Toc26636 </w:instrText>
      </w:r>
      <w:r>
        <w:rPr>
          <w:rFonts w:ascii="宋体" w:hAnsi="宋体" w:eastAsia="楷体_GB2312" w:cs="楷体_GB2312"/>
          <w:sz w:val="32"/>
          <w:szCs w:val="32"/>
        </w:rPr>
        <w:fldChar w:fldCharType="separate"/>
      </w:r>
      <w:r>
        <w:rPr>
          <w:rFonts w:ascii="宋体" w:hAnsi="宋体" w:eastAsia="楷体_GB2312" w:cs="楷体_GB2312"/>
          <w:sz w:val="32"/>
          <w:szCs w:val="32"/>
        </w:rPr>
        <w:t>43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"_Toc23046" </w:instrText>
      </w:r>
      <w:r>
        <w:fldChar w:fldCharType="separate"/>
      </w:r>
      <w:r>
        <w:rPr>
          <w:rFonts w:hint="eastAsia" w:ascii="宋体" w:hAnsi="宋体" w:eastAsia="楷体_GB2312" w:cs="楷体_GB2312"/>
          <w:sz w:val="32"/>
          <w:szCs w:val="32"/>
        </w:rPr>
        <w:t>四、推进规划落实，强化审核管理</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_Toc23046 </w:instrText>
      </w:r>
      <w:r>
        <w:rPr>
          <w:rFonts w:ascii="宋体" w:hAnsi="宋体" w:eastAsia="楷体_GB2312" w:cs="楷体_GB2312"/>
          <w:sz w:val="32"/>
          <w:szCs w:val="32"/>
        </w:rPr>
        <w:fldChar w:fldCharType="separate"/>
      </w:r>
      <w:r>
        <w:rPr>
          <w:rFonts w:ascii="宋体" w:hAnsi="宋体" w:eastAsia="楷体_GB2312" w:cs="楷体_GB2312"/>
          <w:sz w:val="32"/>
          <w:szCs w:val="32"/>
        </w:rPr>
        <w:t>44</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"_Toc2523" </w:instrText>
      </w:r>
      <w:r>
        <w:fldChar w:fldCharType="separate"/>
      </w:r>
      <w:r>
        <w:rPr>
          <w:rFonts w:hint="eastAsia" w:ascii="宋体" w:hAnsi="宋体" w:eastAsia="黑体" w:cs="黑体"/>
          <w:b w:val="0"/>
          <w:bCs/>
          <w:sz w:val="32"/>
          <w:szCs w:val="32"/>
        </w:rPr>
        <w:t>第十三章</w:t>
      </w:r>
      <w:r>
        <w:rPr>
          <w:rFonts w:ascii="宋体" w:hAnsi="宋体" w:eastAsia="黑体" w:cs="黑体"/>
          <w:b w:val="0"/>
          <w:bCs/>
          <w:sz w:val="32"/>
          <w:szCs w:val="32"/>
        </w:rPr>
        <w:t xml:space="preserve"> </w:t>
      </w:r>
      <w:r>
        <w:rPr>
          <w:rFonts w:hint="eastAsia" w:ascii="宋体" w:hAnsi="宋体" w:eastAsia="黑体" w:cs="黑体"/>
          <w:b w:val="0"/>
          <w:bCs/>
          <w:sz w:val="32"/>
          <w:szCs w:val="32"/>
        </w:rPr>
        <w:t>规划指标及要求</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_Toc2523 </w:instrText>
      </w:r>
      <w:r>
        <w:rPr>
          <w:rFonts w:ascii="宋体" w:hAnsi="宋体" w:eastAsia="黑体" w:cs="黑体"/>
          <w:b w:val="0"/>
          <w:bCs/>
          <w:sz w:val="32"/>
          <w:szCs w:val="32"/>
        </w:rPr>
        <w:fldChar w:fldCharType="separate"/>
      </w:r>
      <w:r>
        <w:rPr>
          <w:rFonts w:ascii="宋体" w:hAnsi="宋体" w:eastAsia="黑体" w:cs="黑体"/>
          <w:b w:val="0"/>
          <w:bCs/>
          <w:sz w:val="32"/>
          <w:szCs w:val="32"/>
        </w:rPr>
        <w:t>45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"_Toc5568" </w:instrText>
      </w:r>
      <w:r>
        <w:fldChar w:fldCharType="separate"/>
      </w:r>
      <w:r>
        <w:rPr>
          <w:rFonts w:hint="eastAsia" w:ascii="宋体" w:hAnsi="宋体" w:eastAsia="楷体_GB2312" w:cs="楷体_GB2312"/>
          <w:sz w:val="32"/>
          <w:szCs w:val="32"/>
        </w:rPr>
        <w:t>一、功能照明分区及控制指标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_Toc5568 </w:instrText>
      </w:r>
      <w:r>
        <w:rPr>
          <w:rFonts w:ascii="宋体" w:hAnsi="宋体" w:eastAsia="楷体_GB2312" w:cs="楷体_GB2312"/>
          <w:sz w:val="32"/>
          <w:szCs w:val="32"/>
        </w:rPr>
        <w:fldChar w:fldCharType="separate"/>
      </w:r>
      <w:r>
        <w:rPr>
          <w:rFonts w:ascii="宋体" w:hAnsi="宋体" w:eastAsia="楷体_GB2312" w:cs="楷体_GB2312"/>
          <w:sz w:val="32"/>
          <w:szCs w:val="32"/>
        </w:rPr>
        <w:t>45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"_Toc22993" </w:instrText>
      </w:r>
      <w:r>
        <w:fldChar w:fldCharType="separate"/>
      </w:r>
      <w:r>
        <w:rPr>
          <w:rFonts w:hint="eastAsia" w:ascii="宋体" w:hAnsi="宋体" w:eastAsia="楷体_GB2312" w:cs="楷体_GB2312"/>
          <w:sz w:val="32"/>
          <w:szCs w:val="32"/>
        </w:rPr>
        <w:t>二、景观照明控制指标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_Toc22993 </w:instrText>
      </w:r>
      <w:r>
        <w:rPr>
          <w:rFonts w:ascii="宋体" w:hAnsi="宋体" w:eastAsia="楷体_GB2312" w:cs="楷体_GB2312"/>
          <w:sz w:val="32"/>
          <w:szCs w:val="32"/>
        </w:rPr>
        <w:fldChar w:fldCharType="separate"/>
      </w:r>
      <w:r>
        <w:rPr>
          <w:rFonts w:ascii="宋体" w:hAnsi="宋体" w:eastAsia="楷体_GB2312" w:cs="楷体_GB2312"/>
          <w:sz w:val="32"/>
          <w:szCs w:val="32"/>
        </w:rPr>
        <w:t>53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"_Toc26768" </w:instrText>
      </w:r>
      <w:r>
        <w:fldChar w:fldCharType="separate"/>
      </w:r>
      <w:r>
        <w:rPr>
          <w:rFonts w:hint="eastAsia" w:ascii="宋体" w:hAnsi="宋体" w:eastAsia="楷体_GB2312" w:cs="楷体_GB2312"/>
          <w:sz w:val="32"/>
          <w:szCs w:val="32"/>
        </w:rPr>
        <w:t>三、开放空间照明控制指引</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_Toc26768 </w:instrText>
      </w:r>
      <w:r>
        <w:rPr>
          <w:rFonts w:ascii="宋体" w:hAnsi="宋体" w:eastAsia="楷体_GB2312" w:cs="楷体_GB2312"/>
          <w:sz w:val="32"/>
          <w:szCs w:val="32"/>
        </w:rPr>
        <w:fldChar w:fldCharType="separate"/>
      </w:r>
      <w:r>
        <w:rPr>
          <w:rFonts w:ascii="宋体" w:hAnsi="宋体" w:eastAsia="楷体_GB2312" w:cs="楷体_GB2312"/>
          <w:sz w:val="32"/>
          <w:szCs w:val="32"/>
        </w:rPr>
        <w:t>70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"_Toc2512" </w:instrText>
      </w:r>
      <w:r>
        <w:fldChar w:fldCharType="separate"/>
      </w:r>
      <w:r>
        <w:rPr>
          <w:rFonts w:hint="eastAsia" w:ascii="宋体" w:hAnsi="宋体" w:eastAsia="楷体_GB2312" w:cs="楷体_GB2312"/>
          <w:sz w:val="32"/>
          <w:szCs w:val="32"/>
        </w:rPr>
        <w:t>四、广告标识亮度指标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_Toc2512 </w:instrText>
      </w:r>
      <w:r>
        <w:rPr>
          <w:rFonts w:ascii="宋体" w:hAnsi="宋体" w:eastAsia="楷体_GB2312" w:cs="楷体_GB2312"/>
          <w:sz w:val="32"/>
          <w:szCs w:val="32"/>
        </w:rPr>
        <w:fldChar w:fldCharType="separate"/>
      </w:r>
      <w:r>
        <w:rPr>
          <w:rFonts w:ascii="宋体" w:hAnsi="宋体" w:eastAsia="楷体_GB2312" w:cs="楷体_GB2312"/>
          <w:sz w:val="32"/>
          <w:szCs w:val="32"/>
        </w:rPr>
        <w:t>70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"_Toc12857" </w:instrText>
      </w:r>
      <w:r>
        <w:fldChar w:fldCharType="separate"/>
      </w:r>
      <w:r>
        <w:rPr>
          <w:rFonts w:hint="eastAsia" w:ascii="宋体" w:hAnsi="宋体" w:eastAsia="楷体_GB2312" w:cs="楷体_GB2312"/>
          <w:sz w:val="32"/>
          <w:szCs w:val="32"/>
        </w:rPr>
        <w:t>五、“暗天空”保护控制指标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_Toc12857 </w:instrText>
      </w:r>
      <w:r>
        <w:rPr>
          <w:rFonts w:ascii="宋体" w:hAnsi="宋体" w:eastAsia="楷体_GB2312" w:cs="楷体_GB2312"/>
          <w:sz w:val="32"/>
          <w:szCs w:val="32"/>
        </w:rPr>
        <w:fldChar w:fldCharType="separate"/>
      </w:r>
      <w:r>
        <w:rPr>
          <w:rFonts w:ascii="宋体" w:hAnsi="宋体" w:eastAsia="楷体_GB2312" w:cs="楷体_GB2312"/>
          <w:sz w:val="32"/>
          <w:szCs w:val="32"/>
        </w:rPr>
        <w:t>71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75"/>
        <w:tabs>
          <w:tab w:val="right" w:leader="dot" w:pos="8845"/>
        </w:tabs>
        <w:spacing w:line="560" w:lineRule="exact"/>
        <w:ind w:left="420"/>
        <w:rPr>
          <w:rFonts w:ascii="宋体" w:hAnsi="宋体"/>
          <w:sz w:val="32"/>
          <w:szCs w:val="32"/>
        </w:rPr>
      </w:pPr>
      <w:r>
        <w:fldChar w:fldCharType="begin"/>
      </w:r>
      <w:r>
        <w:instrText xml:space="preserve"> HYPERLINK \l "_Toc1235" </w:instrText>
      </w:r>
      <w:r>
        <w:fldChar w:fldCharType="separate"/>
      </w:r>
      <w:r>
        <w:rPr>
          <w:rFonts w:hint="eastAsia" w:ascii="宋体" w:hAnsi="宋体" w:eastAsia="楷体_GB2312" w:cs="楷体_GB2312"/>
          <w:sz w:val="32"/>
          <w:szCs w:val="32"/>
        </w:rPr>
        <w:t>六、光污染防治控制指标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_Toc1235 </w:instrText>
      </w:r>
      <w:r>
        <w:rPr>
          <w:rFonts w:ascii="宋体" w:hAnsi="宋体" w:eastAsia="楷体_GB2312" w:cs="楷体_GB2312"/>
          <w:sz w:val="32"/>
          <w:szCs w:val="32"/>
        </w:rPr>
        <w:fldChar w:fldCharType="separate"/>
      </w:r>
      <w:r>
        <w:rPr>
          <w:rFonts w:ascii="宋体" w:hAnsi="宋体" w:eastAsia="楷体_GB2312" w:cs="楷体_GB2312"/>
          <w:sz w:val="32"/>
          <w:szCs w:val="32"/>
        </w:rPr>
        <w:t>72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pPr>
        <w:pStyle w:val="5"/>
        <w:keepNext w:val="0"/>
        <w:keepLines w:val="0"/>
        <w:pageBreakBefore w:val="0"/>
        <w:widowControl w:val="0"/>
        <w:numPr>
          <w:ilvl w:val="0"/>
          <w:numId w:val="0"/>
        </w:numPr>
        <w:rPr>
          <w:rFonts w:ascii="宋体" w:hAnsi="宋体" w:eastAsia="方正小标宋简体" w:cs="方正小标宋简体"/>
          <w:b w:val="0"/>
          <w:bCs w:val="0"/>
        </w:rPr>
      </w:pPr>
      <w:r>
        <w:rPr>
          <w:rFonts w:ascii="宋体" w:hAnsi="宋体"/>
        </w:rPr>
        <w:fldChar w:fldCharType="end"/>
      </w:r>
      <w:bookmarkEnd w:id="0"/>
      <w:bookmarkEnd w:id="43"/>
      <w:bookmarkEnd w:id="44"/>
      <w:bookmarkEnd w:id="45"/>
      <w:bookmarkEnd w:id="46"/>
      <w:bookmarkEnd w:id="47"/>
      <w:bookmarkStart w:id="48" w:name="_Toc88117746"/>
      <w:bookmarkStart w:id="49" w:name="_Toc22334"/>
      <w:bookmarkStart w:id="50" w:name="_Toc7873"/>
      <w:bookmarkStart w:id="51" w:name="_Toc3250"/>
      <w:bookmarkStart w:id="52" w:name="_Toc88656212"/>
      <w:bookmarkStart w:id="53" w:name="_Toc26872"/>
      <w:r>
        <w:rPr>
          <w:rFonts w:hint="eastAsia" w:ascii="宋体" w:hAnsi="宋体" w:eastAsia="方正小标宋简体" w:cs="方正小标宋简体"/>
          <w:b w:val="0"/>
          <w:bCs w:val="0"/>
        </w:rPr>
        <w:br w:type="page"/>
      </w:r>
    </w:p>
    <w:p>
      <w:pPr>
        <w:pStyle w:val="5"/>
        <w:keepNext w:val="0"/>
        <w:keepLines w:val="0"/>
        <w:widowControl w:val="0"/>
        <w:numPr>
          <w:ilvl w:val="0"/>
          <w:numId w:val="0"/>
        </w:numPr>
        <w:rPr>
          <w:rFonts w:ascii="宋体" w:hAnsi="宋体" w:eastAsia="方正小标宋简体" w:cs="方正小标宋简体"/>
          <w:b w:val="0"/>
          <w:bCs w:val="0"/>
        </w:rPr>
      </w:pPr>
      <w:r>
        <w:rPr>
          <w:rFonts w:hint="eastAsia" w:ascii="宋体" w:hAnsi="宋体" w:eastAsia="方正小标宋简体" w:cs="方正小标宋简体"/>
          <w:b w:val="0"/>
          <w:bCs w:val="0"/>
        </w:rPr>
        <w:t>序  言</w:t>
      </w:r>
      <w:bookmarkEnd w:id="48"/>
      <w:bookmarkEnd w:id="49"/>
      <w:bookmarkEnd w:id="50"/>
      <w:bookmarkEnd w:id="51"/>
      <w:bookmarkEnd w:id="52"/>
      <w:bookmarkEnd w:id="53"/>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十四五”时期是我国开启全面建设社会主义现代化国家新征程的第一个五年，也是北京市建设国际一流和谐宜居之都的关键期。北京市“十四五”时期城市照明发展规划，需适应经济发展新常态和疫情防控新形势，严格落实《北京城市总体规划（2016年—2035年）》《首都功能核心区控制性详细规划（街区层面）（2018年—2035年）》《北京城市副中心控制性详细规划（街区层面）（2016年—2035年）》《北京市国民经济和社会发展第十四个五年规划和二</w:t>
      </w:r>
      <w:r>
        <w:rPr>
          <w:rFonts w:hint="eastAsia" w:ascii="宋体" w:hAnsi="宋体" w:eastAsia="仿宋_GB2312" w:cs="微软雅黑"/>
          <w:sz w:val="32"/>
        </w:rPr>
        <w:t>〇</w:t>
      </w:r>
      <w:r>
        <w:rPr>
          <w:rFonts w:hint="eastAsia" w:ascii="宋体" w:hAnsi="宋体" w:eastAsia="仿宋_GB2312" w:cs="仿宋_GB2312"/>
          <w:sz w:val="32"/>
        </w:rPr>
        <w:t>三五年远景目标纲要》</w:t>
      </w:r>
      <w:r>
        <w:rPr>
          <w:rFonts w:hint="eastAsia" w:ascii="宋体" w:hAnsi="宋体" w:eastAsia="仿宋_GB2312"/>
          <w:spacing w:val="-6"/>
          <w:sz w:val="32"/>
        </w:rPr>
        <w:t>《北京市“十四五”时期城市管理发展规划》</w:t>
      </w:r>
      <w:r>
        <w:rPr>
          <w:rFonts w:hint="eastAsia" w:ascii="宋体" w:hAnsi="宋体" w:eastAsia="仿宋_GB2312"/>
          <w:sz w:val="32"/>
        </w:rPr>
        <w:t>的要求，贯彻五大发展理念，从城市发展角度出发，进一步提升首都夜间环境品质，聚焦人民群众获得感、幸福感和安全感，利用科技创新技术，实现城市照明管理工作更高质量的发展。</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本规划分析了“十三五”时期的发展成就、存在问题和面临的形势，提出“十四五”时期发展目标、规划指标、重点任务以及重大项目安排；本规划与《北京市城市景观照明设计导则》配套使用，引领全市城市照明管理工作开展，为各区城市照明管理工作提供指导性依据。各区应在本规划基础上，进一步积极开展分区规划编制，落实规划建设要求。</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本规划实施期限为2021—2025年。</w:t>
      </w:r>
    </w:p>
    <w:p>
      <w:pPr>
        <w:widowControl/>
        <w:jc w:val="left"/>
        <w:rPr>
          <w:rStyle w:val="194"/>
          <w:rFonts w:ascii="宋体" w:hAnsi="宋体" w:eastAsia="方正小标宋简体" w:cs="宋体"/>
          <w:kern w:val="44"/>
          <w:sz w:val="40"/>
          <w:szCs w:val="40"/>
        </w:rPr>
      </w:pPr>
      <w:r>
        <w:rPr>
          <w:rStyle w:val="194"/>
          <w:rFonts w:ascii="宋体" w:hAnsi="宋体" w:eastAsia="方正小标宋简体" w:cs="宋体"/>
          <w:sz w:val="40"/>
          <w:szCs w:val="40"/>
        </w:rPr>
        <w:br w:type="page"/>
      </w:r>
    </w:p>
    <w:p>
      <w:pPr>
        <w:pStyle w:val="5"/>
        <w:rPr>
          <w:rStyle w:val="194"/>
          <w:rFonts w:ascii="宋体" w:hAnsi="宋体" w:eastAsia="方正小标宋简体" w:cs="方正小标宋简体"/>
          <w:b w:val="0"/>
          <w:bCs w:val="0"/>
        </w:rPr>
      </w:pPr>
      <w:bookmarkStart w:id="54" w:name="_Toc17111"/>
      <w:bookmarkStart w:id="55" w:name="_Toc88117747"/>
      <w:bookmarkStart w:id="56" w:name="_Toc27721"/>
      <w:bookmarkStart w:id="57" w:name="_Toc12240"/>
      <w:bookmarkStart w:id="58" w:name="_Toc88656213"/>
      <w:bookmarkStart w:id="59" w:name="_Toc7312"/>
      <w:bookmarkStart w:id="60" w:name="_Toc20602"/>
      <w:r>
        <w:rPr>
          <w:rStyle w:val="194"/>
          <w:rFonts w:hint="eastAsia" w:ascii="宋体" w:hAnsi="宋体" w:eastAsia="方正小标宋简体" w:cs="方正小标宋简体"/>
          <w:b w:val="0"/>
          <w:bCs w:val="0"/>
        </w:rPr>
        <w:t>“十三五”时期发展回顾</w:t>
      </w:r>
      <w:bookmarkEnd w:id="54"/>
      <w:bookmarkEnd w:id="55"/>
      <w:bookmarkEnd w:id="56"/>
      <w:bookmarkEnd w:id="57"/>
      <w:bookmarkEnd w:id="58"/>
      <w:bookmarkEnd w:id="59"/>
      <w:bookmarkEnd w:id="60"/>
    </w:p>
    <w:p>
      <w:pPr>
        <w:pStyle w:val="6"/>
        <w:keepNext w:val="0"/>
        <w:keepLines w:val="0"/>
        <w:adjustRightInd w:val="0"/>
        <w:spacing w:before="0" w:beforeLines="0" w:after="0" w:afterLines="0"/>
        <w:ind w:firstLine="640" w:firstLineChars="200"/>
        <w:rPr>
          <w:rFonts w:ascii="宋体" w:hAnsi="宋体"/>
          <w:b w:val="0"/>
          <w:sz w:val="32"/>
        </w:rPr>
      </w:pPr>
      <w:bookmarkStart w:id="61" w:name="_Toc88656214"/>
      <w:bookmarkStart w:id="62" w:name="_Toc22932"/>
      <w:bookmarkStart w:id="63" w:name="_Toc6297"/>
      <w:bookmarkStart w:id="64" w:name="_Toc14427"/>
      <w:bookmarkStart w:id="65" w:name="_Toc88117748"/>
      <w:bookmarkStart w:id="66" w:name="_Toc845"/>
      <w:bookmarkStart w:id="67" w:name="_Toc16159"/>
      <w:r>
        <w:rPr>
          <w:rFonts w:hint="eastAsia" w:ascii="宋体" w:hAnsi="宋体" w:eastAsia="黑体" w:cs="黑体"/>
          <w:b w:val="0"/>
          <w:sz w:val="32"/>
        </w:rPr>
        <w:t>一、发展成就</w:t>
      </w:r>
      <w:bookmarkEnd w:id="61"/>
      <w:bookmarkEnd w:id="62"/>
      <w:bookmarkEnd w:id="63"/>
      <w:bookmarkEnd w:id="64"/>
      <w:bookmarkEnd w:id="65"/>
      <w:bookmarkEnd w:id="66"/>
      <w:bookmarkEnd w:id="67"/>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十三五”时期，在市委、市政府的领导下，城市照明管理工作坚持以人民为中心的发展思想，持续改善夜间人居光环境，服务市民夜间出行安全和首都重大活动保障，城市道路照明治理工作取得显著成效，城市照明管理系统性明显增强，顺利完成城市照明规划目标，为建设国际一流的和谐宜居之都作出了积极贡献。</w:t>
      </w:r>
    </w:p>
    <w:p>
      <w:pPr>
        <w:pStyle w:val="2"/>
        <w:spacing w:before="0" w:beforeLines="0" w:after="0" w:afterLines="0"/>
        <w:ind w:firstLine="640" w:firstLineChars="200"/>
        <w:rPr>
          <w:rFonts w:ascii="宋体" w:hAnsi="宋体" w:eastAsia="楷体_GB2312" w:cs="楷体_GB2312"/>
          <w:b w:val="0"/>
          <w:color w:val="auto"/>
        </w:rPr>
      </w:pPr>
      <w:bookmarkStart w:id="68" w:name="_Toc57217352"/>
      <w:bookmarkStart w:id="69" w:name="_Toc87050157"/>
      <w:bookmarkStart w:id="70" w:name="_Toc60666720"/>
      <w:bookmarkStart w:id="71" w:name="_Toc87269405"/>
      <w:bookmarkStart w:id="72" w:name="_Toc87454545"/>
      <w:bookmarkStart w:id="73" w:name="_Toc57375225"/>
      <w:bookmarkStart w:id="74" w:name="_Toc87270613"/>
      <w:bookmarkStart w:id="75" w:name="_Toc75499183"/>
      <w:bookmarkStart w:id="76" w:name="_Toc87265721"/>
      <w:bookmarkStart w:id="77" w:name="_Toc87052990"/>
      <w:bookmarkStart w:id="78" w:name="_Toc87455662"/>
      <w:bookmarkStart w:id="79" w:name="_Toc56591835"/>
      <w:bookmarkStart w:id="80" w:name="_Toc87462335"/>
      <w:bookmarkStart w:id="81" w:name="_Toc87261831"/>
      <w:bookmarkStart w:id="82" w:name="_Toc87269490"/>
      <w:bookmarkStart w:id="83" w:name="_Toc87053164"/>
      <w:bookmarkStart w:id="84" w:name="_Toc87269575"/>
      <w:r>
        <w:rPr>
          <w:rFonts w:hint="eastAsia" w:ascii="宋体" w:hAnsi="宋体" w:eastAsia="楷体_GB2312" w:cs="楷体_GB2312"/>
          <w:b w:val="0"/>
          <w:color w:val="auto"/>
        </w:rPr>
        <w:t>道路照明管理工作</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hint="eastAsia" w:ascii="宋体" w:hAnsi="宋体" w:eastAsia="楷体_GB2312" w:cs="楷体_GB2312"/>
          <w:b w:val="0"/>
          <w:color w:val="auto"/>
        </w:rPr>
        <w:t>稳步推进</w:t>
      </w:r>
    </w:p>
    <w:p>
      <w:pPr>
        <w:pStyle w:val="204"/>
        <w:adjustRightInd w:val="0"/>
        <w:spacing w:after="0" w:afterLines="0"/>
        <w:ind w:firstLine="640"/>
        <w:rPr>
          <w:rFonts w:ascii="宋体" w:hAnsi="宋体" w:eastAsia="仿宋_GB2312"/>
          <w:sz w:val="32"/>
        </w:rPr>
      </w:pPr>
      <w:bookmarkStart w:id="85" w:name="_Toc87265722"/>
      <w:bookmarkStart w:id="86" w:name="_Toc87261832"/>
      <w:bookmarkStart w:id="87" w:name="_Toc87269576"/>
      <w:bookmarkStart w:id="88" w:name="_Toc87454546"/>
      <w:bookmarkStart w:id="89" w:name="_Toc87270614"/>
      <w:bookmarkStart w:id="90" w:name="_Toc87455663"/>
      <w:r>
        <w:rPr>
          <w:rFonts w:hint="eastAsia" w:ascii="宋体" w:hAnsi="宋体" w:eastAsia="仿宋_GB2312"/>
          <w:sz w:val="32"/>
        </w:rPr>
        <w:t>1.“无灯路”专项治理工作取得显著成效</w:t>
      </w:r>
      <w:bookmarkEnd w:id="85"/>
      <w:bookmarkEnd w:id="86"/>
      <w:bookmarkEnd w:id="87"/>
      <w:bookmarkEnd w:id="88"/>
      <w:bookmarkEnd w:id="89"/>
      <w:bookmarkEnd w:id="90"/>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坚持人民至上，保障市民群众夜间出行安全。在全市范围内持续开展“无灯路”专项治理工作，克服资金短缺、疫情影响等各种困难，共新建路灯4.5万盏、总投资13.66亿元，有效解决困扰市民夜间出行的道路无照明问题，不断增强市民群众的获得感、幸福感和安全感。</w:t>
      </w:r>
    </w:p>
    <w:p>
      <w:pPr>
        <w:pStyle w:val="204"/>
        <w:adjustRightInd w:val="0"/>
        <w:spacing w:after="0" w:afterLines="0"/>
        <w:ind w:firstLine="640"/>
        <w:rPr>
          <w:rFonts w:ascii="宋体" w:hAnsi="宋体" w:eastAsia="仿宋_GB2312"/>
          <w:sz w:val="32"/>
        </w:rPr>
      </w:pPr>
      <w:bookmarkStart w:id="91" w:name="_Toc87269577"/>
      <w:bookmarkStart w:id="92" w:name="_Toc87265723"/>
      <w:bookmarkStart w:id="93" w:name="_Toc87454547"/>
      <w:bookmarkStart w:id="94" w:name="_Toc87455664"/>
      <w:bookmarkStart w:id="95" w:name="_Toc87261833"/>
      <w:bookmarkStart w:id="96" w:name="_Toc87270615"/>
      <w:r>
        <w:rPr>
          <w:rFonts w:hint="eastAsia" w:ascii="宋体" w:hAnsi="宋体" w:eastAsia="仿宋_GB2312"/>
          <w:sz w:val="32"/>
        </w:rPr>
        <w:t>2.道路照明设施管理工作逐步规范</w:t>
      </w:r>
      <w:bookmarkEnd w:id="91"/>
      <w:bookmarkEnd w:id="92"/>
      <w:bookmarkEnd w:id="93"/>
      <w:bookmarkEnd w:id="94"/>
      <w:bookmarkEnd w:id="95"/>
      <w:bookmarkEnd w:id="96"/>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市、区两级城市管理部门高度重视道路照明设施运维管理工作，充分发挥属地管理职责，及时处理市民反映的路灯破损、断亮问题，检修路灯、电缆、元器件、灯杆控制箱等故障设施，提高故障报修、处置解决的工作效率，切实提升了路灯运行维护水平。其中，长安街及其延长线等重要道路亮灯率达到99.5%，主干道亮灯率为98.5%。城市副中心完成72条道路3560余盏路灯建设，全面解决有路无灯问题。农村道路照明设施建设水平稳步提升，有效保障广大市民夜间安全出行。组织编制北京市地方标准《城市道路照明设施运行维护规范》，进一步规范各区道路照明设施维护标准，为城市道路照明设施安全平稳运行提供科学依据。</w:t>
      </w:r>
      <w:bookmarkStart w:id="97" w:name="_Toc87269578"/>
      <w:bookmarkStart w:id="98" w:name="_Toc87270616"/>
      <w:bookmarkStart w:id="99" w:name="_Toc87265724"/>
      <w:bookmarkStart w:id="100" w:name="_Toc87455665"/>
      <w:bookmarkStart w:id="101" w:name="_Toc87454548"/>
      <w:bookmarkStart w:id="102" w:name="_Toc87261834"/>
    </w:p>
    <w:p>
      <w:pPr>
        <w:pStyle w:val="204"/>
        <w:adjustRightInd w:val="0"/>
        <w:spacing w:after="0" w:afterLines="0"/>
        <w:ind w:firstLine="640"/>
        <w:rPr>
          <w:rFonts w:ascii="宋体" w:hAnsi="宋体" w:eastAsia="仿宋_GB2312"/>
          <w:sz w:val="32"/>
        </w:rPr>
      </w:pPr>
      <w:r>
        <w:rPr>
          <w:rFonts w:hint="eastAsia" w:ascii="宋体" w:hAnsi="宋体" w:eastAsia="仿宋_GB2312"/>
          <w:sz w:val="32"/>
        </w:rPr>
        <w:t>3.路灯架空线入地改造工程有序推进</w:t>
      </w:r>
      <w:bookmarkEnd w:id="97"/>
      <w:bookmarkEnd w:id="98"/>
      <w:bookmarkEnd w:id="99"/>
      <w:bookmarkEnd w:id="100"/>
      <w:bookmarkEnd w:id="101"/>
      <w:bookmarkEnd w:id="102"/>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围绕首都功能核心区等重点区域，实施完成454条道路243公里架空线入地改造。实施过程中，严格落实扬尘管控措施，铺设防尘毯、利用专业水炮车降尘，居民密集区减少机械作业，避免噪音扰民，提升净空环境。改造后的道路照度水平提高4倍，均达到国家标准要求。</w:t>
      </w:r>
    </w:p>
    <w:p>
      <w:pPr>
        <w:pStyle w:val="2"/>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景观照明体系更加完善</w:t>
      </w:r>
    </w:p>
    <w:p>
      <w:pPr>
        <w:pStyle w:val="204"/>
        <w:adjustRightInd w:val="0"/>
        <w:spacing w:after="0" w:afterLines="0"/>
        <w:ind w:firstLine="640"/>
        <w:rPr>
          <w:rFonts w:ascii="宋体" w:hAnsi="宋体" w:eastAsia="仿宋_GB2312"/>
          <w:sz w:val="32"/>
        </w:rPr>
      </w:pPr>
      <w:bookmarkStart w:id="103" w:name="_Toc87455667"/>
      <w:bookmarkStart w:id="104" w:name="_Toc87270618"/>
      <w:bookmarkStart w:id="105" w:name="_Toc87265726"/>
      <w:bookmarkStart w:id="106" w:name="_Toc87261836"/>
      <w:bookmarkStart w:id="107" w:name="_Toc87269580"/>
      <w:bookmarkStart w:id="108" w:name="_Toc87454550"/>
      <w:r>
        <w:rPr>
          <w:rFonts w:hint="eastAsia" w:ascii="宋体" w:hAnsi="宋体" w:eastAsia="仿宋_GB2312"/>
          <w:sz w:val="32"/>
        </w:rPr>
        <w:t>1.保障重大活动庆典夜景需求，塑造首都经典区域</w:t>
      </w:r>
      <w:bookmarkEnd w:id="103"/>
      <w:bookmarkEnd w:id="104"/>
      <w:bookmarkEnd w:id="105"/>
      <w:bookmarkEnd w:id="106"/>
      <w:bookmarkEnd w:id="107"/>
      <w:bookmarkEnd w:id="108"/>
    </w:p>
    <w:p>
      <w:pPr>
        <w:pStyle w:val="204"/>
        <w:adjustRightInd w:val="0"/>
        <w:spacing w:after="0" w:afterLines="0"/>
        <w:ind w:firstLine="640"/>
        <w:rPr>
          <w:rFonts w:ascii="宋体" w:hAnsi="宋体" w:eastAsia="仿宋_GB2312"/>
          <w:sz w:val="32"/>
        </w:rPr>
      </w:pPr>
      <w:r>
        <w:rPr>
          <w:rFonts w:hint="eastAsia" w:ascii="宋体" w:hAnsi="宋体" w:eastAsia="仿宋_GB2312"/>
          <w:sz w:val="32"/>
        </w:rPr>
        <w:t>高质量完成新中国成立70周年庆祝活动、第二届“一带一路”高峰论坛、亚洲文明对话大会、世园会等活动的景观照明保障工作，尤其是天安门、永定门城楼、金融街、望京核心区组团、奥运中心区“一塔一路”、三里屯第五立面、八达岭景区等多处节点上演的“我爱你中国”主题灯光秀，丰富市民观赏体验，形成夜游经典区域。</w:t>
      </w:r>
    </w:p>
    <w:p>
      <w:pPr>
        <w:autoSpaceDE w:val="0"/>
        <w:autoSpaceDN w:val="0"/>
        <w:adjustRightInd w:val="0"/>
        <w:jc w:val="center"/>
        <w:rPr>
          <w:rFonts w:ascii="宋体" w:hAnsi="宋体" w:eastAsia="仿宋_GB2312" w:cs="仿宋_GB2312"/>
          <w:kern w:val="0"/>
          <w:sz w:val="32"/>
          <w:szCs w:val="32"/>
        </w:rPr>
      </w:pPr>
      <w:r>
        <w:rPr>
          <w:rFonts w:ascii="宋体" w:hAnsi="宋体" w:eastAsia="仿宋_GB2312" w:cs="仿宋_GB2312"/>
          <w:kern w:val="0"/>
          <w:sz w:val="32"/>
          <w:szCs w:val="32"/>
        </w:rPr>
        <w:drawing>
          <wp:inline distT="0" distB="0" distL="0" distR="0">
            <wp:extent cx="5629275" cy="1042670"/>
            <wp:effectExtent l="0" t="0" r="0" b="5080"/>
            <wp:docPr id="31" name="Picture 4" descr="E:\人民大会堂\2P8A5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E:\人民大会堂\2P8A5117+2.jpg"/>
                    <pic:cNvPicPr>
                      <a:picLocks noChangeAspect="1" noChangeArrowheads="1"/>
                    </pic:cNvPicPr>
                  </pic:nvPicPr>
                  <pic:blipFill>
                    <a:blip r:embed="rId16" cstate="screen"/>
                    <a:srcRect t="8232" r="1663" b="14265"/>
                    <a:stretch>
                      <a:fillRect/>
                    </a:stretch>
                  </pic:blipFill>
                  <pic:spPr>
                    <a:xfrm>
                      <a:off x="0" y="0"/>
                      <a:ext cx="5692515" cy="1054755"/>
                    </a:xfrm>
                    <a:prstGeom prst="rect">
                      <a:avLst/>
                    </a:prstGeom>
                    <a:noFill/>
                  </pic:spPr>
                </pic:pic>
              </a:graphicData>
            </a:graphic>
          </wp:inline>
        </w:drawing>
      </w:r>
    </w:p>
    <w:p>
      <w:pPr>
        <w:autoSpaceDE w:val="0"/>
        <w:autoSpaceDN w:val="0"/>
        <w:adjustRightInd w:val="0"/>
        <w:jc w:val="center"/>
        <w:rPr>
          <w:rFonts w:ascii="宋体" w:hAnsi="宋体" w:eastAsia="仿宋_GB2312" w:cs="仿宋_GB2312"/>
          <w:kern w:val="0"/>
          <w:sz w:val="32"/>
          <w:szCs w:val="32"/>
        </w:rPr>
      </w:pPr>
      <w:r>
        <w:rPr>
          <w:rFonts w:ascii="宋体" w:hAnsi="宋体"/>
        </w:rPr>
        <w:drawing>
          <wp:inline distT="0" distB="0" distL="0" distR="0">
            <wp:extent cx="2762885" cy="1437005"/>
            <wp:effectExtent l="0" t="0" r="18415" b="10795"/>
            <wp:docPr id="7" name="图片 7" descr="水中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水中的建筑&#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2885" cy="1450394"/>
                    </a:xfrm>
                    <a:prstGeom prst="rect">
                      <a:avLst/>
                    </a:prstGeom>
                  </pic:spPr>
                </pic:pic>
              </a:graphicData>
            </a:graphic>
          </wp:inline>
        </w:drawing>
      </w:r>
      <w:r>
        <w:rPr>
          <w:rFonts w:ascii="宋体" w:hAnsi="宋体"/>
        </w:rPr>
        <w:t xml:space="preserve"> </w:t>
      </w:r>
      <w:r>
        <w:rPr>
          <w:rFonts w:ascii="宋体" w:hAnsi="宋体"/>
        </w:rPr>
        <w:drawing>
          <wp:inline distT="0" distB="0" distL="0" distR="0">
            <wp:extent cx="2469515" cy="1424940"/>
            <wp:effectExtent l="0" t="0" r="6985" b="3810"/>
            <wp:docPr id="8" name="图片 8" descr="湖边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湖边的建筑&#10;&#10;描述已自动生成"/>
                    <pic:cNvPicPr>
                      <a:picLocks noChangeAspect="1"/>
                    </pic:cNvPicPr>
                  </pic:nvPicPr>
                  <pic:blipFill>
                    <a:blip r:embed="rId18" cstate="print">
                      <a:extLst>
                        <a:ext uri="{28A0092B-C50C-407E-A947-70E740481C1C}">
                          <a14:useLocalDpi xmlns:a14="http://schemas.microsoft.com/office/drawing/2010/main" val="0"/>
                        </a:ext>
                      </a:extLst>
                    </a:blip>
                    <a:srcRect t="1008"/>
                    <a:stretch>
                      <a:fillRect/>
                    </a:stretch>
                  </pic:blipFill>
                  <pic:spPr>
                    <a:xfrm>
                      <a:off x="0" y="0"/>
                      <a:ext cx="2469515" cy="1445904"/>
                    </a:xfrm>
                    <a:prstGeom prst="rect">
                      <a:avLst/>
                    </a:prstGeom>
                    <a:ln>
                      <a:noFill/>
                    </a:ln>
                  </pic:spPr>
                </pic:pic>
              </a:graphicData>
            </a:graphic>
          </wp:inline>
        </w:drawing>
      </w:r>
    </w:p>
    <w:p>
      <w:pPr>
        <w:autoSpaceDE w:val="0"/>
        <w:autoSpaceDN w:val="0"/>
        <w:adjustRightInd w:val="0"/>
        <w:jc w:val="center"/>
        <w:rPr>
          <w:rFonts w:ascii="宋体" w:hAnsi="宋体" w:eastAsia="仿宋_GB2312" w:cs="仿宋_GB2312"/>
          <w:kern w:val="0"/>
          <w:sz w:val="32"/>
          <w:szCs w:val="32"/>
        </w:rPr>
      </w:pPr>
      <w:r>
        <w:rPr>
          <w:rFonts w:hint="eastAsia" w:ascii="宋体" w:hAnsi="宋体" w:eastAsia="仿宋_GB2312" w:cs="仿宋_GB2312"/>
          <w:kern w:val="0"/>
          <w:sz w:val="32"/>
          <w:szCs w:val="32"/>
        </w:rPr>
        <w:drawing>
          <wp:inline distT="0" distB="0" distL="0" distR="0">
            <wp:extent cx="2787650" cy="1465580"/>
            <wp:effectExtent l="0" t="0" r="1270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extLst>
                        <a:ext uri="{28A0092B-C50C-407E-A947-70E740481C1C}">
                          <a14:useLocalDpi xmlns:a14="http://schemas.microsoft.com/office/drawing/2010/main" val="0"/>
                        </a:ext>
                      </a:extLst>
                    </a:blip>
                    <a:srcRect b="32396"/>
                    <a:stretch>
                      <a:fillRect/>
                    </a:stretch>
                  </pic:blipFill>
                  <pic:spPr>
                    <a:xfrm>
                      <a:off x="0" y="0"/>
                      <a:ext cx="2787650" cy="1484364"/>
                    </a:xfrm>
                    <a:prstGeom prst="rect">
                      <a:avLst/>
                    </a:prstGeom>
                  </pic:spPr>
                </pic:pic>
              </a:graphicData>
            </a:graphic>
          </wp:inline>
        </w:drawing>
      </w:r>
      <w:r>
        <w:rPr>
          <w:rFonts w:ascii="宋体" w:hAnsi="宋体" w:eastAsia="仿宋_GB2312" w:cs="仿宋_GB2312"/>
          <w:kern w:val="0"/>
          <w:sz w:val="32"/>
          <w:szCs w:val="32"/>
        </w:rPr>
        <w:t xml:space="preserve"> </w:t>
      </w:r>
      <w:r>
        <w:rPr>
          <w:rFonts w:ascii="宋体" w:hAnsi="宋体" w:eastAsia="仿宋_GB2312" w:cs="仿宋_GB2312"/>
          <w:kern w:val="0"/>
          <w:sz w:val="32"/>
          <w:szCs w:val="32"/>
        </w:rPr>
        <w:drawing>
          <wp:inline distT="0" distB="0" distL="0" distR="0">
            <wp:extent cx="2442210" cy="1461770"/>
            <wp:effectExtent l="0" t="0" r="15240" b="5080"/>
            <wp:docPr id="50" name="Picture 38" descr="夜晚发光的建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8" descr="夜晚发光的建筑&#10;&#10;中度可信度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42210" cy="1476052"/>
                    </a:xfrm>
                    <a:prstGeom prst="rect">
                      <a:avLst/>
                    </a:prstGeom>
                    <a:noFill/>
                    <a:ln>
                      <a:noFill/>
                    </a:ln>
                  </pic:spPr>
                </pic:pic>
              </a:graphicData>
            </a:graphic>
          </wp:inline>
        </w:drawing>
      </w:r>
    </w:p>
    <w:p>
      <w:pPr>
        <w:autoSpaceDE w:val="0"/>
        <w:autoSpaceDN w:val="0"/>
        <w:adjustRightInd w:val="0"/>
        <w:jc w:val="center"/>
        <w:rPr>
          <w:rFonts w:ascii="宋体" w:hAnsi="宋体" w:eastAsia="仿宋_GB2312" w:cs="仿宋_GB2312"/>
          <w:kern w:val="0"/>
          <w:sz w:val="32"/>
          <w:szCs w:val="32"/>
        </w:rPr>
      </w:pPr>
      <w:r>
        <w:rPr>
          <w:rFonts w:ascii="宋体" w:hAnsi="宋体" w:eastAsia="仿宋_GB2312" w:cs="仿宋_GB2312"/>
          <w:kern w:val="0"/>
          <w:sz w:val="32"/>
          <w:szCs w:val="32"/>
        </w:rPr>
        <w:drawing>
          <wp:inline distT="0" distB="0" distL="0" distR="0">
            <wp:extent cx="2767330" cy="1704340"/>
            <wp:effectExtent l="0" t="0" r="13970" b="10160"/>
            <wp:docPr id="46" name="Picture 29" descr="夜晚的城市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夜晚的城市建筑&#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67330" cy="1704340"/>
                    </a:xfrm>
                    <a:prstGeom prst="rect">
                      <a:avLst/>
                    </a:prstGeom>
                    <a:noFill/>
                    <a:ln>
                      <a:noFill/>
                    </a:ln>
                  </pic:spPr>
                </pic:pic>
              </a:graphicData>
            </a:graphic>
          </wp:inline>
        </w:drawing>
      </w:r>
      <w:r>
        <w:rPr>
          <w:rFonts w:ascii="宋体" w:hAnsi="宋体" w:eastAsia="仿宋_GB2312" w:cs="仿宋_GB2312"/>
          <w:kern w:val="0"/>
          <w:sz w:val="32"/>
          <w:szCs w:val="32"/>
        </w:rPr>
        <w:t xml:space="preserve"> </w:t>
      </w:r>
      <w:r>
        <w:rPr>
          <w:rFonts w:ascii="宋体" w:hAnsi="宋体" w:eastAsia="仿宋_GB2312" w:cs="仿宋_GB2312"/>
          <w:kern w:val="0"/>
          <w:sz w:val="32"/>
          <w:szCs w:val="32"/>
        </w:rPr>
        <w:drawing>
          <wp:inline distT="0" distB="0" distL="0" distR="0">
            <wp:extent cx="2478405" cy="1717675"/>
            <wp:effectExtent l="0" t="0" r="17145" b="15875"/>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0"/>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a:xfrm>
                      <a:off x="0" y="0"/>
                      <a:ext cx="2478405" cy="1717675"/>
                    </a:xfrm>
                    <a:prstGeom prst="rect">
                      <a:avLst/>
                    </a:prstGeom>
                    <a:noFill/>
                    <a:ln>
                      <a:noFill/>
                    </a:ln>
                  </pic:spPr>
                </pic:pic>
              </a:graphicData>
            </a:graphic>
          </wp:inline>
        </w:drawing>
      </w:r>
    </w:p>
    <w:p>
      <w:pPr>
        <w:pStyle w:val="205"/>
        <w:spacing w:before="156" w:after="156"/>
        <w:rPr>
          <w:rFonts w:ascii="宋体" w:hAnsi="宋体"/>
          <w:bCs w:val="0"/>
          <w:sz w:val="24"/>
          <w:szCs w:val="24"/>
        </w:rPr>
      </w:pPr>
      <w:r>
        <w:rPr>
          <w:rFonts w:hint="eastAsia" w:ascii="宋体" w:hAnsi="宋体"/>
          <w:bCs w:val="0"/>
          <w:sz w:val="24"/>
          <w:szCs w:val="24"/>
        </w:rPr>
        <w:t>图</w:t>
      </w:r>
      <w:r>
        <w:rPr>
          <w:rFonts w:ascii="宋体" w:hAnsi="宋体"/>
          <w:bCs w:val="0"/>
          <w:sz w:val="24"/>
          <w:szCs w:val="24"/>
        </w:rPr>
        <w:t xml:space="preserve"> </w:t>
      </w:r>
      <w:r>
        <w:rPr>
          <w:rFonts w:hint="eastAsia" w:ascii="宋体" w:hAnsi="宋体"/>
          <w:bCs w:val="0"/>
          <w:sz w:val="24"/>
          <w:szCs w:val="24"/>
        </w:rPr>
        <w:t>“十三五”时期景观照明提升项目</w:t>
      </w:r>
    </w:p>
    <w:p>
      <w:pPr>
        <w:pStyle w:val="204"/>
        <w:adjustRightInd w:val="0"/>
        <w:spacing w:after="0" w:afterLines="0"/>
        <w:ind w:firstLine="640"/>
        <w:rPr>
          <w:rFonts w:ascii="宋体" w:hAnsi="宋体" w:eastAsia="仿宋_GB2312"/>
          <w:sz w:val="32"/>
        </w:rPr>
      </w:pPr>
      <w:bookmarkStart w:id="109" w:name="_Toc87455668"/>
      <w:bookmarkStart w:id="110" w:name="_Toc87270619"/>
      <w:bookmarkStart w:id="111" w:name="_Toc87261837"/>
      <w:bookmarkStart w:id="112" w:name="_Toc87269581"/>
      <w:bookmarkStart w:id="113" w:name="_Toc87265727"/>
      <w:bookmarkStart w:id="114" w:name="_Toc87454551"/>
      <w:r>
        <w:rPr>
          <w:rFonts w:hint="eastAsia" w:ascii="宋体" w:hAnsi="宋体" w:eastAsia="仿宋_GB2312"/>
          <w:sz w:val="32"/>
        </w:rPr>
        <w:t>2.景观照明格局体系基本形成</w:t>
      </w:r>
      <w:bookmarkEnd w:id="109"/>
      <w:bookmarkEnd w:id="110"/>
      <w:bookmarkEnd w:id="111"/>
      <w:bookmarkEnd w:id="112"/>
      <w:bookmarkEnd w:id="113"/>
      <w:bookmarkEnd w:id="114"/>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为更好地展现北京特色空间格局，在“十三五”城市照明规划指导下，稳步完善“两轴、三环、十六线、十九区、滨水界面”的景观照明体系。全市新建景观照明设施规模达到1.2万千瓦，总投资14.33亿元。历时3年的长安街（十里长街）沿线环境景观升级改造全面完成，使首都“庄严、沉稳、厚重、大气”的气质更加突出；补充完善二、三环立交桥和东二环景观照明，形成连续的观景界面；稳步开展城市副中心行政办公区景观照明建设，通过对长安街东延长线和广渠路的景观照明建设，构建通往城市副中心的照明廊道，强化区域联系性。完成运河沿岸（五河源头—甘棠）、新华大街沿线、通济路沿线（丁各庄桥—北运河桥）、通燕高速沿线（西马庄收费站—丁各庄收费站）等景观亮化提升工程，开启北运河大桥灯光秀，扮靓门户形象。此类项目成为承载历史文化、传播城市文明、凝聚当代精神、突出时代特征的景观照明精品。</w:t>
      </w:r>
    </w:p>
    <w:p>
      <w:pPr>
        <w:pStyle w:val="2"/>
        <w:spacing w:before="0" w:beforeLines="0" w:after="0" w:afterLines="0"/>
        <w:ind w:firstLine="640" w:firstLineChars="200"/>
        <w:rPr>
          <w:rFonts w:ascii="宋体" w:hAnsi="宋体" w:eastAsia="楷体_GB2312" w:cs="楷体_GB2312"/>
          <w:b w:val="0"/>
          <w:color w:val="auto"/>
        </w:rPr>
      </w:pPr>
      <w:bookmarkStart w:id="115" w:name="_Toc56591837"/>
      <w:bookmarkStart w:id="116" w:name="_Toc75499185"/>
      <w:bookmarkStart w:id="117" w:name="_Toc87050159"/>
      <w:bookmarkStart w:id="118" w:name="_Toc87053166"/>
      <w:bookmarkStart w:id="119" w:name="_Toc87270620"/>
      <w:bookmarkStart w:id="120" w:name="_Toc87261838"/>
      <w:bookmarkStart w:id="121" w:name="_Toc87269582"/>
      <w:bookmarkStart w:id="122" w:name="_Toc87265728"/>
      <w:bookmarkStart w:id="123" w:name="_Toc60666722"/>
      <w:bookmarkStart w:id="124" w:name="_Toc87052992"/>
      <w:bookmarkStart w:id="125" w:name="_Toc87269492"/>
      <w:bookmarkStart w:id="126" w:name="_Toc87462337"/>
      <w:bookmarkStart w:id="127" w:name="_Toc87455669"/>
      <w:bookmarkStart w:id="128" w:name="_Toc87454552"/>
      <w:bookmarkStart w:id="129" w:name="_Toc57217354"/>
      <w:bookmarkStart w:id="130" w:name="_Toc57375227"/>
      <w:bookmarkStart w:id="131" w:name="_Toc87269407"/>
      <w:r>
        <w:rPr>
          <w:rFonts w:hint="eastAsia" w:ascii="宋体" w:hAnsi="宋体" w:eastAsia="楷体_GB2312" w:cs="楷体_GB2312"/>
          <w:b w:val="0"/>
          <w:color w:val="auto"/>
        </w:rPr>
        <w:t>城市照明安全保障能力不断提升</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为确保照明设施安全、高效运营，对全市道路照明设施和景观照明设施进行安全隐患排查，消除100余条道路以及长安街沿线建国门、彩虹门、复兴门等多处景观照明设施的安全隐患，确保重大活动、节日庆典安全顺利举行。</w:t>
      </w:r>
    </w:p>
    <w:p>
      <w:pPr>
        <w:pStyle w:val="2"/>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城市照明科技创新能力逐步增强</w:t>
      </w:r>
    </w:p>
    <w:p>
      <w:pPr>
        <w:pStyle w:val="204"/>
        <w:adjustRightInd w:val="0"/>
        <w:spacing w:after="0" w:afterLines="0"/>
        <w:ind w:firstLine="640"/>
        <w:rPr>
          <w:rFonts w:ascii="宋体" w:hAnsi="宋体" w:eastAsia="仿宋_GB2312"/>
          <w:sz w:val="32"/>
        </w:rPr>
      </w:pPr>
      <w:bookmarkStart w:id="132" w:name="_Toc87454554"/>
      <w:bookmarkStart w:id="133" w:name="_Toc87261840"/>
      <w:bookmarkStart w:id="134" w:name="_Toc87265730"/>
      <w:bookmarkStart w:id="135" w:name="_Toc87269584"/>
      <w:bookmarkStart w:id="136" w:name="_Toc87455671"/>
      <w:bookmarkStart w:id="137" w:name="_Toc87270622"/>
      <w:r>
        <w:rPr>
          <w:rFonts w:hint="eastAsia" w:ascii="宋体" w:hAnsi="宋体" w:eastAsia="仿宋_GB2312"/>
          <w:sz w:val="32"/>
        </w:rPr>
        <w:t>1.积极探索“多功能路灯杆”的应用</w:t>
      </w:r>
      <w:bookmarkEnd w:id="132"/>
      <w:bookmarkEnd w:id="133"/>
      <w:bookmarkEnd w:id="134"/>
      <w:bookmarkEnd w:id="135"/>
      <w:bookmarkEnd w:id="136"/>
      <w:bookmarkEnd w:id="137"/>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积极探索“互联网+城市照明”服务新模式，推进首都智慧城市发展。2019年，完成雍和宫大街“多杆合一”试点工作，新建综合型路灯33基，整合原有交通信号灯、交通标志、治安监控等专业杆体200余个，显著提升街道空间的秩序感和景观品质。</w:t>
      </w:r>
    </w:p>
    <w:p>
      <w:pPr>
        <w:pStyle w:val="204"/>
        <w:adjustRightInd w:val="0"/>
        <w:spacing w:after="0" w:afterLines="0"/>
        <w:ind w:firstLine="640"/>
        <w:rPr>
          <w:rFonts w:ascii="宋体" w:hAnsi="宋体" w:eastAsia="仿宋_GB2312"/>
          <w:sz w:val="32"/>
        </w:rPr>
      </w:pPr>
      <w:bookmarkStart w:id="138" w:name="_Toc87265731"/>
      <w:bookmarkStart w:id="139" w:name="_Toc87269585"/>
      <w:bookmarkStart w:id="140" w:name="_Toc87455672"/>
      <w:bookmarkStart w:id="141" w:name="_Toc87261841"/>
      <w:bookmarkStart w:id="142" w:name="_Toc87270623"/>
      <w:bookmarkStart w:id="143" w:name="_Toc87454555"/>
      <w:r>
        <w:rPr>
          <w:rFonts w:hint="eastAsia" w:ascii="宋体" w:hAnsi="宋体" w:eastAsia="仿宋_GB2312"/>
          <w:sz w:val="32"/>
        </w:rPr>
        <w:t>2.照明节能工作稳步</w:t>
      </w:r>
      <w:bookmarkEnd w:id="138"/>
      <w:bookmarkEnd w:id="139"/>
      <w:bookmarkEnd w:id="140"/>
      <w:bookmarkEnd w:id="141"/>
      <w:bookmarkEnd w:id="142"/>
      <w:bookmarkEnd w:id="143"/>
      <w:r>
        <w:rPr>
          <w:rFonts w:hint="eastAsia" w:ascii="宋体" w:hAnsi="宋体" w:eastAsia="仿宋_GB2312"/>
          <w:sz w:val="32"/>
        </w:rPr>
        <w:t>推进</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按照开展绿色节能照明要求，新建项目均采用高质高效节能设施，包括钠灯更换为LED灯、节能等级9系列以下高损耗箱更换为节能等级13系列等。“十三五”时期与“十二五”时期末相比，城市照明节电率达到10.6%。</w:t>
      </w:r>
    </w:p>
    <w:p>
      <w:pPr>
        <w:pStyle w:val="204"/>
        <w:adjustRightInd w:val="0"/>
        <w:spacing w:after="0" w:afterLines="0"/>
        <w:ind w:firstLine="640"/>
        <w:rPr>
          <w:rFonts w:ascii="宋体" w:hAnsi="宋体" w:eastAsia="仿宋_GB2312"/>
          <w:sz w:val="32"/>
        </w:rPr>
      </w:pPr>
      <w:bookmarkStart w:id="144" w:name="_Toc87270624"/>
      <w:bookmarkStart w:id="145" w:name="_Toc87269586"/>
      <w:bookmarkStart w:id="146" w:name="_Toc87261842"/>
      <w:bookmarkStart w:id="147" w:name="_Toc87265732"/>
      <w:bookmarkStart w:id="148" w:name="_Toc87455673"/>
      <w:bookmarkStart w:id="149" w:name="_Toc87454556"/>
      <w:r>
        <w:rPr>
          <w:rFonts w:hint="eastAsia" w:ascii="宋体" w:hAnsi="宋体" w:eastAsia="仿宋_GB2312"/>
          <w:sz w:val="32"/>
        </w:rPr>
        <w:t>3.探索“虚拟现实”等新系统在城市照明管理中的运用</w:t>
      </w:r>
      <w:bookmarkEnd w:id="144"/>
      <w:bookmarkEnd w:id="145"/>
      <w:bookmarkEnd w:id="146"/>
      <w:bookmarkEnd w:id="147"/>
      <w:bookmarkEnd w:id="148"/>
      <w:bookmarkEnd w:id="149"/>
    </w:p>
    <w:p>
      <w:pPr>
        <w:pStyle w:val="204"/>
        <w:adjustRightInd w:val="0"/>
        <w:spacing w:after="0" w:afterLines="0"/>
        <w:ind w:firstLine="640"/>
        <w:rPr>
          <w:rFonts w:ascii="宋体" w:hAnsi="宋体"/>
        </w:rPr>
      </w:pPr>
      <w:r>
        <w:rPr>
          <w:rFonts w:hint="eastAsia" w:ascii="宋体" w:hAnsi="宋体" w:eastAsia="仿宋_GB2312"/>
          <w:sz w:val="32"/>
        </w:rPr>
        <w:t>在城市副中心搭建虚拟现实城市照明模拟系统，辅助城市照明建设管理工作，实时监督，提高了城市智慧管理能力和水平。</w:t>
      </w:r>
    </w:p>
    <w:p>
      <w:pPr>
        <w:pStyle w:val="2"/>
        <w:spacing w:before="0" w:beforeLines="0" w:after="0" w:afterLines="0"/>
        <w:ind w:firstLine="640" w:firstLineChars="200"/>
        <w:rPr>
          <w:rFonts w:ascii="宋体" w:hAnsi="宋体" w:eastAsia="楷体_GB2312" w:cs="楷体_GB2312"/>
          <w:b w:val="0"/>
          <w:color w:val="auto"/>
        </w:rPr>
      </w:pPr>
      <w:bookmarkStart w:id="150" w:name="_Toc87050161"/>
      <w:bookmarkStart w:id="151" w:name="_Toc87261843"/>
      <w:bookmarkStart w:id="152" w:name="_Toc75499187"/>
      <w:bookmarkStart w:id="153" w:name="_Toc87053168"/>
      <w:bookmarkStart w:id="154" w:name="_Toc87270625"/>
      <w:bookmarkStart w:id="155" w:name="_Toc87462339"/>
      <w:bookmarkStart w:id="156" w:name="_Toc87265733"/>
      <w:bookmarkStart w:id="157" w:name="_Toc87455674"/>
      <w:bookmarkStart w:id="158" w:name="_Toc57217356"/>
      <w:bookmarkStart w:id="159" w:name="_Toc57375229"/>
      <w:bookmarkStart w:id="160" w:name="_Toc87269587"/>
      <w:bookmarkStart w:id="161" w:name="_Toc87269494"/>
      <w:bookmarkStart w:id="162" w:name="_Toc87269409"/>
      <w:bookmarkStart w:id="163" w:name="_Toc56591839"/>
      <w:bookmarkStart w:id="164" w:name="_Toc87454557"/>
      <w:bookmarkStart w:id="165" w:name="_Toc60666724"/>
      <w:bookmarkStart w:id="166" w:name="_Toc87052994"/>
      <w:r>
        <w:rPr>
          <w:rFonts w:hint="eastAsia" w:ascii="宋体" w:hAnsi="宋体" w:eastAsia="楷体_GB2312" w:cs="楷体_GB2312"/>
          <w:b w:val="0"/>
          <w:color w:val="auto"/>
        </w:rPr>
        <w:t>城市照明运行管理水平不断提升</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建立健全覆盖全市的照明分区管控机制和规划指标体系，指导全市照明建设项目有序开展。认真落实城市照明领域接诉即办，建立“月报”制度，各区每月反馈接诉即办工作分析，汇总形成全市大数据，以此为支撑，推动构建高效的接诉即办工作体系，提升了本市城市照明运行管理水平。</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167" w:name="_Toc88656215"/>
      <w:bookmarkStart w:id="168" w:name="_Toc88117749"/>
      <w:bookmarkStart w:id="169" w:name="_Toc1560"/>
      <w:bookmarkStart w:id="170" w:name="_Toc8644"/>
      <w:bookmarkStart w:id="171" w:name="_Toc11774"/>
      <w:bookmarkStart w:id="172" w:name="_Toc12564"/>
      <w:bookmarkStart w:id="173" w:name="_Toc30174"/>
      <w:r>
        <w:rPr>
          <w:rFonts w:hint="eastAsia" w:ascii="宋体" w:hAnsi="宋体" w:eastAsia="黑体" w:cs="黑体"/>
          <w:b w:val="0"/>
          <w:sz w:val="32"/>
        </w:rPr>
        <w:t>二、主要问题</w:t>
      </w:r>
      <w:bookmarkEnd w:id="167"/>
      <w:bookmarkEnd w:id="168"/>
      <w:bookmarkEnd w:id="169"/>
      <w:bookmarkEnd w:id="170"/>
      <w:bookmarkEnd w:id="171"/>
      <w:bookmarkEnd w:id="172"/>
      <w:bookmarkEnd w:id="173"/>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“十三五”时期，城市照明管理工作取得了显著成效，但随着人民群众对美好生活的日益增长的需求向往，对城市照明工作提出了更高要求。</w:t>
      </w:r>
    </w:p>
    <w:p>
      <w:pPr>
        <w:pStyle w:val="2"/>
        <w:numPr>
          <w:ilvl w:val="0"/>
          <w:numId w:val="19"/>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“有路无灯、有灯不亮”等问题有待进一步解决</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12345市民服务热线、各类舆情等反映的路灯问题仍在增加。主要包含农村公共照明、城市照明、小区公共照明、公园和绿地照明等几大方面。城乡发展不均衡问题显著，“无灯路”问题尚未彻底解决；市民普遍关注的居住区周边道路、夜间公共场所等区域的照明设施有待完善。</w:t>
      </w:r>
    </w:p>
    <w:p>
      <w:pPr>
        <w:pStyle w:val="2"/>
        <w:numPr>
          <w:ilvl w:val="0"/>
          <w:numId w:val="19"/>
        </w:numPr>
        <w:spacing w:before="0" w:beforeLines="0" w:after="0" w:afterLines="0"/>
        <w:ind w:firstLine="640" w:firstLineChars="200"/>
        <w:rPr>
          <w:rFonts w:ascii="宋体" w:hAnsi="宋体" w:eastAsia="楷体_GB2312" w:cs="楷体_GB2312"/>
          <w:b w:val="0"/>
          <w:color w:val="auto"/>
        </w:rPr>
      </w:pPr>
      <w:bookmarkStart w:id="174" w:name="_Toc87462342"/>
      <w:bookmarkStart w:id="175" w:name="_Toc87269590"/>
      <w:bookmarkStart w:id="176" w:name="_Toc87050164"/>
      <w:bookmarkStart w:id="177" w:name="_Toc87269412"/>
      <w:bookmarkStart w:id="178" w:name="_Toc87270628"/>
      <w:bookmarkStart w:id="179" w:name="_Toc87052997"/>
      <w:bookmarkStart w:id="180" w:name="_Toc87269497"/>
      <w:bookmarkStart w:id="181" w:name="_Toc87265736"/>
      <w:bookmarkStart w:id="182" w:name="_Toc87053171"/>
      <w:bookmarkStart w:id="183" w:name="_Toc87455677"/>
      <w:bookmarkStart w:id="184" w:name="_Toc87454560"/>
      <w:bookmarkStart w:id="185" w:name="_Toc87261846"/>
      <w:bookmarkStart w:id="186" w:name="_Toc87050165"/>
      <w:bookmarkStart w:id="187" w:name="_Toc87270629"/>
      <w:bookmarkStart w:id="188" w:name="_Toc87269498"/>
      <w:bookmarkStart w:id="189" w:name="_Toc87269413"/>
      <w:bookmarkStart w:id="190" w:name="_Toc87265737"/>
      <w:bookmarkStart w:id="191" w:name="_Toc87052998"/>
      <w:bookmarkStart w:id="192" w:name="_Toc87269591"/>
      <w:bookmarkStart w:id="193" w:name="_Toc87462343"/>
      <w:bookmarkStart w:id="194" w:name="_Toc87454561"/>
      <w:bookmarkStart w:id="195" w:name="_Toc87053172"/>
      <w:bookmarkStart w:id="196" w:name="_Toc87455678"/>
      <w:bookmarkStart w:id="197" w:name="_Toc87261847"/>
      <w:r>
        <w:rPr>
          <w:rFonts w:hint="eastAsia" w:ascii="宋体" w:hAnsi="宋体" w:eastAsia="楷体_GB2312" w:cs="楷体_GB2312"/>
          <w:b w:val="0"/>
          <w:color w:val="auto"/>
        </w:rPr>
        <w:t>城市景观照明需进一步展现北京文化底蕴</w:t>
      </w:r>
      <w:bookmarkEnd w:id="174"/>
      <w:bookmarkEnd w:id="175"/>
      <w:bookmarkEnd w:id="176"/>
      <w:bookmarkEnd w:id="177"/>
      <w:bookmarkEnd w:id="178"/>
      <w:bookmarkEnd w:id="179"/>
      <w:bookmarkEnd w:id="180"/>
      <w:bookmarkEnd w:id="181"/>
      <w:bookmarkEnd w:id="182"/>
      <w:bookmarkEnd w:id="183"/>
      <w:bookmarkEnd w:id="184"/>
      <w:bookmarkEnd w:id="185"/>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十三五”时期，尚有部分景观照明区域未能建设完成，部分重点地区、重点街道的夜间文化氛围体现不足；景观照明建设需深入挖掘文化内涵、提升文化品位；对已建成的景观照明项目需进一步维护，确保其夜间照明品质。对未建项目，需从城镇发展特征、资源环境承载力、地方财力、人民群众意愿等多方面评估后，合理补充纳入“十四五”时期工作任务。</w:t>
      </w:r>
    </w:p>
    <w:p>
      <w:pPr>
        <w:pStyle w:val="2"/>
        <w:numPr>
          <w:ilvl w:val="0"/>
          <w:numId w:val="19"/>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科技创新有待进一步加强</w:t>
      </w:r>
      <w:bookmarkEnd w:id="186"/>
      <w:bookmarkEnd w:id="187"/>
      <w:bookmarkEnd w:id="188"/>
      <w:bookmarkEnd w:id="189"/>
      <w:bookmarkEnd w:id="190"/>
      <w:bookmarkEnd w:id="191"/>
      <w:bookmarkEnd w:id="192"/>
      <w:bookmarkEnd w:id="193"/>
      <w:bookmarkEnd w:id="194"/>
      <w:bookmarkEnd w:id="195"/>
      <w:bookmarkEnd w:id="196"/>
      <w:bookmarkEnd w:id="197"/>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科技创新意识仍需不断增强，城市照明管理的智能化水平有待进一步提升，需持续做好产品设备创新、管控平台创新、管理体系创新。</w:t>
      </w:r>
    </w:p>
    <w:p>
      <w:pPr>
        <w:pStyle w:val="2"/>
        <w:numPr>
          <w:ilvl w:val="0"/>
          <w:numId w:val="19"/>
        </w:numPr>
        <w:spacing w:before="0" w:beforeLines="0" w:after="0" w:afterLines="0"/>
        <w:ind w:firstLine="640" w:firstLineChars="200"/>
        <w:rPr>
          <w:rFonts w:ascii="宋体" w:hAnsi="宋体" w:eastAsia="楷体_GB2312" w:cs="楷体_GB2312"/>
          <w:b w:val="0"/>
          <w:color w:val="auto"/>
        </w:rPr>
      </w:pPr>
      <w:bookmarkStart w:id="198" w:name="_Toc87454562"/>
      <w:bookmarkStart w:id="199" w:name="_Toc87270630"/>
      <w:bookmarkStart w:id="200" w:name="_Toc87053173"/>
      <w:bookmarkStart w:id="201" w:name="_Toc87261848"/>
      <w:bookmarkStart w:id="202" w:name="_Toc87265738"/>
      <w:bookmarkStart w:id="203" w:name="_Toc87455679"/>
      <w:bookmarkStart w:id="204" w:name="_Toc87269414"/>
      <w:bookmarkStart w:id="205" w:name="_Toc87462344"/>
      <w:bookmarkStart w:id="206" w:name="_Toc87050166"/>
      <w:bookmarkStart w:id="207" w:name="_Toc87052999"/>
      <w:bookmarkStart w:id="208" w:name="_Toc87269499"/>
      <w:bookmarkStart w:id="209" w:name="_Toc87269592"/>
      <w:r>
        <w:rPr>
          <w:rFonts w:hint="eastAsia" w:ascii="宋体" w:hAnsi="宋体" w:eastAsia="楷体_GB2312" w:cs="楷体_GB2312"/>
          <w:b w:val="0"/>
          <w:color w:val="auto"/>
        </w:rPr>
        <w:t>城市照明体制机制有待进一步完善</w:t>
      </w:r>
      <w:bookmarkEnd w:id="198"/>
      <w:bookmarkEnd w:id="199"/>
      <w:bookmarkEnd w:id="200"/>
      <w:bookmarkEnd w:id="201"/>
      <w:bookmarkEnd w:id="202"/>
      <w:bookmarkEnd w:id="203"/>
      <w:bookmarkEnd w:id="204"/>
      <w:bookmarkEnd w:id="205"/>
      <w:bookmarkEnd w:id="206"/>
      <w:bookmarkEnd w:id="207"/>
      <w:bookmarkEnd w:id="208"/>
      <w:bookmarkEnd w:id="209"/>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管理法规标准体系尚不完善，城市照明管理规章、景观照明和功能照明的运维标准均未出台，城市照明涉及单位较多，易造成职责模糊、有路无灯、有灯失管问题。照明设施规划、建设、管理三个环节缺乏有效衔接，没有形成完整链条，日常协调管理不够顺畅，一体化、制度化方面有待加强。运行机制亟待调整，市政道路范围外路灯建设运维监管缺失。</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10" w:name="_Toc88656216"/>
      <w:bookmarkStart w:id="211" w:name="_Toc4976"/>
      <w:bookmarkStart w:id="212" w:name="_Toc10917"/>
      <w:bookmarkStart w:id="213" w:name="_Toc9756"/>
      <w:bookmarkStart w:id="214" w:name="_Toc31199"/>
      <w:bookmarkStart w:id="215" w:name="_Toc32026"/>
      <w:r>
        <w:rPr>
          <w:rFonts w:hint="eastAsia" w:ascii="宋体" w:hAnsi="宋体" w:eastAsia="黑体" w:cs="黑体"/>
          <w:b w:val="0"/>
          <w:sz w:val="32"/>
        </w:rPr>
        <w:t>三、面临</w:t>
      </w:r>
      <w:bookmarkEnd w:id="210"/>
      <w:r>
        <w:rPr>
          <w:rFonts w:hint="eastAsia" w:ascii="宋体" w:hAnsi="宋体" w:eastAsia="黑体" w:cs="黑体"/>
          <w:b w:val="0"/>
          <w:sz w:val="32"/>
        </w:rPr>
        <w:t>形势</w:t>
      </w:r>
      <w:bookmarkEnd w:id="211"/>
      <w:bookmarkEnd w:id="212"/>
      <w:bookmarkEnd w:id="213"/>
      <w:bookmarkEnd w:id="214"/>
      <w:bookmarkEnd w:id="215"/>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十四五”时期，是我国全面建成小康社会、实现第一个百年奋斗目标之后，乘势而上开启全面建设社会主义现代化国家新征程、向第二个百年奋斗目标进军的第一个五年，也是建设国际一流的和谐宜居之都的关键期。</w:t>
      </w:r>
    </w:p>
    <w:p>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16" w:name="_Toc87053001"/>
      <w:bookmarkStart w:id="217" w:name="_Toc87454564"/>
      <w:bookmarkStart w:id="218" w:name="_Toc87269594"/>
      <w:bookmarkStart w:id="219" w:name="_Toc87455681"/>
      <w:bookmarkStart w:id="220" w:name="_Toc87053175"/>
      <w:bookmarkStart w:id="221" w:name="_Toc87261850"/>
      <w:bookmarkStart w:id="222" w:name="_Toc87265740"/>
      <w:bookmarkStart w:id="223" w:name="_Toc87270632"/>
      <w:bookmarkStart w:id="224" w:name="_Toc87050168"/>
      <w:bookmarkStart w:id="225" w:name="_Toc87462346"/>
      <w:bookmarkStart w:id="226" w:name="_Toc87269416"/>
      <w:bookmarkStart w:id="227" w:name="_Toc87269501"/>
      <w:r>
        <w:rPr>
          <w:rFonts w:hint="eastAsia" w:ascii="宋体" w:hAnsi="宋体" w:eastAsia="楷体_GB2312" w:cs="楷体_GB2312"/>
          <w:b w:val="0"/>
          <w:color w:val="auto"/>
        </w:rPr>
        <w:t>新常态下的机遇与挑战</w:t>
      </w:r>
      <w:bookmarkEnd w:id="216"/>
      <w:bookmarkEnd w:id="217"/>
      <w:bookmarkEnd w:id="218"/>
      <w:bookmarkEnd w:id="219"/>
      <w:bookmarkEnd w:id="220"/>
      <w:bookmarkEnd w:id="221"/>
      <w:bookmarkEnd w:id="222"/>
      <w:bookmarkEnd w:id="223"/>
      <w:bookmarkEnd w:id="224"/>
      <w:bookmarkEnd w:id="225"/>
      <w:bookmarkEnd w:id="226"/>
      <w:bookmarkEnd w:id="227"/>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当今世界正经历百年未有之大变局，国际政治形势正在加速改变，我国的经济形势也迎来了新发展格局。习近平总书记多次指出：“我们要逐步形成以国内大循环为主体、国内国际双循环相互促进的新发展格局。”国务院办公厅《关于激发文化旅游消费潜力的意见》中，夜间消费已成为国家层面促进消费的重要方向之一。</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疫情防控常态化的形势下，广大市民夜间生活方式有了较大改变，夜间大型开放空间集中式观景转向社区周边分散式活动，夜间公共活动场所的安全性也成为城市照明建设的重要考量角度之一。城市照明建设需加强正向减量，在减量刚性约束下推动夜间环境高质量的发展。</w:t>
      </w:r>
    </w:p>
    <w:p>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28" w:name="_Toc87454565"/>
      <w:bookmarkStart w:id="229" w:name="_Toc87269595"/>
      <w:bookmarkStart w:id="230" w:name="_Toc87050169"/>
      <w:bookmarkStart w:id="231" w:name="_Toc87269502"/>
      <w:bookmarkStart w:id="232" w:name="_Toc87270633"/>
      <w:bookmarkStart w:id="233" w:name="_Toc87265741"/>
      <w:bookmarkStart w:id="234" w:name="_Toc87261851"/>
      <w:bookmarkStart w:id="235" w:name="_Toc87269417"/>
      <w:bookmarkStart w:id="236" w:name="_Toc87053002"/>
      <w:bookmarkStart w:id="237" w:name="_Toc87462347"/>
      <w:bookmarkStart w:id="238" w:name="_Toc87053176"/>
      <w:bookmarkStart w:id="239" w:name="_Toc87455682"/>
      <w:r>
        <w:rPr>
          <w:rFonts w:hint="eastAsia" w:ascii="宋体" w:hAnsi="宋体" w:eastAsia="楷体_GB2312" w:cs="楷体_GB2312"/>
          <w:b w:val="0"/>
          <w:color w:val="auto"/>
        </w:rPr>
        <w:t>贯彻落实上位规划等政策要求</w:t>
      </w:r>
      <w:bookmarkEnd w:id="228"/>
      <w:bookmarkEnd w:id="229"/>
      <w:bookmarkEnd w:id="230"/>
      <w:bookmarkEnd w:id="231"/>
      <w:bookmarkEnd w:id="232"/>
      <w:bookmarkEnd w:id="233"/>
      <w:bookmarkEnd w:id="234"/>
      <w:bookmarkEnd w:id="235"/>
      <w:bookmarkEnd w:id="236"/>
      <w:bookmarkEnd w:id="237"/>
      <w:bookmarkEnd w:id="238"/>
      <w:bookmarkEnd w:id="239"/>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工作应落实城市总体规划要求，着眼首都“四个中心”战略定位，全力做好“四个服务”，维护夜间安全，确保照明设施的平稳运行，以展示首都形象作为首要任务。配合首都功能核心区建设进程，补充完善城市基本功能设施，解决历史文化名城保护与夜景展示之间的矛盾。景观照明建设应围绕弘扬传统文化、提升夜间品质展开，纠正景观亮化工程“过度化”“政绩工程”“面子工程”等问题，建设符合市民意愿的夜间光环境。做好城市副中心夜间环境建设与塑造。</w:t>
      </w:r>
    </w:p>
    <w:p>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40" w:name="_Toc87454566"/>
      <w:bookmarkStart w:id="241" w:name="_Toc87265742"/>
      <w:bookmarkStart w:id="242" w:name="_Toc87269418"/>
      <w:bookmarkStart w:id="243" w:name="_Toc87269596"/>
      <w:bookmarkStart w:id="244" w:name="_Toc87269503"/>
      <w:bookmarkStart w:id="245" w:name="_Toc87053003"/>
      <w:bookmarkStart w:id="246" w:name="_Toc87270634"/>
      <w:bookmarkStart w:id="247" w:name="_Toc87455683"/>
      <w:bookmarkStart w:id="248" w:name="_Toc87050170"/>
      <w:bookmarkStart w:id="249" w:name="_Toc87053177"/>
      <w:bookmarkStart w:id="250" w:name="_Toc87462348"/>
      <w:bookmarkStart w:id="251" w:name="_Toc87261852"/>
      <w:r>
        <w:rPr>
          <w:rFonts w:hint="eastAsia" w:ascii="宋体" w:hAnsi="宋体" w:eastAsia="楷体_GB2312" w:cs="楷体_GB2312"/>
          <w:b w:val="0"/>
          <w:color w:val="auto"/>
        </w:rPr>
        <w:t>国事庆典活动对夜间氛围营造提出新</w:t>
      </w:r>
      <w:bookmarkEnd w:id="240"/>
      <w:bookmarkEnd w:id="241"/>
      <w:bookmarkEnd w:id="242"/>
      <w:bookmarkEnd w:id="243"/>
      <w:bookmarkEnd w:id="244"/>
      <w:bookmarkEnd w:id="245"/>
      <w:bookmarkEnd w:id="246"/>
      <w:bookmarkEnd w:id="247"/>
      <w:bookmarkEnd w:id="248"/>
      <w:bookmarkEnd w:id="249"/>
      <w:bookmarkEnd w:id="250"/>
      <w:bookmarkEnd w:id="251"/>
      <w:r>
        <w:rPr>
          <w:rFonts w:hint="eastAsia" w:ascii="宋体" w:hAnsi="宋体" w:eastAsia="楷体_GB2312" w:cs="楷体_GB2312"/>
          <w:b w:val="0"/>
          <w:color w:val="auto"/>
        </w:rPr>
        <w:t>要求</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首都北京举办国事庆典等活动已成为常态，2021年庆祝中国共产党成立100周年、2022年北京冬奥会和冬残奥会及召开党的二十大等一系列重大活动，使广大市民对夜间环境的营造、文化魅力的彰显等方面寄予了更高的期待。总结以往经验，规范国事活动、节日庆典活动的夜景照明要求，做好重大活动的服务保障工作。</w:t>
      </w:r>
    </w:p>
    <w:p>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52" w:name="_Toc87053004"/>
      <w:bookmarkStart w:id="253" w:name="_Toc87269504"/>
      <w:bookmarkStart w:id="254" w:name="_Toc87454567"/>
      <w:bookmarkStart w:id="255" w:name="_Toc87265743"/>
      <w:bookmarkStart w:id="256" w:name="_Toc87455684"/>
      <w:bookmarkStart w:id="257" w:name="_Toc87269419"/>
      <w:bookmarkStart w:id="258" w:name="_Toc87462349"/>
      <w:bookmarkStart w:id="259" w:name="_Toc87261853"/>
      <w:bookmarkStart w:id="260" w:name="_Toc87053178"/>
      <w:bookmarkStart w:id="261" w:name="_Toc87050171"/>
      <w:bookmarkStart w:id="262" w:name="_Toc87269597"/>
      <w:bookmarkStart w:id="263" w:name="_Toc87270635"/>
      <w:r>
        <w:rPr>
          <w:rFonts w:hint="eastAsia" w:ascii="宋体" w:hAnsi="宋体" w:eastAsia="楷体_GB2312" w:cs="楷体_GB2312"/>
          <w:b w:val="0"/>
          <w:color w:val="auto"/>
        </w:rPr>
        <w:t>人民日益增长的美好生活需求</w:t>
      </w:r>
      <w:bookmarkEnd w:id="252"/>
      <w:bookmarkEnd w:id="253"/>
      <w:bookmarkEnd w:id="254"/>
      <w:bookmarkEnd w:id="255"/>
      <w:bookmarkEnd w:id="256"/>
      <w:bookmarkEnd w:id="257"/>
      <w:bookmarkEnd w:id="258"/>
      <w:bookmarkEnd w:id="259"/>
      <w:bookmarkEnd w:id="260"/>
      <w:bookmarkEnd w:id="261"/>
      <w:bookmarkEnd w:id="262"/>
      <w:bookmarkEnd w:id="263"/>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人民群众对美好生活的要求不断提高，对夜间环境品质的文化内涵需求日益增强，12345市民服务热线中市民诉求有关“无灯路”“有灯不亮”等问题总量居高不下。</w:t>
      </w:r>
    </w:p>
    <w:p>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64" w:name="_Toc87053179"/>
      <w:bookmarkStart w:id="265" w:name="_Toc87269598"/>
      <w:bookmarkStart w:id="266" w:name="_Toc87462350"/>
      <w:bookmarkStart w:id="267" w:name="_Toc87270636"/>
      <w:bookmarkStart w:id="268" w:name="_Toc87269420"/>
      <w:bookmarkStart w:id="269" w:name="_Toc87269505"/>
      <w:bookmarkStart w:id="270" w:name="_Toc87261854"/>
      <w:bookmarkStart w:id="271" w:name="_Toc87265744"/>
      <w:bookmarkStart w:id="272" w:name="_Toc87050172"/>
      <w:bookmarkStart w:id="273" w:name="_Toc87455685"/>
      <w:bookmarkStart w:id="274" w:name="_Toc87053005"/>
      <w:bookmarkStart w:id="275" w:name="_Toc87454568"/>
      <w:r>
        <w:rPr>
          <w:rFonts w:hint="eastAsia" w:ascii="宋体" w:hAnsi="宋体" w:eastAsia="楷体_GB2312" w:cs="楷体_GB2312"/>
          <w:b w:val="0"/>
          <w:color w:val="auto"/>
        </w:rPr>
        <w:t>智慧城市建设的新形势、新要求</w:t>
      </w:r>
      <w:bookmarkEnd w:id="264"/>
      <w:bookmarkEnd w:id="265"/>
      <w:bookmarkEnd w:id="266"/>
      <w:bookmarkEnd w:id="267"/>
      <w:bookmarkEnd w:id="268"/>
      <w:bookmarkEnd w:id="269"/>
      <w:bookmarkEnd w:id="270"/>
      <w:bookmarkEnd w:id="271"/>
      <w:bookmarkEnd w:id="272"/>
      <w:bookmarkEnd w:id="273"/>
      <w:bookmarkEnd w:id="274"/>
      <w:bookmarkEnd w:id="275"/>
    </w:p>
    <w:p>
      <w:pPr>
        <w:pStyle w:val="204"/>
        <w:adjustRightInd w:val="0"/>
        <w:spacing w:after="0" w:afterLines="0"/>
        <w:ind w:firstLine="640"/>
        <w:rPr>
          <w:rFonts w:ascii="宋体" w:hAnsi="宋体" w:eastAsia="仿宋_GB2312"/>
          <w:sz w:val="32"/>
        </w:rPr>
      </w:pPr>
      <w:r>
        <w:rPr>
          <w:rFonts w:hint="eastAsia" w:ascii="宋体" w:hAnsi="宋体" w:eastAsia="仿宋_GB2312"/>
          <w:sz w:val="32"/>
        </w:rPr>
        <w:t>随着北京“智慧城市”建设进程的不断推进，5G信号逐步覆盖，夜间智慧出行已经成为民众期盼。将科技创新意识融入城市照明工作，积极配合“多杆合一”“多功能灯杆”的试点工作，加强信息系统实用化建设，为推动新时代首都发展、北京科技创新智慧建设起到示范带头作用。</w:t>
      </w:r>
    </w:p>
    <w:p>
      <w:pPr>
        <w:pStyle w:val="5"/>
        <w:rPr>
          <w:rStyle w:val="194"/>
          <w:rFonts w:ascii="宋体" w:hAnsi="宋体" w:eastAsia="方正小标宋简体" w:cs="方正小标宋简体"/>
          <w:b w:val="0"/>
          <w:bCs w:val="0"/>
        </w:rPr>
      </w:pPr>
      <w:bookmarkStart w:id="276" w:name="_Toc24741"/>
      <w:bookmarkStart w:id="277" w:name="_Toc26855"/>
      <w:bookmarkStart w:id="278" w:name="_Toc7226"/>
      <w:bookmarkStart w:id="279" w:name="_Toc88656217"/>
      <w:bookmarkStart w:id="280" w:name="_Toc30044"/>
      <w:bookmarkStart w:id="281" w:name="_Toc18608"/>
      <w:r>
        <w:rPr>
          <w:rStyle w:val="194"/>
          <w:rFonts w:hint="eastAsia" w:ascii="宋体" w:hAnsi="宋体" w:eastAsia="方正小标宋简体" w:cs="方正小标宋简体"/>
          <w:b w:val="0"/>
          <w:bCs w:val="0"/>
        </w:rPr>
        <w:t>指导思想和发展目标</w:t>
      </w:r>
      <w:bookmarkEnd w:id="276"/>
      <w:bookmarkEnd w:id="277"/>
      <w:bookmarkEnd w:id="278"/>
      <w:bookmarkEnd w:id="279"/>
      <w:bookmarkEnd w:id="280"/>
      <w:bookmarkEnd w:id="281"/>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82" w:name="_Toc88656218"/>
      <w:bookmarkStart w:id="283" w:name="_Toc25792"/>
      <w:bookmarkStart w:id="284" w:name="_Toc15889"/>
      <w:bookmarkStart w:id="285" w:name="_Toc24986"/>
      <w:bookmarkStart w:id="286" w:name="_Toc24450"/>
      <w:bookmarkStart w:id="287" w:name="_Toc21077"/>
      <w:r>
        <w:rPr>
          <w:rFonts w:hint="eastAsia" w:ascii="宋体" w:hAnsi="宋体" w:eastAsia="黑体" w:cs="黑体"/>
          <w:b w:val="0"/>
          <w:sz w:val="32"/>
        </w:rPr>
        <w:t>一、指导思想</w:t>
      </w:r>
      <w:bookmarkEnd w:id="282"/>
      <w:bookmarkEnd w:id="283"/>
      <w:bookmarkEnd w:id="284"/>
      <w:bookmarkEnd w:id="285"/>
      <w:bookmarkEnd w:id="286"/>
      <w:bookmarkEnd w:id="287"/>
    </w:p>
    <w:p>
      <w:pPr>
        <w:pStyle w:val="204"/>
        <w:adjustRightInd w:val="0"/>
        <w:spacing w:after="0" w:afterLines="0"/>
        <w:ind w:firstLine="640"/>
        <w:jc w:val="distribute"/>
        <w:rPr>
          <w:rFonts w:ascii="宋体" w:hAnsi="宋体" w:eastAsia="仿宋_GB2312"/>
          <w:sz w:val="32"/>
        </w:rPr>
      </w:pPr>
      <w:r>
        <w:rPr>
          <w:rFonts w:hint="eastAsia" w:ascii="宋体" w:hAnsi="宋体" w:eastAsia="仿宋_GB2312"/>
          <w:sz w:val="32"/>
        </w:rPr>
        <w:t>坚持以习近平新时代中国特色社会主义思想为指导，全面贯彻落实党的十九大和十九届历次全会精神，认真贯彻落实习近平总书记对北京一系列重要讲话精神，完整、准确、全面贯彻新发展理念，严格落实北京城市总体规划、第十四个五年规划和</w:t>
      </w:r>
    </w:p>
    <w:p>
      <w:pPr>
        <w:pStyle w:val="204"/>
        <w:adjustRightInd w:val="0"/>
        <w:spacing w:after="0" w:afterLines="0"/>
        <w:ind w:firstLine="0" w:firstLineChars="0"/>
        <w:rPr>
          <w:rFonts w:ascii="宋体" w:hAnsi="宋体" w:eastAsia="仿宋_GB2312"/>
          <w:sz w:val="32"/>
        </w:rPr>
      </w:pPr>
      <w:r>
        <w:rPr>
          <w:rFonts w:hint="eastAsia" w:ascii="宋体" w:hAnsi="宋体" w:eastAsia="仿宋_GB2312"/>
          <w:sz w:val="32"/>
        </w:rPr>
        <w:t>二〇三五年远景目标和“十四五”时期城市管理规划等要求，以满足人民日益增长的美好生活需求为目标，紧紧围绕“四个中心”的战略定位，处理好“都”与“城”的关系，遵循“安全、舒适、节能、环保”的理念，创新城市照明管理模式，科学引领城市照明发展，推动首都夜间环境高质量发展，为建设国际一流的和谐宜居之都提供城市照明保障。</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88" w:name="_Toc29085"/>
      <w:bookmarkStart w:id="289" w:name="_Toc27672"/>
      <w:bookmarkStart w:id="290" w:name="_Toc23873"/>
      <w:bookmarkStart w:id="291" w:name="_Toc25351"/>
      <w:bookmarkStart w:id="292" w:name="_Toc5289"/>
      <w:bookmarkStart w:id="293" w:name="_Toc88656219"/>
      <w:r>
        <w:rPr>
          <w:rFonts w:hint="eastAsia" w:ascii="宋体" w:hAnsi="宋体" w:eastAsia="黑体" w:cs="黑体"/>
          <w:b w:val="0"/>
          <w:sz w:val="32"/>
        </w:rPr>
        <w:t>二、基本原则</w:t>
      </w:r>
      <w:bookmarkEnd w:id="288"/>
      <w:bookmarkEnd w:id="289"/>
      <w:bookmarkEnd w:id="290"/>
      <w:bookmarkEnd w:id="291"/>
      <w:bookmarkEnd w:id="292"/>
      <w:bookmarkEnd w:id="293"/>
    </w:p>
    <w:p>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坚持党的全面领导。坚持和完善党领导经济社会发展的机制体制，不断贯彻新发展理念，为推动首都高质量发展提供基本保证。 </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坚持以人民为中心。坚持“人民城市为人民”理念，把落实人民群众需求作为城市照明工作的基本出发点，把市民满意度作为衡量城市照明管理工作的重要标尺，不断提升首都夜间光环境水平，增强人民群众的获得感、幸福感、安全感。</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坚持绿色发展理念。将绿色照明理念始终贯穿于城市照明管理工作中，保护生态环境，防治城市照明引发的光污染，综合考虑资源承载力，做人民所需的必要照明工作。</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坚持精细化管理。提高首都夜间光环境质量和水平应从细节出发，规范日常建设、管理、养护工作，提高接诉即办的响应能力，将精治、共治、法治思想贯彻始终。</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坚持科技创新理念。提升城市照明管理工作智能化水平，秉持科技创新的理念，推动首都“智慧城市”建设。</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94" w:name="_Toc20133"/>
      <w:bookmarkStart w:id="295" w:name="_Toc11167"/>
      <w:bookmarkStart w:id="296" w:name="_Toc88656220"/>
      <w:bookmarkStart w:id="297" w:name="_Toc28583"/>
      <w:bookmarkStart w:id="298" w:name="_Toc26747"/>
      <w:bookmarkStart w:id="299" w:name="_Toc9511"/>
      <w:r>
        <w:rPr>
          <w:rFonts w:hint="eastAsia" w:ascii="宋体" w:hAnsi="宋体" w:eastAsia="黑体" w:cs="黑体"/>
          <w:b w:val="0"/>
          <w:sz w:val="32"/>
        </w:rPr>
        <w:t>三、规划依据</w:t>
      </w:r>
      <w:bookmarkEnd w:id="294"/>
      <w:bookmarkEnd w:id="295"/>
      <w:bookmarkEnd w:id="296"/>
      <w:bookmarkEnd w:id="297"/>
      <w:bookmarkEnd w:id="298"/>
      <w:bookmarkEnd w:id="299"/>
    </w:p>
    <w:p>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00" w:name="_Toc87454573"/>
      <w:bookmarkStart w:id="301" w:name="_Toc87050177"/>
      <w:bookmarkStart w:id="302" w:name="_Toc87053010"/>
      <w:bookmarkStart w:id="303" w:name="_Toc87269603"/>
      <w:bookmarkStart w:id="304" w:name="_Toc87265749"/>
      <w:bookmarkStart w:id="305" w:name="_Toc87053184"/>
      <w:bookmarkStart w:id="306" w:name="_Toc87269425"/>
      <w:bookmarkStart w:id="307" w:name="_Toc87269510"/>
      <w:bookmarkStart w:id="308" w:name="_Toc87261859"/>
      <w:bookmarkStart w:id="309" w:name="_Toc87270641"/>
      <w:bookmarkStart w:id="310" w:name="_Toc87455690"/>
      <w:bookmarkStart w:id="311" w:name="_Toc87462355"/>
      <w:r>
        <w:rPr>
          <w:rFonts w:hint="eastAsia" w:ascii="宋体" w:hAnsi="宋体" w:eastAsia="楷体_GB2312" w:cs="楷体_GB2312"/>
          <w:b w:val="0"/>
          <w:color w:val="auto"/>
        </w:rPr>
        <w:t>国家政策</w:t>
      </w:r>
      <w:bookmarkEnd w:id="300"/>
      <w:bookmarkEnd w:id="301"/>
      <w:bookmarkEnd w:id="302"/>
      <w:bookmarkEnd w:id="303"/>
      <w:bookmarkEnd w:id="304"/>
      <w:bookmarkEnd w:id="305"/>
      <w:bookmarkEnd w:id="306"/>
      <w:bookmarkEnd w:id="307"/>
      <w:bookmarkEnd w:id="308"/>
      <w:bookmarkEnd w:id="309"/>
      <w:bookmarkEnd w:id="310"/>
      <w:bookmarkEnd w:id="311"/>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《中共中央关于制定国民经济和社会发展第十四个五年规划和二〇三五年远景目标的建议》</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国务院办公厅《关于激发文化旅游消费潜力的意见》</w:t>
      </w:r>
    </w:p>
    <w:p>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12" w:name="_Toc87455691"/>
      <w:bookmarkStart w:id="313" w:name="_Toc87053011"/>
      <w:bookmarkStart w:id="314" w:name="_Toc87270642"/>
      <w:bookmarkStart w:id="315" w:name="_Toc87261860"/>
      <w:bookmarkStart w:id="316" w:name="_Toc87265750"/>
      <w:bookmarkStart w:id="317" w:name="_Toc87454574"/>
      <w:bookmarkStart w:id="318" w:name="_Toc87050178"/>
      <w:bookmarkStart w:id="319" w:name="_Toc87053185"/>
      <w:bookmarkStart w:id="320" w:name="_Toc87269604"/>
      <w:bookmarkStart w:id="321" w:name="_Toc87462356"/>
      <w:bookmarkStart w:id="322" w:name="_Toc87269511"/>
      <w:bookmarkStart w:id="323" w:name="_Toc87269426"/>
      <w:r>
        <w:rPr>
          <w:rFonts w:hint="eastAsia" w:ascii="宋体" w:hAnsi="宋体" w:eastAsia="楷体_GB2312" w:cs="楷体_GB2312"/>
          <w:b w:val="0"/>
          <w:color w:val="auto"/>
        </w:rPr>
        <w:t>城市规划</w:t>
      </w:r>
      <w:bookmarkEnd w:id="312"/>
      <w:bookmarkEnd w:id="313"/>
      <w:bookmarkEnd w:id="314"/>
      <w:bookmarkEnd w:id="315"/>
      <w:bookmarkEnd w:id="316"/>
      <w:bookmarkEnd w:id="317"/>
      <w:bookmarkEnd w:id="318"/>
      <w:bookmarkEnd w:id="319"/>
      <w:bookmarkEnd w:id="320"/>
      <w:bookmarkEnd w:id="321"/>
      <w:bookmarkEnd w:id="322"/>
      <w:bookmarkEnd w:id="323"/>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《北京城市总体规划（2016年—2035年）》</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《北京市国民经济和社会发展第十四个五年规划和二〇三五年远景目标纲要》</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《北京市“十四五”时期城市管理发展规划》</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《首都功能核心区控制性详细规划（街区层面）（2018年—2035年）》</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《北京城市副中心控制性详细规划（街区层面）（2016年—2035年）》</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《北京城市副中心（通州区）国民经济和社会发展第十四个五年规划和二零三五年远景目标纲要》</w:t>
      </w:r>
    </w:p>
    <w:p>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24" w:name="_Toc87269427"/>
      <w:bookmarkStart w:id="325" w:name="_Toc87269512"/>
      <w:bookmarkStart w:id="326" w:name="_Toc87270643"/>
      <w:bookmarkStart w:id="327" w:name="_Toc87050179"/>
      <w:bookmarkStart w:id="328" w:name="_Toc87053012"/>
      <w:bookmarkStart w:id="329" w:name="_Toc87261861"/>
      <w:bookmarkStart w:id="330" w:name="_Toc87454575"/>
      <w:bookmarkStart w:id="331" w:name="_Toc87053186"/>
      <w:bookmarkStart w:id="332" w:name="_Toc87462357"/>
      <w:bookmarkStart w:id="333" w:name="_Toc87269605"/>
      <w:bookmarkStart w:id="334" w:name="_Toc87265751"/>
      <w:bookmarkStart w:id="335" w:name="_Toc87455692"/>
      <w:r>
        <w:rPr>
          <w:rFonts w:hint="eastAsia" w:ascii="宋体" w:hAnsi="宋体" w:eastAsia="楷体_GB2312" w:cs="楷体_GB2312"/>
          <w:b w:val="0"/>
          <w:color w:val="auto"/>
        </w:rPr>
        <w:t>相关规范</w:t>
      </w:r>
      <w:bookmarkEnd w:id="324"/>
      <w:bookmarkEnd w:id="325"/>
      <w:bookmarkEnd w:id="326"/>
      <w:bookmarkEnd w:id="327"/>
      <w:bookmarkEnd w:id="328"/>
      <w:bookmarkEnd w:id="329"/>
      <w:bookmarkEnd w:id="330"/>
      <w:bookmarkEnd w:id="331"/>
      <w:bookmarkEnd w:id="332"/>
      <w:bookmarkEnd w:id="333"/>
      <w:bookmarkEnd w:id="334"/>
      <w:bookmarkEnd w:id="335"/>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《建筑照明设计标准》（GB 50034—2013）</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《光环境评价方法》（GB/T12454—2017）</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《城市照明节能评价标准》（JGJ/T307—2013）</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《城市道路照明设计标准》（CJJ 45—2015）</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《室外作业场地照明设计标准》（GB50582）</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《公路照明技术条件》（GB</w:t>
      </w:r>
      <w:r>
        <w:rPr>
          <w:rFonts w:hint="eastAsia" w:ascii="宋体" w:hAnsi="宋体" w:eastAsia="仿宋_GB2312"/>
          <w:sz w:val="32"/>
        </w:rPr>
        <w:t xml:space="preserve"> </w:t>
      </w:r>
      <w:r>
        <w:rPr>
          <w:rFonts w:hint="eastAsia" w:ascii="宋体" w:hAnsi="宋体" w:eastAsia="仿宋_GB2312"/>
          <w:sz w:val="32"/>
          <w:lang w:eastAsia="zh-Hans"/>
        </w:rPr>
        <w:t>50582</w:t>
      </w:r>
      <w:r>
        <w:rPr>
          <w:rFonts w:hint="eastAsia" w:ascii="宋体" w:hAnsi="宋体" w:eastAsia="仿宋_GB2312"/>
          <w:sz w:val="32"/>
        </w:rPr>
        <w:t>—</w:t>
      </w:r>
      <w:r>
        <w:rPr>
          <w:rFonts w:hint="eastAsia" w:ascii="宋体" w:hAnsi="宋体" w:eastAsia="仿宋_GB2312"/>
          <w:sz w:val="32"/>
          <w:lang w:eastAsia="zh-Hans"/>
        </w:rPr>
        <w:t>2010）</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《城市照明建设规划标准》（CJJ/T307—2019）</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《城市景观照明技术规范》（DB11/388.1~8—2015）</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《城市夜景照明设计规范》（JGJ/T163—2008）</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《室外照明干扰光限制规范》（GB∕T 35626—2017）</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《绿色照明检测及评价标准》（GB/T51268—2017）</w:t>
      </w:r>
    </w:p>
    <w:p>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36" w:name="_Toc87462358"/>
      <w:bookmarkStart w:id="337" w:name="_Toc87265752"/>
      <w:bookmarkStart w:id="338" w:name="_Toc87454576"/>
      <w:bookmarkStart w:id="339" w:name="_Toc87050180"/>
      <w:bookmarkStart w:id="340" w:name="_Toc87269606"/>
      <w:bookmarkStart w:id="341" w:name="_Toc87261862"/>
      <w:bookmarkStart w:id="342" w:name="_Toc87053187"/>
      <w:bookmarkStart w:id="343" w:name="_Toc87053013"/>
      <w:bookmarkStart w:id="344" w:name="_Toc87270644"/>
      <w:bookmarkStart w:id="345" w:name="_Toc87269428"/>
      <w:bookmarkStart w:id="346" w:name="_Toc87455693"/>
      <w:bookmarkStart w:id="347" w:name="_Toc87269513"/>
      <w:r>
        <w:rPr>
          <w:rFonts w:hint="eastAsia" w:ascii="宋体" w:hAnsi="宋体" w:eastAsia="楷体_GB2312" w:cs="楷体_GB2312"/>
          <w:b w:val="0"/>
          <w:color w:val="auto"/>
        </w:rPr>
        <w:t>管理办法</w:t>
      </w:r>
      <w:bookmarkEnd w:id="336"/>
      <w:bookmarkEnd w:id="337"/>
      <w:bookmarkEnd w:id="338"/>
      <w:bookmarkEnd w:id="339"/>
      <w:bookmarkEnd w:id="340"/>
      <w:bookmarkEnd w:id="341"/>
      <w:bookmarkEnd w:id="342"/>
      <w:bookmarkEnd w:id="343"/>
      <w:bookmarkEnd w:id="344"/>
      <w:bookmarkEnd w:id="345"/>
      <w:bookmarkEnd w:id="346"/>
      <w:bookmarkEnd w:id="347"/>
      <w:r>
        <w:rPr>
          <w:rFonts w:hint="eastAsia" w:ascii="宋体" w:hAnsi="宋体" w:eastAsia="楷体_GB2312" w:cs="楷体_GB2312"/>
          <w:b w:val="0"/>
          <w:color w:val="auto"/>
        </w:rPr>
        <w:t>等文件</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《城市照明管理规定》</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《关于切实加强城市照明节能管理严格控制景观照明的通知》(建城〔2010〕92号)</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《北京市市容环境卫生条例》</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《北京市夜景照明管理办法》</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《北京道路照明发展指导意见》</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《关于加强农村基础设施维护和管理的意见》（京政发〔2011〕28号）</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《北京市城市道路照明管理联动工作办法》</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《北京市中心城区城市道路照明设施移交暂行办法》</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《北京市城市照明管理规定实施意见》</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关于《北京城市总体规划(2016年—2035年)》实施情况的报告</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《北京市进一步强化节能实施方案》</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《北京市关于进一步繁荣夜间经济促进消费增长的措施》</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48" w:name="_Toc6764"/>
      <w:bookmarkStart w:id="349" w:name="_Toc23472"/>
      <w:bookmarkStart w:id="350" w:name="_Toc3951"/>
      <w:bookmarkStart w:id="351" w:name="_Toc13603"/>
      <w:bookmarkStart w:id="352" w:name="_Toc88656221"/>
      <w:bookmarkStart w:id="353" w:name="_Toc95"/>
      <w:r>
        <w:rPr>
          <w:rFonts w:hint="eastAsia" w:ascii="宋体" w:hAnsi="宋体" w:eastAsia="黑体" w:cs="黑体"/>
          <w:b w:val="0"/>
          <w:sz w:val="32"/>
        </w:rPr>
        <w:t>四、发展目标</w:t>
      </w:r>
      <w:bookmarkEnd w:id="348"/>
      <w:bookmarkEnd w:id="349"/>
      <w:bookmarkEnd w:id="350"/>
      <w:bookmarkEnd w:id="351"/>
      <w:bookmarkEnd w:id="352"/>
      <w:bookmarkEnd w:id="353"/>
      <w:bookmarkStart w:id="354" w:name="_Hlk519875136"/>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围绕“四个中心”战略定位，坚持人民至上，以科技创新为引领，推动高质量双碳发展，保障夜间出行安全，促进夜间繁荣，呈现“庄重大气的政治中心、古今交融的文化中心、壮丽有序的国际交往中心、简洁高效的科技创新中心”的首都夜景风貌，塑造大国首都、国际一流、和谐宜居的夜间光环境品质。</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安全宜居，构建一流城市照明。进一步加强城市道路照明治理，解决城市道路无路灯问题。落实首都功能核心区环境整治工作，逐步开展核心区照明基础设施升级改造；完善安全保障机制，建立统一管理、统一协调的安全保障体系。</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——双碳统筹，打造低碳节能典范。通过建立城市负面清单、全国横向对比后的科学指标体系、严格景观照明时间管控等措施，实现能耗强度及亮度效果双管控。</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完善景观照明体系，展示“四个中心”的特色夜间风貌。配合重大国事活动，提升北京市景观照明品质，丰富景观照明层次，优化景观照明体系；深入挖掘核心区历史文化内涵，提升景观照明文化品位，彰显古都风貌。</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——夜游赋能，营造夜间繁荣消费环境。分主题、分层次打造多类型夜间活动场所及夜间消费打卡地，为市民游客提供更丰富的夜间生活环境。</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——加快生态文明建设，营造绿色宜居的夜间光环境。推进城市照明节能减排，有效控制光污染，严格“暗天空”保护，创造绿色生态的夜间环境。</w:t>
      </w:r>
      <w:r>
        <w:rPr>
          <w:rFonts w:hint="eastAsia" w:ascii="宋体" w:hAnsi="宋体" w:eastAsia="仿宋_GB2312"/>
          <w:sz w:val="32"/>
        </w:rPr>
        <w:cr/>
      </w:r>
      <w:r>
        <w:rPr>
          <w:rFonts w:ascii="宋体" w:hAnsi="宋体"/>
        </w:rPr>
        <w:t xml:space="preserve">    </w:t>
      </w:r>
      <w:r>
        <w:rPr>
          <w:rFonts w:hint="eastAsia" w:ascii="宋体" w:hAnsi="宋体" w:eastAsia="仿宋_GB2312"/>
          <w:sz w:val="32"/>
        </w:rPr>
        <w:t>——改革体制机制，进一步提升城市照明管理水平。加快城市照明体制机制改革，规范城市照明工作，提升照明管理工作效率，实现城市照明管理工作精治、共治、法治。</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——科技创新引领，推进城市照明现代化。加大科技创新意识，运用物联网、云计算、移动互联网和人工智能等现代信息技术手段，推进城市照明科技创新进程。</w:t>
      </w:r>
    </w:p>
    <w:bookmarkEnd w:id="354"/>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55" w:name="_Toc31530"/>
      <w:bookmarkStart w:id="356" w:name="_Toc88656222"/>
      <w:bookmarkStart w:id="357" w:name="_Toc23456"/>
      <w:bookmarkStart w:id="358" w:name="_Toc6877"/>
      <w:bookmarkStart w:id="359" w:name="_Toc6260"/>
      <w:bookmarkStart w:id="360" w:name="_Toc11919"/>
      <w:r>
        <w:rPr>
          <w:rFonts w:hint="eastAsia" w:ascii="宋体" w:hAnsi="宋体" w:eastAsia="黑体" w:cs="黑体"/>
          <w:b w:val="0"/>
          <w:sz w:val="32"/>
        </w:rPr>
        <w:t>五、主要指标</w:t>
      </w:r>
      <w:bookmarkEnd w:id="355"/>
      <w:bookmarkEnd w:id="356"/>
      <w:bookmarkEnd w:id="357"/>
      <w:bookmarkEnd w:id="358"/>
      <w:bookmarkEnd w:id="359"/>
      <w:bookmarkEnd w:id="360"/>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到2025年，城市道路照明应建尽建，应亮尽亮;城市照明诉求问题动态清零，解决率、满意率稳步提升。建立健全城市照明统筹监管工作机制，形成完善的城市照明管理体系。到2035年，实现生态环境良好、夜间生活丰富、创新智慧、国际一流的和谐宜居之都的夜间光环境。</w:t>
      </w:r>
    </w:p>
    <w:p>
      <w:pPr>
        <w:pStyle w:val="204"/>
        <w:spacing w:after="156"/>
        <w:ind w:firstLine="600"/>
        <w:rPr>
          <w:rFonts w:ascii="宋体" w:hAnsi="宋体"/>
        </w:rPr>
      </w:pPr>
    </w:p>
    <w:p>
      <w:pPr>
        <w:widowControl/>
        <w:jc w:val="left"/>
        <w:rPr>
          <w:rStyle w:val="194"/>
          <w:rFonts w:ascii="宋体" w:hAnsi="宋体" w:eastAsia="方正小标宋简体" w:cs="宋体"/>
          <w:kern w:val="44"/>
          <w:sz w:val="40"/>
          <w:szCs w:val="40"/>
        </w:rPr>
      </w:pPr>
      <w:r>
        <w:rPr>
          <w:rStyle w:val="194"/>
          <w:rFonts w:ascii="宋体" w:hAnsi="宋体" w:eastAsia="方正小标宋简体" w:cs="宋体"/>
          <w:sz w:val="40"/>
          <w:szCs w:val="40"/>
        </w:rPr>
        <w:br w:type="page"/>
      </w:r>
    </w:p>
    <w:p>
      <w:pPr>
        <w:pStyle w:val="5"/>
        <w:rPr>
          <w:rStyle w:val="194"/>
          <w:rFonts w:ascii="宋体" w:hAnsi="宋体" w:eastAsia="方正小标宋简体" w:cs="方正小标宋简体"/>
          <w:b w:val="0"/>
          <w:bCs w:val="0"/>
        </w:rPr>
      </w:pPr>
      <w:bookmarkStart w:id="361" w:name="_Toc5594"/>
      <w:bookmarkStart w:id="362" w:name="_Toc88656223"/>
      <w:bookmarkStart w:id="363" w:name="_Toc31017"/>
      <w:bookmarkStart w:id="364" w:name="_Toc20191"/>
      <w:bookmarkStart w:id="365" w:name="_Toc29350"/>
      <w:bookmarkStart w:id="366" w:name="_Toc23256"/>
      <w:r>
        <w:rPr>
          <w:rStyle w:val="194"/>
          <w:rFonts w:hint="eastAsia" w:ascii="宋体" w:hAnsi="宋体" w:eastAsia="方正小标宋简体" w:cs="方正小标宋简体"/>
          <w:b w:val="0"/>
          <w:bCs w:val="0"/>
        </w:rPr>
        <w:t>安全宜居，构建一流</w:t>
      </w:r>
      <w:bookmarkEnd w:id="361"/>
      <w:bookmarkEnd w:id="362"/>
      <w:bookmarkEnd w:id="363"/>
      <w:r>
        <w:rPr>
          <w:rStyle w:val="194"/>
          <w:rFonts w:hint="eastAsia" w:ascii="宋体" w:hAnsi="宋体" w:eastAsia="方正小标宋简体" w:cs="方正小标宋简体"/>
          <w:b w:val="0"/>
          <w:bCs w:val="0"/>
        </w:rPr>
        <w:t>城市照明</w:t>
      </w:r>
      <w:bookmarkEnd w:id="364"/>
      <w:bookmarkEnd w:id="365"/>
      <w:bookmarkEnd w:id="366"/>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67" w:name="_Toc88656224"/>
      <w:bookmarkStart w:id="368" w:name="_Toc11099"/>
      <w:bookmarkStart w:id="369" w:name="_Toc28813"/>
      <w:bookmarkStart w:id="370" w:name="_Toc2985"/>
      <w:bookmarkStart w:id="371" w:name="_Toc27238"/>
      <w:bookmarkStart w:id="372" w:name="_Toc29389"/>
      <w:r>
        <w:rPr>
          <w:rFonts w:hint="eastAsia" w:ascii="宋体" w:hAnsi="宋体" w:eastAsia="黑体" w:cs="黑体"/>
          <w:b w:val="0"/>
          <w:sz w:val="32"/>
        </w:rPr>
        <w:t>一、治理无灯路段，</w:t>
      </w:r>
      <w:bookmarkEnd w:id="367"/>
      <w:r>
        <w:rPr>
          <w:rFonts w:hint="eastAsia" w:ascii="宋体" w:hAnsi="宋体" w:eastAsia="黑体" w:cs="黑体"/>
          <w:b w:val="0"/>
          <w:sz w:val="32"/>
        </w:rPr>
        <w:t>满足照明需求</w:t>
      </w:r>
      <w:bookmarkEnd w:id="368"/>
      <w:bookmarkEnd w:id="369"/>
      <w:bookmarkEnd w:id="370"/>
      <w:bookmarkEnd w:id="371"/>
      <w:bookmarkEnd w:id="372"/>
    </w:p>
    <w:p>
      <w:pPr>
        <w:pStyle w:val="204"/>
        <w:adjustRightInd w:val="0"/>
        <w:spacing w:after="0" w:afterLines="0"/>
        <w:ind w:firstLine="640"/>
        <w:rPr>
          <w:rFonts w:ascii="宋体" w:hAnsi="宋体" w:eastAsia="仿宋_GB2312"/>
          <w:sz w:val="32"/>
        </w:rPr>
      </w:pPr>
      <w:r>
        <w:rPr>
          <w:rFonts w:hint="eastAsia" w:ascii="宋体" w:hAnsi="宋体" w:eastAsia="仿宋_GB2312"/>
          <w:sz w:val="32"/>
        </w:rPr>
        <w:t>补充有功能照明需求的公路，新建居住区周边无灯道路，河边道路、地下通道、大桥、天桥及天桥下等区域的功能照明设施，为市民夜间出行提供安全保障。</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73" w:name="_Toc15093"/>
      <w:bookmarkStart w:id="374" w:name="_Toc11033"/>
      <w:bookmarkStart w:id="375" w:name="_Toc475"/>
      <w:bookmarkStart w:id="376" w:name="_Toc88656225"/>
      <w:bookmarkStart w:id="377" w:name="_Toc24448"/>
      <w:bookmarkStart w:id="378" w:name="_Toc25"/>
      <w:r>
        <w:rPr>
          <w:rFonts w:hint="eastAsia" w:ascii="宋体" w:hAnsi="宋体" w:eastAsia="黑体" w:cs="黑体"/>
          <w:b w:val="0"/>
          <w:sz w:val="32"/>
        </w:rPr>
        <w:t>二、区域维护改造，基础设施升级</w:t>
      </w:r>
      <w:bookmarkEnd w:id="373"/>
      <w:bookmarkEnd w:id="374"/>
      <w:bookmarkEnd w:id="375"/>
      <w:bookmarkEnd w:id="376"/>
      <w:bookmarkEnd w:id="377"/>
      <w:bookmarkEnd w:id="378"/>
    </w:p>
    <w:p>
      <w:pPr>
        <w:pStyle w:val="204"/>
        <w:adjustRightInd w:val="0"/>
        <w:spacing w:after="0" w:afterLines="0"/>
        <w:ind w:firstLine="640"/>
        <w:rPr>
          <w:rFonts w:ascii="宋体" w:hAnsi="宋体" w:eastAsia="仿宋_GB2312"/>
          <w:sz w:val="32"/>
        </w:rPr>
      </w:pPr>
      <w:r>
        <w:rPr>
          <w:rFonts w:hint="eastAsia" w:ascii="宋体" w:hAnsi="宋体" w:eastAsia="仿宋_GB2312"/>
          <w:sz w:val="32"/>
        </w:rPr>
        <w:t>配合首都功能核心区街区改造进程，实施道路照明架空线入地工作，同步维护老旧路灯设施，升级首都功能核心区道路照明基础设施，选取核心区、城市副中心等重点区域，配合推进“多杆合一”试点工作。</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79" w:name="_Toc27176"/>
      <w:bookmarkStart w:id="380" w:name="_Toc4814"/>
      <w:bookmarkStart w:id="381" w:name="_Toc32576"/>
      <w:bookmarkStart w:id="382" w:name="_Toc2892"/>
      <w:bookmarkStart w:id="383" w:name="_Toc88656226"/>
      <w:bookmarkStart w:id="384" w:name="_Toc8374"/>
      <w:r>
        <w:rPr>
          <w:rFonts w:hint="eastAsia" w:ascii="宋体" w:hAnsi="宋体" w:eastAsia="黑体" w:cs="黑体"/>
          <w:b w:val="0"/>
          <w:sz w:val="32"/>
        </w:rPr>
        <w:t>三、</w:t>
      </w:r>
      <w:bookmarkEnd w:id="379"/>
      <w:bookmarkEnd w:id="380"/>
      <w:bookmarkEnd w:id="381"/>
      <w:bookmarkEnd w:id="382"/>
      <w:bookmarkEnd w:id="383"/>
      <w:r>
        <w:rPr>
          <w:rFonts w:hint="eastAsia" w:ascii="宋体" w:hAnsi="宋体" w:eastAsia="黑体" w:cs="黑体"/>
          <w:b w:val="0"/>
          <w:sz w:val="32"/>
        </w:rPr>
        <w:t>突出居住区域，提升环境品质</w:t>
      </w:r>
      <w:bookmarkEnd w:id="384"/>
    </w:p>
    <w:p>
      <w:pPr>
        <w:pStyle w:val="204"/>
        <w:adjustRightInd w:val="0"/>
        <w:spacing w:after="0" w:afterLines="0"/>
        <w:ind w:firstLine="640"/>
        <w:rPr>
          <w:rFonts w:ascii="宋体" w:hAnsi="宋体" w:eastAsia="仿宋_GB2312"/>
          <w:sz w:val="32"/>
        </w:rPr>
      </w:pPr>
      <w:r>
        <w:rPr>
          <w:rFonts w:hint="eastAsia" w:ascii="宋体" w:hAnsi="宋体" w:eastAsia="仿宋_GB2312"/>
          <w:sz w:val="32"/>
        </w:rPr>
        <w:t>补充完善居住区周边公园、广场、地铁出入口、公共停车场等区域的功能照明设施，包括新建居住区周边道路、背街小巷以及居住区内部道路的道路照明设施，做到道路照明治理工作入街入社区。公园、广场的照明设施应考虑白天与夜间的美观性，为周边居民提供高质量的夜间活动环境。</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在居住区路灯建设方面，加大监管力度，在新建居住区的开发建设过程与入住阶段，督促建设单位做好路灯相应建设、运维工作，确保居民入住时同步使用。</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对现有居住小区需要补建路灯的，督促物业服务企业或属地街道（乡镇）负责组织相关权属单位或自行组织实施，集中力量在1—2年内解决小区缺灯问题。</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加强居住区路灯维护监管工作，明确责任主体，力争实现“动态清零”，为市民夜间安全出行提供良好的照明条件。</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加强监管考核，推进共建共治，各级管理部门要严格落实责任。市城市管理部门和市住房城乡建设部门密切配合，加强对各区的工作指导和监督；健全路灯接诉即办问题的处置、监督机制；组织制定小区路灯监督检查、考核评价制度，定期开展联合检查和年度考评工作。</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85" w:name="_Toc2970"/>
      <w:bookmarkStart w:id="386" w:name="_Toc6011"/>
      <w:bookmarkStart w:id="387" w:name="_Toc13964"/>
      <w:bookmarkStart w:id="388" w:name="_Toc88656227"/>
      <w:bookmarkStart w:id="389" w:name="_Toc5564"/>
      <w:bookmarkStart w:id="390" w:name="_Toc6867"/>
      <w:r>
        <w:rPr>
          <w:rFonts w:hint="eastAsia" w:ascii="宋体" w:hAnsi="宋体" w:eastAsia="黑体" w:cs="黑体"/>
          <w:b w:val="0"/>
          <w:sz w:val="32"/>
        </w:rPr>
        <w:t>四、完善</w:t>
      </w:r>
      <w:r>
        <w:rPr>
          <w:rFonts w:hint="eastAsia" w:ascii="宋体" w:hAnsi="宋体" w:eastAsia="黑体" w:cs="黑体"/>
          <w:b w:val="0"/>
          <w:sz w:val="32"/>
          <w:lang w:eastAsia="zh-Hans"/>
        </w:rPr>
        <w:t>指标</w:t>
      </w:r>
      <w:r>
        <w:rPr>
          <w:rFonts w:hint="eastAsia" w:ascii="宋体" w:hAnsi="宋体" w:eastAsia="黑体" w:cs="黑体"/>
          <w:b w:val="0"/>
          <w:sz w:val="32"/>
        </w:rPr>
        <w:t>体系，健全功能照明</w:t>
      </w:r>
      <w:bookmarkEnd w:id="385"/>
      <w:bookmarkEnd w:id="386"/>
      <w:bookmarkEnd w:id="387"/>
      <w:bookmarkEnd w:id="388"/>
      <w:bookmarkEnd w:id="389"/>
      <w:bookmarkEnd w:id="390"/>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对北京城市道路系统进行分级照明，形成北京特色的城市道路功能照明体系，满足机动车辆驾驶员以及行人辨识方向、视看环境等基本的功能要求。</w:t>
      </w:r>
      <w:r>
        <w:rPr>
          <w:rFonts w:hint="eastAsia" w:ascii="宋体" w:hAnsi="宋体" w:eastAsia="仿宋_GB2312"/>
          <w:sz w:val="32"/>
        </w:rPr>
        <w:t>（详见第十三章 一、功能照明分区及控制指标）</w:t>
      </w:r>
    </w:p>
    <w:p>
      <w:pPr>
        <w:pStyle w:val="5"/>
        <w:rPr>
          <w:rStyle w:val="194"/>
          <w:rFonts w:ascii="宋体" w:hAnsi="宋体" w:eastAsia="方正小标宋简体" w:cs="方正小标宋简体"/>
          <w:b w:val="0"/>
          <w:bCs w:val="0"/>
        </w:rPr>
      </w:pPr>
      <w:bookmarkStart w:id="391" w:name="_Toc29678"/>
      <w:bookmarkStart w:id="392" w:name="_Toc20368"/>
      <w:bookmarkStart w:id="393" w:name="_Toc10476"/>
      <w:bookmarkStart w:id="394" w:name="_Toc32665"/>
      <w:bookmarkStart w:id="395" w:name="_Toc88656228"/>
      <w:bookmarkStart w:id="396" w:name="_Toc12080"/>
      <w:r>
        <w:rPr>
          <w:rStyle w:val="194"/>
          <w:rFonts w:hint="eastAsia" w:ascii="宋体" w:hAnsi="宋体" w:eastAsia="方正小标宋简体" w:cs="方正小标宋简体"/>
          <w:b w:val="0"/>
          <w:bCs w:val="0"/>
        </w:rPr>
        <w:t>双碳统筹，建设低碳节能典范</w:t>
      </w:r>
      <w:bookmarkEnd w:id="391"/>
      <w:bookmarkEnd w:id="392"/>
      <w:bookmarkEnd w:id="393"/>
      <w:bookmarkEnd w:id="394"/>
      <w:bookmarkEnd w:id="395"/>
      <w:bookmarkEnd w:id="396"/>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97" w:name="_Toc30035"/>
      <w:bookmarkStart w:id="398" w:name="_Toc88656229"/>
      <w:bookmarkStart w:id="399" w:name="_Toc28198"/>
      <w:bookmarkStart w:id="400" w:name="_Toc2507"/>
      <w:bookmarkStart w:id="401" w:name="_Toc30251"/>
      <w:bookmarkStart w:id="402" w:name="_Toc22120"/>
      <w:r>
        <w:rPr>
          <w:rFonts w:hint="eastAsia" w:ascii="宋体" w:hAnsi="宋体" w:eastAsia="黑体" w:cs="黑体"/>
          <w:b w:val="0"/>
          <w:sz w:val="32"/>
        </w:rPr>
        <w:t>一、建立负面清单制度，强化标准约束</w:t>
      </w:r>
      <w:bookmarkEnd w:id="397"/>
      <w:bookmarkEnd w:id="398"/>
      <w:bookmarkEnd w:id="399"/>
      <w:bookmarkEnd w:id="400"/>
      <w:bookmarkEnd w:id="401"/>
      <w:bookmarkEnd w:id="402"/>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照明建设严格按城市照明规划实施，保证功能照明的前提下，对各类照明区域内不同性质的建构筑物和开放空间明确能耗及光污染控制指标要求；严格控制景观照明的范围和规模，合理配置照明资源，明确城市夜景建设边界，设立“暗天空”保护区，加强设计方案的论证和审查。在兼顾城市空间夜景形象塑造的同时，有效控制城市照明能耗，将耗电强度及合理亮度上限进行双控。以最少的资源实现照明的可持续发展，减少夜间碳排放，助力双碳目标实现。详见《北京市城市景观照明设计导则》第二部分规划总则—5“暗天空”保护。</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负面清单： </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1.禁止激光灯或大功率光束灯向天空投射；</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2.电子屏幕尺寸规范应遵循相关广告标准规范；</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3.禁止大功率（≥2000W）投光灯泛光照明；</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4.严格控制媒体立面，保证与周边环境形成适宜环境比，避免光污染，建设实施时需按有关规定履行项目审批流程。</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03" w:name="_Toc88656230"/>
      <w:bookmarkStart w:id="404" w:name="_Toc25033"/>
      <w:bookmarkStart w:id="405" w:name="_Toc26889"/>
      <w:bookmarkStart w:id="406" w:name="_Toc12408"/>
      <w:bookmarkStart w:id="407" w:name="_Toc1790"/>
      <w:bookmarkStart w:id="408" w:name="_Toc17221"/>
      <w:r>
        <w:rPr>
          <w:rFonts w:hint="eastAsia" w:ascii="宋体" w:hAnsi="宋体" w:eastAsia="黑体" w:cs="黑体"/>
          <w:b w:val="0"/>
          <w:sz w:val="32"/>
        </w:rPr>
        <w:t>二、严控照明启闭时间及供电</w:t>
      </w:r>
      <w:bookmarkEnd w:id="403"/>
      <w:bookmarkEnd w:id="404"/>
      <w:bookmarkEnd w:id="405"/>
      <w:bookmarkEnd w:id="406"/>
      <w:bookmarkEnd w:id="407"/>
      <w:bookmarkEnd w:id="408"/>
    </w:p>
    <w:p>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进一步精细化管控景观照明启闭时间，保障多模式、多场景的景观照明需求。合理降低照明强度、压缩开启时间，助力城市节能减排。</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城市景观照明项目用电与道路照明为主的功能照明用电需严格区分，对“灯光秀”等非民生用电项目按照工商业用电执行电价政策。景观照明对与功能照明基础设施同线同路的，应及时改造、改接，分开供电。加强对景观照明项目的用电管理和计量，实施集中管理，集中控制和分时控制。（详见第十三章，表13—11 建（构）筑物景观照明时间模式控制表）</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09" w:name="_Toc28953"/>
      <w:bookmarkStart w:id="410" w:name="_Toc5159"/>
      <w:bookmarkStart w:id="411" w:name="_Toc28547"/>
      <w:bookmarkStart w:id="412" w:name="_Toc16770"/>
      <w:bookmarkStart w:id="413" w:name="_Toc24366"/>
      <w:bookmarkStart w:id="414" w:name="_Toc88656231"/>
      <w:r>
        <w:rPr>
          <w:rFonts w:hint="eastAsia" w:ascii="宋体" w:hAnsi="宋体" w:eastAsia="黑体" w:cs="黑体"/>
          <w:b w:val="0"/>
          <w:sz w:val="32"/>
        </w:rPr>
        <w:t>三、推广高效产品，促进低碳节能</w:t>
      </w:r>
      <w:bookmarkEnd w:id="409"/>
      <w:bookmarkEnd w:id="410"/>
      <w:bookmarkEnd w:id="411"/>
      <w:bookmarkEnd w:id="412"/>
      <w:bookmarkEnd w:id="413"/>
      <w:bookmarkEnd w:id="414"/>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大力推广高效能、新产品、新技术和智能化控制系统使用，根据实际需要进行理性选择，以达到长期节约能源与降低投资的目的。</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加快实施道路照明节能改造和推广使用LED高效能光源设备。五环外道路由传统光源路段根据建设年限逐年替换为LED等高效能光源。科学合理控制路灯开启时间，推进路灯智能分时分区控制，以达到提质增效的目的。</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建（构）筑物景观照明的照度、功率密度（LPD）值不应超过附表13—12的规定值。建筑物外部空间的景观照明功率密度值应不应超过附表13—13的规定值。城市道路功能照明功率密度值应符合附表13—14的规定值。</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15" w:name="_Toc8340"/>
      <w:bookmarkStart w:id="416" w:name="_Toc5641"/>
      <w:bookmarkStart w:id="417" w:name="_Toc23028"/>
      <w:bookmarkStart w:id="418" w:name="_Toc14527"/>
      <w:bookmarkStart w:id="419" w:name="_Toc88656232"/>
      <w:bookmarkStart w:id="420" w:name="_Toc17793"/>
      <w:r>
        <w:rPr>
          <w:rFonts w:hint="eastAsia" w:ascii="宋体" w:hAnsi="宋体" w:eastAsia="黑体" w:cs="黑体"/>
          <w:b w:val="0"/>
          <w:sz w:val="32"/>
        </w:rPr>
        <w:t>四、建立科学指标体系</w:t>
      </w:r>
      <w:bookmarkEnd w:id="415"/>
      <w:bookmarkEnd w:id="416"/>
      <w:bookmarkEnd w:id="417"/>
      <w:bookmarkEnd w:id="418"/>
      <w:bookmarkEnd w:id="419"/>
      <w:bookmarkEnd w:id="420"/>
    </w:p>
    <w:p>
      <w:pPr>
        <w:pStyle w:val="2"/>
        <w:numPr>
          <w:ilvl w:val="0"/>
          <w:numId w:val="22"/>
        </w:numPr>
        <w:spacing w:before="0" w:beforeLines="0" w:after="0" w:afterLines="0"/>
        <w:ind w:firstLine="640" w:firstLineChars="200"/>
        <w:rPr>
          <w:rFonts w:ascii="宋体" w:hAnsi="宋体" w:eastAsia="楷体_GB2312" w:cs="楷体_GB2312"/>
          <w:b w:val="0"/>
          <w:color w:val="auto"/>
        </w:rPr>
      </w:pPr>
      <w:bookmarkStart w:id="421" w:name="_Toc87462371"/>
      <w:r>
        <w:rPr>
          <w:rFonts w:hint="eastAsia" w:ascii="宋体" w:hAnsi="宋体" w:eastAsia="楷体_GB2312" w:cs="楷体_GB2312"/>
          <w:b w:val="0"/>
          <w:color w:val="auto"/>
        </w:rPr>
        <w:t>景观照明分区</w:t>
      </w:r>
      <w:bookmarkEnd w:id="421"/>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在北京市各区域职能、城市空间结构基础上，根据城市产业功能布局、用地功能布局、人口规模分布等因素，对北京市进行景观照明分区。同一区域内的照明载体采用相同或相似的照明手段，使各个不同区域展现与其属性相符的夜间形象，使照明在宏观尺度上形成秩序。同时，建立时间与空间上全覆盖的规划平台，通过限定城市载体的照明主要指标，对城市规划区内未来的照明建设进行宏观指导，防止照明过度发展。（见图</w:t>
      </w:r>
      <w:r>
        <w:rPr>
          <w:rFonts w:ascii="宋体" w:hAnsi="宋体" w:eastAsia="仿宋_GB2312"/>
          <w:sz w:val="32"/>
        </w:rPr>
        <w:t>4</w:t>
      </w:r>
      <w:r>
        <w:rPr>
          <w:rFonts w:hint="eastAsia" w:ascii="宋体" w:hAnsi="宋体" w:eastAsia="仿宋_GB2312"/>
          <w:sz w:val="32"/>
        </w:rPr>
        <w:t>—</w:t>
      </w:r>
      <w:r>
        <w:rPr>
          <w:rFonts w:ascii="宋体" w:hAnsi="宋体" w:eastAsia="仿宋_GB2312"/>
          <w:sz w:val="32"/>
        </w:rPr>
        <w:t>1</w:t>
      </w:r>
      <w:r>
        <w:rPr>
          <w:rFonts w:hint="eastAsia" w:ascii="宋体" w:hAnsi="宋体" w:eastAsia="仿宋_GB2312"/>
          <w:sz w:val="32"/>
        </w:rPr>
        <w:t>北京市景观照明区划图、图</w:t>
      </w:r>
      <w:r>
        <w:rPr>
          <w:rFonts w:ascii="宋体" w:hAnsi="宋体" w:eastAsia="仿宋_GB2312"/>
          <w:sz w:val="32"/>
        </w:rPr>
        <w:t>4</w:t>
      </w:r>
      <w:r>
        <w:rPr>
          <w:rFonts w:hint="eastAsia" w:ascii="宋体" w:hAnsi="宋体" w:eastAsia="仿宋_GB2312"/>
          <w:sz w:val="32"/>
        </w:rPr>
        <w:t>—</w:t>
      </w:r>
      <w:r>
        <w:rPr>
          <w:rFonts w:ascii="宋体" w:hAnsi="宋体" w:eastAsia="仿宋_GB2312"/>
          <w:sz w:val="32"/>
        </w:rPr>
        <w:t>2</w:t>
      </w:r>
      <w:r>
        <w:rPr>
          <w:rFonts w:hint="eastAsia" w:ascii="宋体" w:hAnsi="宋体" w:eastAsia="仿宋_GB2312"/>
          <w:sz w:val="32"/>
        </w:rPr>
        <w:t>北京市中心城景观照明区划图）</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特级照明区：在一类照明区基础上，具有重要景观照明价值的标志性建筑。能够突出展示北京政治中心、文化中心、国际交往中心、科技创新中心夜间风貌的区域。</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一类照明区：以商业金融用地、市政公共设施用地、体育用地为主，夜间具有大量商业、娱乐活动，人流集中，能充分体现城市的活力。 </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二类照明区：以居住用地、教育科研设计用地、广场停车场用地为主，夜间人流量稍小，但属于城市夜间景观的重要组成部分。 </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三类照明区：以文物古迹用地、公共服务设施用地、混合用地、绿地为主，对景观照明有严格控制要求的区域或景观价值相对较低，以功能照明需求为主的建筑载体。</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四类照明区：由工业用地、农业用地、仓储用地、特殊用地、机场用地、铁路用地、生产防护绿地、林地、自然保护区构成。对夜间环境亮度控制严格，保持城市暗环境。</w:t>
      </w:r>
    </w:p>
    <w:p>
      <w:pPr>
        <w:pStyle w:val="2"/>
        <w:numPr>
          <w:ilvl w:val="0"/>
          <w:numId w:val="22"/>
        </w:numPr>
        <w:spacing w:before="0" w:beforeLines="0" w:after="0" w:afterLines="0"/>
        <w:ind w:firstLine="640" w:firstLineChars="200"/>
        <w:rPr>
          <w:rFonts w:ascii="宋体" w:hAnsi="宋体" w:eastAsia="楷体_GB2312" w:cs="楷体_GB2312"/>
          <w:b w:val="0"/>
          <w:color w:val="auto"/>
        </w:rPr>
      </w:pPr>
      <w:bookmarkStart w:id="422" w:name="_Toc87462372"/>
      <w:r>
        <w:rPr>
          <w:rFonts w:hint="eastAsia" w:ascii="宋体" w:hAnsi="宋体" w:eastAsia="楷体_GB2312" w:cs="楷体_GB2312"/>
          <w:b w:val="0"/>
          <w:color w:val="auto"/>
        </w:rPr>
        <w:t>景观照明控制指标</w:t>
      </w:r>
      <w:bookmarkEnd w:id="422"/>
      <w:r>
        <w:rPr>
          <w:rFonts w:hint="eastAsia" w:ascii="宋体" w:hAnsi="宋体" w:eastAsia="楷体_GB2312" w:cs="楷体_GB2312"/>
          <w:b w:val="0"/>
          <w:color w:val="auto"/>
        </w:rPr>
        <w:t xml:space="preserve"> </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为实现城市照明资源的合理配置，对规划范围内一般载体，提出亮度、动态、光色三个控制指标，通过落实所在地块，获取控制要求。（详见第十三章 二、景观照明控制指标）</w:t>
      </w:r>
    </w:p>
    <w:p>
      <w:pPr>
        <w:pStyle w:val="205"/>
        <w:spacing w:before="156" w:after="156"/>
        <w:rPr>
          <w:rFonts w:ascii="宋体" w:hAnsi="宋体"/>
          <w:bCs w:val="0"/>
          <w:sz w:val="24"/>
          <w:szCs w:val="24"/>
        </w:rPr>
      </w:pPr>
      <w:r>
        <w:rPr>
          <w:rFonts w:hint="eastAsia" w:ascii="宋体" w:hAnsi="宋体"/>
          <w:bCs w:val="0"/>
          <w:sz w:val="24"/>
          <w:szCs w:val="24"/>
        </w:rPr>
        <w:t>表</w:t>
      </w:r>
      <w:r>
        <w:rPr>
          <w:rFonts w:ascii="宋体" w:hAnsi="宋体"/>
          <w:bCs w:val="0"/>
          <w:sz w:val="24"/>
          <w:szCs w:val="24"/>
        </w:rPr>
        <w:t>4</w:t>
      </w:r>
      <w:r>
        <w:rPr>
          <w:rFonts w:hint="eastAsia" w:ascii="宋体" w:hAnsi="宋体"/>
          <w:bCs w:val="0"/>
          <w:sz w:val="24"/>
          <w:szCs w:val="24"/>
        </w:rPr>
        <w:t>—1</w:t>
      </w:r>
      <w:r>
        <w:rPr>
          <w:rFonts w:ascii="宋体" w:hAnsi="宋体"/>
          <w:bCs w:val="0"/>
          <w:sz w:val="24"/>
          <w:szCs w:val="24"/>
        </w:rPr>
        <w:t xml:space="preserve"> </w:t>
      </w:r>
      <w:r>
        <w:rPr>
          <w:rFonts w:hint="eastAsia" w:ascii="宋体" w:hAnsi="宋体"/>
          <w:bCs w:val="0"/>
          <w:sz w:val="24"/>
          <w:szCs w:val="24"/>
        </w:rPr>
        <w:t>控制指标主要内容表</w:t>
      </w:r>
    </w:p>
    <w:tbl>
      <w:tblPr>
        <w:tblStyle w:val="191"/>
        <w:tblW w:w="8825" w:type="dxa"/>
        <w:jc w:val="center"/>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Layout w:type="fixed"/>
        <w:tblCellMar>
          <w:top w:w="0" w:type="dxa"/>
          <w:left w:w="108" w:type="dxa"/>
          <w:bottom w:w="0" w:type="dxa"/>
          <w:right w:w="108" w:type="dxa"/>
        </w:tblCellMar>
      </w:tblPr>
      <w:tblGrid>
        <w:gridCol w:w="1854"/>
        <w:gridCol w:w="1574"/>
        <w:gridCol w:w="5397"/>
      </w:tblGrid>
      <w:tr>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664" w:hRule="exact"/>
          <w:jc w:val="center"/>
        </w:trPr>
        <w:tc>
          <w:tcPr>
            <w:tcW w:w="1854" w:type="dxa"/>
            <w:tcBorders>
              <w:bottom w:val="nil"/>
            </w:tcBorders>
            <w:vAlign w:val="center"/>
          </w:tcPr>
          <w:p>
            <w:pPr>
              <w:pStyle w:val="190"/>
              <w:kinsoku w:val="0"/>
              <w:overflowPunct w:val="0"/>
              <w:jc w:val="center"/>
              <w:rPr>
                <w:rFonts w:ascii="宋体" w:hAnsi="宋体" w:eastAsia="仿宋_GB2312" w:cs="仿宋"/>
                <w:b/>
                <w:bCs/>
              </w:rPr>
            </w:pPr>
            <w:r>
              <w:rPr>
                <w:rFonts w:hint="eastAsia" w:ascii="宋体" w:hAnsi="宋体" w:eastAsia="仿宋_GB2312" w:cs="仿宋"/>
                <w:b w:val="0"/>
                <w:bCs w:val="0"/>
              </w:rPr>
              <w:t>等级划分</w:t>
            </w:r>
          </w:p>
        </w:tc>
        <w:tc>
          <w:tcPr>
            <w:tcW w:w="1574" w:type="dxa"/>
            <w:tcBorders>
              <w:bottom w:val="nil"/>
            </w:tcBorders>
            <w:vAlign w:val="center"/>
          </w:tcPr>
          <w:p>
            <w:pPr>
              <w:pStyle w:val="190"/>
              <w:kinsoku w:val="0"/>
              <w:overflowPunct w:val="0"/>
              <w:jc w:val="center"/>
              <w:rPr>
                <w:rFonts w:ascii="宋体" w:hAnsi="宋体" w:eastAsia="仿宋_GB2312" w:cs="仿宋"/>
                <w:b/>
                <w:bCs/>
              </w:rPr>
            </w:pPr>
            <w:r>
              <w:rPr>
                <w:rFonts w:hint="eastAsia" w:ascii="宋体" w:hAnsi="宋体" w:eastAsia="仿宋_GB2312" w:cs="仿宋"/>
                <w:b w:val="0"/>
                <w:bCs w:val="0"/>
              </w:rPr>
              <w:t>控制要点</w:t>
            </w:r>
          </w:p>
        </w:tc>
        <w:tc>
          <w:tcPr>
            <w:tcW w:w="5397" w:type="dxa"/>
            <w:tcBorders>
              <w:bottom w:val="nil"/>
            </w:tcBorders>
            <w:vAlign w:val="center"/>
          </w:tcPr>
          <w:p>
            <w:pPr>
              <w:pStyle w:val="190"/>
              <w:kinsoku w:val="0"/>
              <w:overflowPunct w:val="0"/>
              <w:jc w:val="center"/>
              <w:rPr>
                <w:rFonts w:ascii="宋体" w:hAnsi="宋体" w:eastAsia="仿宋_GB2312" w:cs="仿宋"/>
                <w:b/>
                <w:bCs/>
              </w:rPr>
            </w:pPr>
            <w:r>
              <w:rPr>
                <w:rFonts w:hint="eastAsia" w:ascii="宋体" w:hAnsi="宋体" w:eastAsia="仿宋_GB2312" w:cs="仿宋"/>
                <w:b w:val="0"/>
                <w:bCs w:val="0"/>
              </w:rPr>
              <w:t>技术指标</w:t>
            </w:r>
          </w:p>
        </w:tc>
      </w:tr>
      <w:tr>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632" w:hRule="exact"/>
          <w:jc w:val="center"/>
        </w:trPr>
        <w:tc>
          <w:tcPr>
            <w:tcW w:w="1854" w:type="dxa"/>
            <w:vMerge w:val="restart"/>
            <w:vAlign w:val="center"/>
          </w:tcPr>
          <w:p>
            <w:pPr>
              <w:pStyle w:val="190"/>
              <w:kinsoku w:val="0"/>
              <w:overflowPunct w:val="0"/>
              <w:jc w:val="center"/>
              <w:rPr>
                <w:rFonts w:ascii="宋体" w:hAnsi="宋体" w:eastAsia="仿宋_GB2312" w:cs="仿宋"/>
                <w:b/>
                <w:bCs/>
                <w:kern w:val="2"/>
              </w:rPr>
            </w:pPr>
            <w:r>
              <w:rPr>
                <w:rFonts w:hint="eastAsia" w:ascii="宋体" w:hAnsi="宋体" w:eastAsia="仿宋_GB2312" w:cs="仿宋"/>
                <w:b w:val="0"/>
                <w:bCs w:val="0"/>
                <w:kern w:val="2"/>
              </w:rPr>
              <w:t>照明分区；单体照明价值</w:t>
            </w:r>
          </w:p>
        </w:tc>
        <w:tc>
          <w:tcPr>
            <w:tcW w:w="1574" w:type="dxa"/>
            <w:vAlign w:val="center"/>
          </w:tcPr>
          <w:p>
            <w:pPr>
              <w:pStyle w:val="190"/>
              <w:kinsoku w:val="0"/>
              <w:overflowPunct w:val="0"/>
              <w:jc w:val="center"/>
              <w:rPr>
                <w:rFonts w:ascii="宋体" w:hAnsi="宋体" w:eastAsia="仿宋_GB2312" w:cs="仿宋"/>
                <w:kern w:val="2"/>
              </w:rPr>
            </w:pPr>
            <w:r>
              <w:rPr>
                <w:rFonts w:hint="eastAsia" w:ascii="宋体" w:hAnsi="宋体" w:eastAsia="仿宋_GB2312" w:cs="仿宋"/>
                <w:kern w:val="2"/>
              </w:rPr>
              <w:t>平均亮度和水平照度</w:t>
            </w:r>
          </w:p>
        </w:tc>
        <w:tc>
          <w:tcPr>
            <w:tcW w:w="5397" w:type="dxa"/>
            <w:vAlign w:val="center"/>
          </w:tcPr>
          <w:p>
            <w:pPr>
              <w:pStyle w:val="190"/>
              <w:kinsoku w:val="0"/>
              <w:overflowPunct w:val="0"/>
              <w:jc w:val="center"/>
              <w:rPr>
                <w:rFonts w:ascii="宋体" w:hAnsi="宋体" w:eastAsia="仿宋_GB2312" w:cs="仿宋"/>
                <w:kern w:val="2"/>
              </w:rPr>
            </w:pPr>
            <w:r>
              <w:rPr>
                <w:rFonts w:hint="eastAsia" w:ascii="宋体" w:hAnsi="宋体" w:eastAsia="仿宋_GB2312" w:cs="仿宋"/>
                <w:kern w:val="2"/>
              </w:rPr>
              <w:t>特级、一级、二级、三级、四级照明</w:t>
            </w:r>
          </w:p>
        </w:tc>
      </w:tr>
      <w:tr>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793" w:hRule="exact"/>
          <w:jc w:val="center"/>
        </w:trPr>
        <w:tc>
          <w:tcPr>
            <w:tcW w:w="1854" w:type="dxa"/>
            <w:vMerge w:val="continue"/>
            <w:vAlign w:val="center"/>
          </w:tcPr>
          <w:p>
            <w:pPr>
              <w:pStyle w:val="190"/>
              <w:kinsoku w:val="0"/>
              <w:overflowPunct w:val="0"/>
              <w:jc w:val="center"/>
              <w:rPr>
                <w:rFonts w:ascii="宋体" w:hAnsi="宋体" w:eastAsia="仿宋_GB2312" w:cs="仿宋"/>
                <w:b/>
                <w:bCs/>
                <w:kern w:val="2"/>
              </w:rPr>
            </w:pPr>
          </w:p>
        </w:tc>
        <w:tc>
          <w:tcPr>
            <w:tcW w:w="1574" w:type="dxa"/>
            <w:vAlign w:val="center"/>
          </w:tcPr>
          <w:p>
            <w:pPr>
              <w:pStyle w:val="190"/>
              <w:kinsoku w:val="0"/>
              <w:overflowPunct w:val="0"/>
              <w:jc w:val="center"/>
              <w:rPr>
                <w:rFonts w:ascii="宋体" w:hAnsi="宋体" w:eastAsia="仿宋_GB2312" w:cs="仿宋"/>
                <w:kern w:val="2"/>
              </w:rPr>
            </w:pPr>
            <w:r>
              <w:rPr>
                <w:rFonts w:hint="eastAsia" w:ascii="宋体" w:hAnsi="宋体" w:eastAsia="仿宋_GB2312" w:cs="仿宋"/>
                <w:kern w:val="2"/>
              </w:rPr>
              <w:t>动态</w:t>
            </w:r>
          </w:p>
        </w:tc>
        <w:tc>
          <w:tcPr>
            <w:tcW w:w="5397" w:type="dxa"/>
            <w:vAlign w:val="center"/>
          </w:tcPr>
          <w:p>
            <w:pPr>
              <w:pStyle w:val="190"/>
              <w:kinsoku w:val="0"/>
              <w:overflowPunct w:val="0"/>
              <w:jc w:val="center"/>
              <w:rPr>
                <w:rFonts w:ascii="宋体" w:hAnsi="宋体" w:eastAsia="仿宋_GB2312" w:cs="仿宋"/>
                <w:kern w:val="2"/>
              </w:rPr>
            </w:pPr>
            <w:r>
              <w:rPr>
                <w:rFonts w:hint="eastAsia" w:ascii="宋体" w:hAnsi="宋体" w:eastAsia="仿宋_GB2312" w:cs="仿宋"/>
                <w:kern w:val="2"/>
              </w:rPr>
              <w:t>静态、缓慢动态、动态不限</w:t>
            </w:r>
          </w:p>
        </w:tc>
      </w:tr>
      <w:tr>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1327" w:hRule="exact"/>
          <w:jc w:val="center"/>
        </w:trPr>
        <w:tc>
          <w:tcPr>
            <w:tcW w:w="1854" w:type="dxa"/>
            <w:vMerge w:val="continue"/>
            <w:vAlign w:val="center"/>
          </w:tcPr>
          <w:p>
            <w:pPr>
              <w:pStyle w:val="190"/>
              <w:kinsoku w:val="0"/>
              <w:overflowPunct w:val="0"/>
              <w:jc w:val="center"/>
              <w:rPr>
                <w:rFonts w:ascii="宋体" w:hAnsi="宋体" w:eastAsia="仿宋_GB2312" w:cs="仿宋"/>
                <w:b/>
                <w:bCs/>
                <w:kern w:val="2"/>
              </w:rPr>
            </w:pPr>
          </w:p>
        </w:tc>
        <w:tc>
          <w:tcPr>
            <w:tcW w:w="1574" w:type="dxa"/>
            <w:vAlign w:val="center"/>
          </w:tcPr>
          <w:p>
            <w:pPr>
              <w:pStyle w:val="190"/>
              <w:kinsoku w:val="0"/>
              <w:overflowPunct w:val="0"/>
              <w:jc w:val="center"/>
              <w:rPr>
                <w:rFonts w:ascii="宋体" w:hAnsi="宋体" w:eastAsia="仿宋_GB2312" w:cs="仿宋"/>
                <w:kern w:val="2"/>
              </w:rPr>
            </w:pPr>
            <w:r>
              <w:rPr>
                <w:rFonts w:hint="eastAsia" w:ascii="宋体" w:hAnsi="宋体" w:eastAsia="仿宋_GB2312" w:cs="仿宋"/>
                <w:kern w:val="2"/>
              </w:rPr>
              <w:t>光色及彩光比例</w:t>
            </w:r>
          </w:p>
        </w:tc>
        <w:tc>
          <w:tcPr>
            <w:tcW w:w="5397" w:type="dxa"/>
            <w:vAlign w:val="center"/>
          </w:tcPr>
          <w:p>
            <w:pPr>
              <w:pStyle w:val="190"/>
              <w:kinsoku w:val="0"/>
              <w:overflowPunct w:val="0"/>
              <w:jc w:val="center"/>
              <w:rPr>
                <w:rFonts w:ascii="宋体" w:hAnsi="宋体" w:eastAsia="仿宋_GB2312" w:cs="仿宋"/>
                <w:kern w:val="2"/>
              </w:rPr>
            </w:pPr>
            <w:r>
              <w:rPr>
                <w:rFonts w:hint="eastAsia" w:ascii="宋体" w:hAnsi="宋体" w:eastAsia="仿宋_GB2312" w:cs="仿宋"/>
                <w:kern w:val="2"/>
              </w:rPr>
              <w:t>暖色表、中间色表、特殊色表、禁止彩光、</w:t>
            </w:r>
            <w:r>
              <w:rPr>
                <w:rFonts w:ascii="宋体" w:hAnsi="宋体" w:eastAsia="仿宋_GB2312" w:cs="仿宋"/>
                <w:kern w:val="2"/>
              </w:rPr>
              <w:t>30%</w:t>
            </w:r>
            <w:r>
              <w:rPr>
                <w:rFonts w:hint="eastAsia" w:ascii="宋体" w:hAnsi="宋体" w:eastAsia="仿宋_GB2312" w:cs="仿宋"/>
                <w:kern w:val="2"/>
              </w:rPr>
              <w:t>局部彩光、</w:t>
            </w:r>
            <w:r>
              <w:rPr>
                <w:rFonts w:ascii="宋体" w:hAnsi="宋体" w:eastAsia="仿宋_GB2312" w:cs="仿宋"/>
                <w:kern w:val="2"/>
              </w:rPr>
              <w:t>50%</w:t>
            </w:r>
            <w:r>
              <w:rPr>
                <w:rFonts w:hint="eastAsia" w:ascii="宋体" w:hAnsi="宋体" w:eastAsia="仿宋_GB2312" w:cs="仿宋"/>
                <w:kern w:val="2"/>
              </w:rPr>
              <w:t>局部彩光、光色不限</w:t>
            </w:r>
          </w:p>
        </w:tc>
      </w:tr>
    </w:tbl>
    <w:p>
      <w:pPr>
        <w:pStyle w:val="204"/>
        <w:spacing w:after="0" w:afterLines="0" w:line="20" w:lineRule="exact"/>
        <w:ind w:firstLine="600"/>
        <w:rPr>
          <w:rFonts w:ascii="宋体" w:hAnsi="宋体" w:cs="仿宋_GB2312"/>
          <w:kern w:val="0"/>
        </w:rPr>
      </w:pPr>
    </w:p>
    <w:p>
      <w:pPr>
        <w:pStyle w:val="5"/>
        <w:rPr>
          <w:rStyle w:val="194"/>
          <w:rFonts w:ascii="宋体" w:hAnsi="宋体" w:eastAsia="方正小标宋简体" w:cs="方正小标宋简体"/>
          <w:b w:val="0"/>
          <w:bCs w:val="0"/>
        </w:rPr>
      </w:pPr>
      <w:bookmarkStart w:id="423" w:name="_Toc88656233"/>
      <w:bookmarkStart w:id="424" w:name="_Toc9998"/>
      <w:bookmarkStart w:id="425" w:name="_Toc28510"/>
      <w:bookmarkStart w:id="426" w:name="_Toc26109"/>
      <w:bookmarkStart w:id="427" w:name="_Toc8593"/>
      <w:bookmarkStart w:id="428" w:name="_Toc17153"/>
      <w:r>
        <w:rPr>
          <w:rStyle w:val="194"/>
          <w:rFonts w:hint="eastAsia" w:ascii="宋体" w:hAnsi="宋体" w:eastAsia="方正小标宋简体" w:cs="方正小标宋简体"/>
          <w:b w:val="0"/>
          <w:bCs w:val="0"/>
        </w:rPr>
        <w:t>绿色生态，全生命周期管理</w:t>
      </w:r>
      <w:bookmarkEnd w:id="423"/>
      <w:bookmarkEnd w:id="424"/>
      <w:bookmarkEnd w:id="425"/>
      <w:bookmarkEnd w:id="426"/>
      <w:bookmarkEnd w:id="427"/>
      <w:bookmarkEnd w:id="428"/>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29" w:name="_Toc9888"/>
      <w:bookmarkStart w:id="430" w:name="_Toc30872"/>
      <w:bookmarkStart w:id="431" w:name="_Toc22578"/>
      <w:bookmarkStart w:id="432" w:name="_Toc88656234"/>
      <w:bookmarkStart w:id="433" w:name="_Toc32428"/>
      <w:bookmarkStart w:id="434" w:name="_Toc3407"/>
      <w:bookmarkStart w:id="435" w:name="_Hlk87459842"/>
      <w:r>
        <w:rPr>
          <w:rFonts w:hint="eastAsia" w:ascii="宋体" w:hAnsi="宋体" w:eastAsia="黑体" w:cs="黑体"/>
          <w:b w:val="0"/>
          <w:sz w:val="32"/>
        </w:rPr>
        <w:t>一、“暗天空”保护</w:t>
      </w:r>
      <w:bookmarkEnd w:id="429"/>
      <w:bookmarkEnd w:id="430"/>
      <w:bookmarkEnd w:id="431"/>
      <w:bookmarkEnd w:id="432"/>
      <w:bookmarkEnd w:id="433"/>
      <w:bookmarkEnd w:id="434"/>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与《北京市城市景观照明设计导则》相匹配，将城市载体按用地性质划分成四类环境区，其中专门设立“暗天空”保护区（P1区），严格控制景观照明及上射光。（详见第十三章 五、“暗天空”保护控制指标）</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36" w:name="_Toc26750"/>
      <w:bookmarkStart w:id="437" w:name="_Toc24259"/>
      <w:bookmarkStart w:id="438" w:name="_Toc8300"/>
      <w:bookmarkStart w:id="439" w:name="_Toc25053"/>
      <w:bookmarkStart w:id="440" w:name="_Toc19660"/>
      <w:bookmarkStart w:id="441" w:name="_Toc88656235"/>
      <w:r>
        <w:rPr>
          <w:rFonts w:hint="eastAsia" w:ascii="宋体" w:hAnsi="宋体" w:eastAsia="黑体" w:cs="黑体"/>
          <w:b w:val="0"/>
          <w:sz w:val="32"/>
        </w:rPr>
        <w:t>二、光污染防治</w:t>
      </w:r>
      <w:bookmarkEnd w:id="436"/>
      <w:bookmarkEnd w:id="437"/>
      <w:bookmarkEnd w:id="438"/>
      <w:bookmarkEnd w:id="439"/>
      <w:bookmarkEnd w:id="440"/>
      <w:bookmarkEnd w:id="441"/>
    </w:p>
    <w:p>
      <w:pPr>
        <w:pStyle w:val="204"/>
        <w:adjustRightInd w:val="0"/>
        <w:spacing w:after="0" w:afterLines="0"/>
        <w:ind w:firstLine="640"/>
        <w:rPr>
          <w:rFonts w:ascii="宋体" w:hAnsi="宋体" w:eastAsia="仿宋_GB2312"/>
          <w:sz w:val="32"/>
        </w:rPr>
      </w:pPr>
      <w:r>
        <w:rPr>
          <w:rFonts w:hint="eastAsia" w:ascii="宋体" w:hAnsi="宋体" w:eastAsia="仿宋_GB2312"/>
          <w:sz w:val="32"/>
        </w:rPr>
        <w:t>执行住房和城乡建设部《绿色照明检测及评价标准（GB/T 51268—2017）》和《室外照明干扰光限制规范（GB/T35626—2017）》中对于居住区居室窗户外表面上垂直照度的限制，逐步完善居住区周边光污染防治工作，提升居住区周边光污染治理能力。（详见第十三章 六、光污染防治控制指标）</w:t>
      </w:r>
    </w:p>
    <w:bookmarkEnd w:id="435"/>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42" w:name="_Toc15525"/>
      <w:bookmarkStart w:id="443" w:name="_Toc13108"/>
      <w:bookmarkStart w:id="444" w:name="_Toc88656236"/>
      <w:bookmarkStart w:id="445" w:name="_Toc13935"/>
      <w:bookmarkStart w:id="446" w:name="_Toc7804"/>
      <w:bookmarkStart w:id="447" w:name="_Toc7024"/>
      <w:r>
        <w:rPr>
          <w:rFonts w:hint="eastAsia" w:ascii="宋体" w:hAnsi="宋体" w:eastAsia="黑体" w:cs="黑体"/>
          <w:b w:val="0"/>
          <w:sz w:val="32"/>
        </w:rPr>
        <w:t>三、全生命周期</w:t>
      </w:r>
      <w:bookmarkEnd w:id="442"/>
      <w:bookmarkEnd w:id="443"/>
      <w:bookmarkEnd w:id="444"/>
      <w:bookmarkEnd w:id="445"/>
      <w:bookmarkEnd w:id="446"/>
      <w:bookmarkEnd w:id="447"/>
    </w:p>
    <w:p>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48" w:name="_Toc87462377"/>
      <w:bookmarkStart w:id="449" w:name="_Toc87455722"/>
      <w:r>
        <w:rPr>
          <w:rFonts w:hint="eastAsia" w:ascii="宋体" w:hAnsi="宋体" w:eastAsia="楷体_GB2312" w:cs="楷体_GB2312"/>
          <w:b w:val="0"/>
          <w:color w:val="auto"/>
        </w:rPr>
        <w:t>规划设计阶段</w:t>
      </w:r>
      <w:bookmarkEnd w:id="448"/>
      <w:bookmarkEnd w:id="449"/>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1</w:t>
      </w:r>
      <w:r>
        <w:rPr>
          <w:rFonts w:hint="eastAsia" w:ascii="宋体" w:hAnsi="宋体" w:eastAsia="仿宋_GB2312"/>
          <w:sz w:val="32"/>
        </w:rPr>
        <w:t>.</w:t>
      </w:r>
      <w:r>
        <w:rPr>
          <w:rFonts w:hint="eastAsia" w:ascii="宋体" w:hAnsi="宋体" w:eastAsia="仿宋_GB2312"/>
          <w:sz w:val="32"/>
          <w:lang w:eastAsia="zh-Hans"/>
        </w:rPr>
        <w:t>明确全生命周期绿色控制目标</w:t>
      </w:r>
      <w:r>
        <w:rPr>
          <w:rFonts w:hint="eastAsia" w:ascii="宋体" w:hAnsi="宋体" w:eastAsia="仿宋_GB2312"/>
          <w:sz w:val="32"/>
        </w:rPr>
        <w:t>和</w:t>
      </w:r>
      <w:r>
        <w:rPr>
          <w:rFonts w:hint="eastAsia" w:ascii="宋体" w:hAnsi="宋体" w:eastAsia="仿宋_GB2312"/>
          <w:sz w:val="32"/>
          <w:lang w:eastAsia="zh-Hans"/>
        </w:rPr>
        <w:t>舒适安全、绿色环保、经济节能的基本目的，在进行照明设计时，考虑全寿命经济性的评估，包括评估工程初始投资、电气使用耗损和电力支出、维护费用等，以获得长期节约能源与投资的目的。</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2</w:t>
      </w:r>
      <w:r>
        <w:rPr>
          <w:rFonts w:hint="eastAsia" w:ascii="宋体" w:hAnsi="宋体" w:eastAsia="仿宋_GB2312"/>
          <w:sz w:val="32"/>
        </w:rPr>
        <w:t>.</w:t>
      </w:r>
      <w:r>
        <w:rPr>
          <w:rFonts w:hint="eastAsia" w:ascii="宋体" w:hAnsi="宋体" w:eastAsia="仿宋_GB2312"/>
          <w:sz w:val="32"/>
          <w:lang w:eastAsia="zh-Hans"/>
        </w:rPr>
        <w:t>保障功能照明，调研并根据所属区域季节特性、日落时刻、极端天气、道路状态等情况设计不同应对方案，合理确定照明设施开启与关闭时间，确保群众的基本出行安全。城市景观照明设计应优化设计对象，选择在美学上、体量平衡上或建筑立面上具有表现价值的建筑作为照明对象，缩小照明对象范围</w:t>
      </w:r>
      <w:r>
        <w:rPr>
          <w:rFonts w:hint="eastAsia" w:ascii="宋体" w:hAnsi="宋体" w:eastAsia="仿宋_GB2312"/>
          <w:sz w:val="32"/>
        </w:rPr>
        <w:t>，</w:t>
      </w:r>
      <w:r>
        <w:rPr>
          <w:rFonts w:hint="eastAsia" w:ascii="宋体" w:hAnsi="宋体" w:eastAsia="仿宋_GB2312"/>
          <w:sz w:val="32"/>
          <w:lang w:eastAsia="zh-Hans"/>
        </w:rPr>
        <w:t>有效减少能源消耗。</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3</w:t>
      </w:r>
      <w:r>
        <w:rPr>
          <w:rFonts w:hint="eastAsia" w:ascii="宋体" w:hAnsi="宋体" w:eastAsia="仿宋_GB2312"/>
          <w:sz w:val="32"/>
        </w:rPr>
        <w:t>.</w:t>
      </w:r>
      <w:r>
        <w:rPr>
          <w:rFonts w:hint="eastAsia" w:ascii="宋体" w:hAnsi="宋体" w:eastAsia="仿宋_GB2312"/>
          <w:sz w:val="32"/>
          <w:lang w:eastAsia="zh-Hans"/>
        </w:rPr>
        <w:t>分析照明对象的功能、特征、风格、周围环境条件、主要视点视距，提出合适的照明方式。如玻璃幕墙不应采用泛光照明，低反射比（＜0.2）墙面和透光面积较大的外立面不宜采用泛光照明。</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4</w:t>
      </w:r>
      <w:r>
        <w:rPr>
          <w:rFonts w:hint="eastAsia" w:ascii="宋体" w:hAnsi="宋体" w:eastAsia="仿宋_GB2312"/>
          <w:sz w:val="32"/>
        </w:rPr>
        <w:t>.</w:t>
      </w:r>
      <w:r>
        <w:rPr>
          <w:rFonts w:hint="eastAsia" w:ascii="宋体" w:hAnsi="宋体" w:eastAsia="仿宋_GB2312"/>
          <w:sz w:val="32"/>
          <w:lang w:eastAsia="zh-Hans"/>
        </w:rPr>
        <w:t>提交的景观照明设计文件应规范而完整，除方案及效果表述外，还应说明节能环保措施及电气控制系统情况，以便城市景观照明管理部门对用电与投资有较为确切的把握。</w:t>
      </w:r>
    </w:p>
    <w:p>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50" w:name="_Toc87462378"/>
      <w:bookmarkStart w:id="451" w:name="_Toc87455723"/>
      <w:r>
        <w:rPr>
          <w:rFonts w:hint="eastAsia" w:ascii="宋体" w:hAnsi="宋体" w:eastAsia="楷体_GB2312" w:cs="楷体_GB2312"/>
          <w:b w:val="0"/>
          <w:color w:val="auto"/>
        </w:rPr>
        <w:t>建设实施阶段</w:t>
      </w:r>
      <w:bookmarkEnd w:id="450"/>
      <w:bookmarkEnd w:id="451"/>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照明建设严格按城市照明规划实施，保证功能照明的前提下，对各类照明区域内不同性质的建构筑物和开放空间明确光污染及能耗控制指标要求；严格规划审批，控制景观照明的范围和规模，加强设计方案的论证和审查。</w:t>
      </w:r>
    </w:p>
    <w:p>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52" w:name="_Toc87455724"/>
      <w:bookmarkStart w:id="453" w:name="_Toc87462379"/>
      <w:r>
        <w:rPr>
          <w:rFonts w:hint="eastAsia" w:ascii="宋体" w:hAnsi="宋体" w:eastAsia="楷体_GB2312" w:cs="楷体_GB2312"/>
          <w:b w:val="0"/>
          <w:color w:val="auto"/>
        </w:rPr>
        <w:t>运行维护阶段</w:t>
      </w:r>
      <w:bookmarkEnd w:id="452"/>
      <w:bookmarkEnd w:id="453"/>
    </w:p>
    <w:p>
      <w:pPr>
        <w:pStyle w:val="204"/>
        <w:adjustRightInd w:val="0"/>
        <w:spacing w:after="0" w:afterLines="0"/>
        <w:ind w:firstLine="640"/>
        <w:rPr>
          <w:rFonts w:ascii="宋体" w:hAnsi="宋体" w:eastAsia="仿宋_GB2312"/>
          <w:sz w:val="32"/>
        </w:rPr>
      </w:pPr>
      <w:r>
        <w:rPr>
          <w:rFonts w:hint="eastAsia" w:ascii="宋体" w:hAnsi="宋体" w:eastAsia="仿宋_GB2312"/>
          <w:sz w:val="32"/>
          <w:lang w:eastAsia="zh-Hans"/>
        </w:rPr>
        <w:t>积极回收、响应、解决群众对于景观照明与功能照明的建议，及时维护问题灯具，调整灯具角度，</w:t>
      </w:r>
      <w:r>
        <w:rPr>
          <w:rFonts w:hint="eastAsia" w:ascii="宋体" w:hAnsi="宋体" w:eastAsia="仿宋_GB2312"/>
          <w:sz w:val="32"/>
        </w:rPr>
        <w:t>会同</w:t>
      </w:r>
      <w:r>
        <w:rPr>
          <w:rFonts w:hint="eastAsia" w:ascii="宋体" w:hAnsi="宋体" w:eastAsia="仿宋_GB2312"/>
          <w:sz w:val="32"/>
          <w:lang w:eastAsia="zh-Hans"/>
        </w:rPr>
        <w:t>园林绿化部门定期修剪树木，保持城市夜景照明舒适环境。</w:t>
      </w:r>
    </w:p>
    <w:p>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54" w:name="_Toc87455725"/>
      <w:bookmarkStart w:id="455" w:name="_Toc87462380"/>
      <w:r>
        <w:rPr>
          <w:rFonts w:hint="eastAsia" w:ascii="宋体" w:hAnsi="宋体" w:eastAsia="楷体_GB2312" w:cs="楷体_GB2312"/>
          <w:b w:val="0"/>
          <w:color w:val="auto"/>
        </w:rPr>
        <w:t>回收阶段</w:t>
      </w:r>
      <w:bookmarkEnd w:id="454"/>
      <w:bookmarkEnd w:id="455"/>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根据各个光污染控制区内照明设施的量化指标，定期检测灯具对光污染的影响，及时制定相关防治措施，减少光污染影响。</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在照明设备充分利旧的前提下，建立明确易执行的各类照明设施使用年限标准、翻新维修细则、分类回收制度，对到达使用年限的照明设施进行改造，使翻新维修过程高效，回收过程绿色透明。</w:t>
      </w:r>
    </w:p>
    <w:p>
      <w:pPr>
        <w:pStyle w:val="5"/>
        <w:rPr>
          <w:rStyle w:val="194"/>
          <w:rFonts w:ascii="宋体" w:hAnsi="宋体" w:eastAsia="方正小标宋简体" w:cs="方正小标宋简体"/>
          <w:b w:val="0"/>
          <w:bCs w:val="0"/>
        </w:rPr>
      </w:pPr>
      <w:bookmarkStart w:id="456" w:name="_Toc7368"/>
      <w:bookmarkStart w:id="457" w:name="_Toc10116"/>
      <w:bookmarkStart w:id="458" w:name="_Toc12731"/>
      <w:bookmarkStart w:id="459" w:name="_Toc8647"/>
      <w:bookmarkStart w:id="460" w:name="_Toc20267"/>
      <w:bookmarkStart w:id="461" w:name="_Toc88656237"/>
      <w:r>
        <w:rPr>
          <w:rStyle w:val="194"/>
          <w:rFonts w:hint="eastAsia" w:ascii="宋体" w:hAnsi="宋体" w:eastAsia="方正小标宋简体" w:cs="方正小标宋简体"/>
          <w:b w:val="0"/>
          <w:bCs w:val="0"/>
        </w:rPr>
        <w:t>特色格局，营造四种夜间氛围</w:t>
      </w:r>
      <w:bookmarkEnd w:id="456"/>
      <w:bookmarkEnd w:id="457"/>
      <w:bookmarkEnd w:id="458"/>
      <w:bookmarkEnd w:id="459"/>
      <w:bookmarkEnd w:id="460"/>
      <w:bookmarkEnd w:id="461"/>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强化首都夜间“庄重大气的政治中心、古今交融的文化中心、壮丽有序的国际交往中心、简洁高效的科技创新中心”四种照明氛围，落实“一核一主一副、两轴多点一区”的城市空间结构，逐步完善“两轴、两带、三环、十八线、二十四区、滨水界面”的景观照明体系。整合重点区域夜景形象，控制夜景形态风貌，打造北京具有代表性的夜景名片，从重点区域入手，建设高品质夜间景观照明，引导城市内部景观差异化表现。详见《北京市城市景观照明设计导则》第三部分。</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62" w:name="_Toc29206"/>
      <w:bookmarkStart w:id="463" w:name="_Toc14628"/>
      <w:bookmarkStart w:id="464" w:name="_Toc21991"/>
      <w:bookmarkStart w:id="465" w:name="_Toc25861"/>
      <w:bookmarkStart w:id="466" w:name="_Toc14869"/>
      <w:bookmarkStart w:id="467" w:name="_Toc88656238"/>
      <w:r>
        <w:rPr>
          <w:rFonts w:hint="eastAsia" w:ascii="宋体" w:hAnsi="宋体" w:eastAsia="黑体" w:cs="黑体"/>
          <w:b w:val="0"/>
          <w:sz w:val="32"/>
        </w:rPr>
        <w:t>一、庄重大气的政治中心</w:t>
      </w:r>
      <w:bookmarkEnd w:id="462"/>
      <w:bookmarkEnd w:id="463"/>
      <w:bookmarkEnd w:id="464"/>
      <w:bookmarkEnd w:id="465"/>
      <w:bookmarkEnd w:id="466"/>
      <w:bookmarkEnd w:id="467"/>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优化首都功能核心区景观照明品质，以天安门广场为核心，强化“两轴、一环”的地位，补充完善未建设景观照明的重要载体，形成有序的夜间观景界面。</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68" w:name="_Toc88656239"/>
      <w:bookmarkStart w:id="469" w:name="_Toc400"/>
      <w:bookmarkStart w:id="470" w:name="_Toc3542"/>
      <w:bookmarkStart w:id="471" w:name="_Toc32007"/>
      <w:bookmarkStart w:id="472" w:name="_Toc22821"/>
      <w:bookmarkStart w:id="473" w:name="_Toc30231"/>
      <w:r>
        <w:rPr>
          <w:rFonts w:hint="eastAsia" w:ascii="宋体" w:hAnsi="宋体" w:eastAsia="黑体" w:cs="黑体"/>
          <w:b w:val="0"/>
          <w:sz w:val="32"/>
        </w:rPr>
        <w:t>二、古今交融的文化中心</w:t>
      </w:r>
      <w:bookmarkEnd w:id="468"/>
      <w:bookmarkEnd w:id="469"/>
      <w:bookmarkEnd w:id="470"/>
      <w:bookmarkEnd w:id="471"/>
      <w:bookmarkEnd w:id="472"/>
      <w:bookmarkEnd w:id="473"/>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突出北京历史文化整体价值，构建绿水青山、“两轴、十片、多点”的城市景观格局，以更开阔的视角不断挖掘历史文化内涵，提升夜间文化品位。</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结合老城区整体保护与复兴工作，对五道营胡同、东四胡同区域、南锣鼓巷、东交民巷、鲜鱼口、雍和宫区域等特色胡同街区进行景观照明改造，突出古都风韵；配合老城疏解与改造进度，丰富老城区内平安大街、两广路、西单、东单的夜景照明效果，提升夜间出行乐趣；突出历史和文化价值高地段的文化品位，优化什刹海—南锣鼓巷文化精华区、雍和宫—国子监文化精华区、琉璃厂—大栅栏—前门东文化精华区、皇城根遗址公园、明城墙遗址公园、天坛、地坛夜景，展示历史文化与传承，形成有夜间活力的历史场所，满足并丰富游客的夜间游览体验；保护明清北京城“凸”字形城廓，逐步复兴重要历史水系，展现六海映日月、八水绕京华的夜景景观，为市民提供有历史感和文化魅力的滨水开敞空间。</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推进大运河文化带、西山永定河文化带的保护利用，让首都传统文化更多地惠及民众。以元明清时期的京杭大运河为保护利用重点，分主题、分区段提升夜间景观照明，增强文化遗产的游览性和趣味性；西山永定河文化带以恢复生态功能和历史文化景观为主，配合永定河区域规划进程同步景观照明建设，打造“秀水青山”，展现“一半山水一半城”的美丽姿态。</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74" w:name="_Toc31108"/>
      <w:bookmarkStart w:id="475" w:name="_Toc88656240"/>
      <w:bookmarkStart w:id="476" w:name="_Toc28568"/>
      <w:bookmarkStart w:id="477" w:name="_Toc13037"/>
      <w:bookmarkStart w:id="478" w:name="_Toc17125"/>
      <w:bookmarkStart w:id="479" w:name="_Toc25856"/>
      <w:r>
        <w:rPr>
          <w:rFonts w:hint="eastAsia" w:ascii="宋体" w:hAnsi="宋体" w:eastAsia="黑体" w:cs="黑体"/>
          <w:b w:val="0"/>
          <w:sz w:val="32"/>
        </w:rPr>
        <w:t>三、壮丽有序的国际交往中心</w:t>
      </w:r>
      <w:bookmarkEnd w:id="474"/>
      <w:bookmarkEnd w:id="475"/>
      <w:bookmarkEnd w:id="476"/>
      <w:bookmarkEnd w:id="477"/>
      <w:bookmarkEnd w:id="478"/>
      <w:bookmarkEnd w:id="479"/>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加强沿线重要桥体照明建设，以点带线串联路径。在现状照明基础上充分利旧，灵活创新，整体形成壮丽有序、大气迎宾的夜景氛围。借助北京城市副中心建设契机，将通州区与城市副中心的夜间环境作为整体考虑，构建蓝绿交织、清新明亮、水城共融的生态景象。</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80" w:name="_Toc88656241"/>
      <w:bookmarkStart w:id="481" w:name="_Toc2778"/>
      <w:bookmarkStart w:id="482" w:name="_Toc15798"/>
      <w:bookmarkStart w:id="483" w:name="_Toc7388"/>
      <w:bookmarkStart w:id="484" w:name="_Toc32436"/>
      <w:bookmarkStart w:id="485" w:name="_Toc30733"/>
      <w:r>
        <w:rPr>
          <w:rFonts w:hint="eastAsia" w:ascii="宋体" w:hAnsi="宋体" w:eastAsia="黑体" w:cs="黑体"/>
          <w:b w:val="0"/>
          <w:sz w:val="32"/>
        </w:rPr>
        <w:t>四、简洁高效的科技创新中心</w:t>
      </w:r>
      <w:bookmarkEnd w:id="480"/>
      <w:bookmarkEnd w:id="481"/>
      <w:bookmarkEnd w:id="482"/>
      <w:bookmarkEnd w:id="483"/>
      <w:bookmarkEnd w:id="484"/>
      <w:bookmarkEnd w:id="485"/>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积极展示北京经济发展新高地，对于中关村科学城、怀柔科学城、未来科学城、经济技术开发区等城市重点发展区，配合项目进程同步景观照明建设。</w:t>
      </w:r>
    </w:p>
    <w:p>
      <w:pPr>
        <w:pStyle w:val="5"/>
        <w:rPr>
          <w:rStyle w:val="194"/>
          <w:rFonts w:ascii="宋体" w:hAnsi="宋体" w:eastAsia="方正小标宋简体" w:cs="方正小标宋简体"/>
          <w:b w:val="0"/>
          <w:bCs w:val="0"/>
        </w:rPr>
      </w:pPr>
      <w:bookmarkStart w:id="486" w:name="_Toc88656242"/>
      <w:bookmarkStart w:id="487" w:name="_Toc17860"/>
      <w:bookmarkStart w:id="488" w:name="_Toc32300"/>
      <w:bookmarkStart w:id="489" w:name="_Toc28558"/>
      <w:bookmarkStart w:id="490" w:name="_Toc30838"/>
      <w:bookmarkStart w:id="491" w:name="_Toc21464"/>
      <w:r>
        <w:rPr>
          <w:rStyle w:val="194"/>
          <w:rFonts w:hint="eastAsia" w:ascii="宋体" w:hAnsi="宋体" w:eastAsia="方正小标宋简体" w:cs="方正小标宋简体"/>
          <w:b w:val="0"/>
          <w:bCs w:val="0"/>
        </w:rPr>
        <w:t>夜游赋能，营造夜间繁荣消费</w:t>
      </w:r>
      <w:bookmarkEnd w:id="486"/>
      <w:bookmarkEnd w:id="487"/>
      <w:r>
        <w:rPr>
          <w:rStyle w:val="194"/>
          <w:rFonts w:hint="eastAsia" w:ascii="宋体" w:hAnsi="宋体" w:eastAsia="方正小标宋简体" w:cs="方正小标宋简体"/>
          <w:b w:val="0"/>
          <w:bCs w:val="0"/>
        </w:rPr>
        <w:t>环境</w:t>
      </w:r>
      <w:bookmarkEnd w:id="488"/>
      <w:bookmarkEnd w:id="489"/>
      <w:bookmarkEnd w:id="490"/>
      <w:bookmarkEnd w:id="491"/>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92" w:name="_Toc230"/>
      <w:bookmarkStart w:id="493" w:name="_Toc2077"/>
      <w:bookmarkStart w:id="494" w:name="_Toc18809"/>
      <w:bookmarkStart w:id="495" w:name="_Toc31135"/>
      <w:bookmarkStart w:id="496" w:name="_Toc8717"/>
      <w:bookmarkStart w:id="497" w:name="_Toc88656243"/>
      <w:r>
        <w:rPr>
          <w:rFonts w:hint="eastAsia" w:ascii="宋体" w:hAnsi="宋体" w:eastAsia="黑体" w:cs="黑体"/>
          <w:b w:val="0"/>
          <w:sz w:val="32"/>
        </w:rPr>
        <w:t>一、打造“夜京城”消费活力地标</w:t>
      </w:r>
      <w:bookmarkEnd w:id="492"/>
      <w:bookmarkEnd w:id="493"/>
      <w:bookmarkEnd w:id="494"/>
      <w:bookmarkEnd w:id="495"/>
      <w:bookmarkEnd w:id="496"/>
      <w:bookmarkEnd w:id="497"/>
    </w:p>
    <w:p>
      <w:pPr>
        <w:pStyle w:val="204"/>
        <w:adjustRightInd w:val="0"/>
        <w:spacing w:after="0" w:afterLines="0"/>
        <w:ind w:firstLine="640"/>
        <w:rPr>
          <w:rFonts w:ascii="宋体" w:hAnsi="宋体" w:eastAsia="仿宋_GB2312"/>
          <w:sz w:val="32"/>
        </w:rPr>
      </w:pPr>
      <w:r>
        <w:rPr>
          <w:rFonts w:hint="eastAsia" w:ascii="宋体" w:hAnsi="宋体" w:eastAsia="仿宋_GB2312"/>
          <w:sz w:val="32"/>
        </w:rPr>
        <w:t>打造具有文化时尚魅力的夜间消费活力地标。在王府井步行街、前门和大栅栏、西单和金融街、国贸、三里屯、首钢园、五棵松、亮马河、丽泽、金盏国际合作服务区等区域打造首批“夜京城”消费活力地标景观照明，分别围绕“文化+潮流”“品牌+品质”“体育+创意”“时尚+跨界”“数字+商务”等主题，提升基础设施及配套照明，大力发展具有创新引领和品牌吸引力的夜间游乐消费业态，打造独具人文魅力的国际一流商业街区、精品游乐承载地与商务出行首选地、“一站式”家庭购物目的地和高品质休闲聚会首选地，吸引国内外消费者。</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98" w:name="_Toc88656244"/>
      <w:bookmarkStart w:id="499" w:name="_Toc19414"/>
      <w:bookmarkStart w:id="500" w:name="_Toc28172"/>
      <w:bookmarkStart w:id="501" w:name="_Toc10902"/>
      <w:bookmarkStart w:id="502" w:name="_Toc12899"/>
      <w:bookmarkStart w:id="503" w:name="_Toc22021"/>
      <w:r>
        <w:rPr>
          <w:rFonts w:hint="eastAsia" w:ascii="宋体" w:hAnsi="宋体" w:eastAsia="黑体" w:cs="黑体"/>
          <w:b w:val="0"/>
          <w:sz w:val="32"/>
        </w:rPr>
        <w:t>二、升级“夜京城”商圈</w:t>
      </w:r>
      <w:bookmarkEnd w:id="498"/>
      <w:r>
        <w:rPr>
          <w:rFonts w:hint="eastAsia" w:ascii="宋体" w:hAnsi="宋体" w:eastAsia="黑体" w:cs="黑体"/>
          <w:b w:val="0"/>
          <w:sz w:val="32"/>
        </w:rPr>
        <w:t>照明</w:t>
      </w:r>
      <w:bookmarkEnd w:id="499"/>
      <w:bookmarkEnd w:id="500"/>
      <w:bookmarkEnd w:id="501"/>
      <w:bookmarkEnd w:id="502"/>
      <w:bookmarkEnd w:id="503"/>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在蓝色港湾、世贸天阶、簋街、合生汇、郎园、食宝街、荟聚、中粮·祥云小镇、奥林匹克公园等区域，打造首批“夜京城”商圈照明，形成“商旅文体”融合发展的夜间消费氛围，持续推进公主坟商圈等一批传统商圈照明改造升级，依托城市更新，打造主辅街融合发展的多元化夜间消费场景，提升夜间消费品质，辐射热点地区消费者。</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04" w:name="_Toc88656245"/>
      <w:bookmarkStart w:id="505" w:name="_Toc32"/>
      <w:bookmarkStart w:id="506" w:name="_Toc11346"/>
      <w:bookmarkStart w:id="507" w:name="_Toc11536"/>
      <w:bookmarkStart w:id="508" w:name="_Toc12387"/>
      <w:bookmarkStart w:id="509" w:name="_Toc18717"/>
      <w:r>
        <w:rPr>
          <w:rFonts w:hint="eastAsia" w:ascii="宋体" w:hAnsi="宋体" w:eastAsia="黑体" w:cs="黑体"/>
          <w:b w:val="0"/>
          <w:sz w:val="32"/>
        </w:rPr>
        <w:t>三、建设城市副中心消费圈</w:t>
      </w:r>
      <w:bookmarkEnd w:id="504"/>
      <w:r>
        <w:rPr>
          <w:rFonts w:hint="eastAsia" w:ascii="宋体" w:hAnsi="宋体" w:eastAsia="黑体" w:cs="黑体"/>
          <w:b w:val="0"/>
          <w:sz w:val="32"/>
        </w:rPr>
        <w:t>照明</w:t>
      </w:r>
      <w:bookmarkEnd w:id="505"/>
      <w:bookmarkEnd w:id="506"/>
      <w:bookmarkEnd w:id="507"/>
      <w:bookmarkEnd w:id="508"/>
      <w:bookmarkEnd w:id="509"/>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以北京环球主题公园、大运河景区、张家湾设计小镇、台湖演艺小镇、宋庄艺术小镇建设为重点，建设国际一流的城市副中心文化设施集群照明。植入夜间消费业态，培育夜间消费场景，提升夜间消费体验，改善城市副中心居民夜间生活品质。</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10" w:name="_Toc15572"/>
      <w:bookmarkStart w:id="511" w:name="_Toc12303"/>
      <w:bookmarkStart w:id="512" w:name="_Toc9930"/>
      <w:bookmarkStart w:id="513" w:name="_Toc88656246"/>
      <w:bookmarkStart w:id="514" w:name="_Toc22494"/>
      <w:bookmarkStart w:id="515" w:name="_Toc3872"/>
      <w:r>
        <w:rPr>
          <w:rFonts w:hint="eastAsia" w:ascii="宋体" w:hAnsi="宋体" w:eastAsia="黑体" w:cs="黑体"/>
          <w:b w:val="0"/>
          <w:sz w:val="32"/>
        </w:rPr>
        <w:t>四、培育“夜京城”生活圈</w:t>
      </w:r>
      <w:bookmarkEnd w:id="510"/>
      <w:bookmarkEnd w:id="511"/>
      <w:bookmarkEnd w:id="512"/>
      <w:bookmarkEnd w:id="513"/>
      <w:bookmarkEnd w:id="514"/>
      <w:bookmarkEnd w:id="515"/>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依托北京市“多点一区”消费布局，在上地—永丰—西北旺、五道口、常营、方庄、鲁谷、梨园、永顺、回龙观、天通苑等区域，培育首批“夜京城”生活圈，提升基础设施及配套照明，促进居民夜间消费。</w:t>
      </w:r>
    </w:p>
    <w:p>
      <w:pPr>
        <w:pStyle w:val="5"/>
        <w:rPr>
          <w:rStyle w:val="194"/>
          <w:rFonts w:ascii="宋体" w:hAnsi="宋体" w:eastAsia="方正小标宋简体" w:cs="方正小标宋简体"/>
          <w:b w:val="0"/>
          <w:bCs w:val="0"/>
        </w:rPr>
      </w:pPr>
      <w:bookmarkStart w:id="516" w:name="_Toc23002"/>
      <w:bookmarkStart w:id="517" w:name="_Toc30208"/>
      <w:bookmarkStart w:id="518" w:name="_Toc88656247"/>
      <w:bookmarkStart w:id="519" w:name="_Toc5786"/>
      <w:bookmarkStart w:id="520" w:name="_Toc23796"/>
      <w:bookmarkStart w:id="521" w:name="_Toc28493"/>
      <w:r>
        <w:rPr>
          <w:rStyle w:val="194"/>
          <w:rFonts w:hint="eastAsia" w:ascii="宋体" w:hAnsi="宋体" w:eastAsia="方正小标宋简体" w:cs="方正小标宋简体"/>
          <w:b w:val="0"/>
          <w:bCs w:val="0"/>
        </w:rPr>
        <w:t>国事庆典，灯光助力大国首都风范</w:t>
      </w:r>
      <w:bookmarkEnd w:id="516"/>
      <w:bookmarkEnd w:id="517"/>
      <w:bookmarkEnd w:id="518"/>
      <w:bookmarkEnd w:id="519"/>
      <w:bookmarkEnd w:id="520"/>
      <w:bookmarkEnd w:id="521"/>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十四五”时期，2021年庆祝中国共产党成立100周年、2022年冬奥会和冬残奥会及召开党的二十大等重大国事活动，是彰显首都国际交往中心风采的重要契机。未来的首都夜间环境应重点传承“双奥之城”无形资产，以天安门为核心，长安街和中轴线为纽带，综合考虑临时照明设施和永久照明设施间互补效应，持续展现首都独特壮美空间秩序。</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22" w:name="_Toc13572"/>
      <w:bookmarkStart w:id="523" w:name="_Toc88656248"/>
      <w:bookmarkStart w:id="524" w:name="_Toc24265"/>
      <w:bookmarkStart w:id="525" w:name="_Toc26723"/>
      <w:bookmarkStart w:id="526" w:name="_Toc17364"/>
      <w:bookmarkStart w:id="527" w:name="_Toc17902"/>
      <w:r>
        <w:rPr>
          <w:rFonts w:hint="eastAsia" w:ascii="宋体" w:hAnsi="宋体" w:eastAsia="黑体" w:cs="黑体"/>
          <w:b w:val="0"/>
          <w:sz w:val="32"/>
        </w:rPr>
        <w:t>一、</w:t>
      </w:r>
      <w:bookmarkEnd w:id="522"/>
      <w:bookmarkEnd w:id="523"/>
      <w:bookmarkEnd w:id="524"/>
      <w:bookmarkEnd w:id="525"/>
      <w:bookmarkEnd w:id="526"/>
      <w:r>
        <w:rPr>
          <w:rFonts w:hint="eastAsia" w:ascii="宋体" w:hAnsi="宋体" w:eastAsia="黑体" w:cs="黑体"/>
          <w:b w:val="0"/>
          <w:sz w:val="32"/>
        </w:rPr>
        <w:t>彰显“双奥”优势</w:t>
      </w:r>
      <w:bookmarkEnd w:id="527"/>
    </w:p>
    <w:p>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进一步优化以天安门为核心的</w:t>
      </w:r>
      <w:bookmarkStart w:id="713" w:name="_GoBack"/>
      <w:bookmarkEnd w:id="713"/>
      <w:r>
        <w:rPr>
          <w:rFonts w:hint="eastAsia" w:ascii="宋体" w:hAnsi="宋体" w:eastAsia="仿宋_GB2312"/>
          <w:sz w:val="32"/>
        </w:rPr>
        <w:t>政务环境和冬奥场馆区夜间环境品质，完善北京“双奥”奥运村、奥运会场馆区、首钢园区、延庆冬奥村等地的景观照明，营造符合冬奥主题、时代精神的一系列灯光演绎。强化大兴机场、北京南站等城市重要门户区景观照明；突出阜石路、北京—延庆冬奥会场馆联系线上重要节点，以点带线、以线连面优化夜间环境。</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28" w:name="_Toc88656249"/>
      <w:bookmarkStart w:id="529" w:name="_Toc29082"/>
      <w:bookmarkStart w:id="530" w:name="_Toc31350"/>
      <w:bookmarkStart w:id="531" w:name="_Toc14132"/>
      <w:bookmarkStart w:id="532" w:name="_Toc4806"/>
      <w:bookmarkStart w:id="533" w:name="_Toc2770"/>
      <w:r>
        <w:rPr>
          <w:rFonts w:hint="eastAsia" w:ascii="宋体" w:hAnsi="宋体" w:eastAsia="黑体" w:cs="黑体"/>
          <w:b w:val="0"/>
          <w:sz w:val="32"/>
        </w:rPr>
        <w:t>二、</w:t>
      </w:r>
      <w:bookmarkEnd w:id="528"/>
      <w:r>
        <w:rPr>
          <w:rFonts w:hint="eastAsia" w:ascii="宋体" w:hAnsi="宋体" w:eastAsia="黑体" w:cs="黑体"/>
          <w:b w:val="0"/>
          <w:sz w:val="32"/>
        </w:rPr>
        <w:t>重大活动服务保障</w:t>
      </w:r>
      <w:bookmarkEnd w:id="529"/>
      <w:bookmarkEnd w:id="530"/>
      <w:bookmarkEnd w:id="531"/>
      <w:bookmarkEnd w:id="532"/>
      <w:bookmarkEnd w:id="533"/>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着眼保障首都政务工作、重大活动组织、节日庆典等工作安全、高效、有序开展，加强部门协调，持续提升首都夜间环境魅力，秉持科技创新、绿色节能的原则，对于举办活动的重点地区和重要街道，根据景观照明建设情况进行新增、维护或增设临时照明设施；对于天安门、长安街、中轴线以及重要联络线等区域可根据活动需求增设临时照明设施。活动举办前应进行全面安全巡检，消除安全隐患。</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对于活动新建、改建、扩建、维护的景观照明设施，在活动后应结合城市风貌、节庆主题，适当调整，按照北京市景观照明设施运行要求运行。</w:t>
      </w:r>
    </w:p>
    <w:p>
      <w:pPr>
        <w:pStyle w:val="5"/>
        <w:rPr>
          <w:rStyle w:val="194"/>
          <w:rFonts w:ascii="宋体" w:hAnsi="宋体" w:eastAsia="方正小标宋简体" w:cs="方正小标宋简体"/>
          <w:b w:val="0"/>
          <w:bCs w:val="0"/>
        </w:rPr>
      </w:pPr>
      <w:bookmarkStart w:id="534" w:name="_Toc88656250"/>
      <w:bookmarkStart w:id="535" w:name="_Toc29572"/>
      <w:bookmarkStart w:id="536" w:name="_Toc5916"/>
      <w:bookmarkStart w:id="537" w:name="_Toc17442"/>
      <w:bookmarkStart w:id="538" w:name="_Toc17297"/>
      <w:bookmarkStart w:id="539" w:name="_Toc11224"/>
      <w:r>
        <w:rPr>
          <w:rStyle w:val="194"/>
          <w:rFonts w:hint="eastAsia" w:ascii="宋体" w:hAnsi="宋体" w:eastAsia="方正小标宋简体" w:cs="方正小标宋简体"/>
          <w:b w:val="0"/>
          <w:bCs w:val="0"/>
        </w:rPr>
        <w:t>精细管理，高品质照明治理新局面</w:t>
      </w:r>
      <w:bookmarkEnd w:id="534"/>
      <w:bookmarkEnd w:id="535"/>
      <w:bookmarkEnd w:id="536"/>
      <w:bookmarkEnd w:id="537"/>
      <w:bookmarkEnd w:id="538"/>
      <w:bookmarkEnd w:id="539"/>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40" w:name="_Toc18180"/>
      <w:bookmarkStart w:id="541" w:name="_Toc17506"/>
      <w:bookmarkStart w:id="542" w:name="_Toc6405"/>
      <w:bookmarkStart w:id="543" w:name="_Toc25044"/>
      <w:bookmarkStart w:id="544" w:name="_Toc88656251"/>
      <w:bookmarkStart w:id="545" w:name="_Toc4625"/>
      <w:r>
        <w:rPr>
          <w:rFonts w:hint="eastAsia" w:ascii="宋体" w:hAnsi="宋体" w:eastAsia="黑体" w:cs="黑体"/>
          <w:b w:val="0"/>
          <w:sz w:val="32"/>
        </w:rPr>
        <w:t>一、规范编制，建立长效机制</w:t>
      </w:r>
      <w:bookmarkEnd w:id="540"/>
      <w:bookmarkEnd w:id="541"/>
      <w:bookmarkEnd w:id="542"/>
      <w:bookmarkEnd w:id="543"/>
      <w:bookmarkEnd w:id="544"/>
      <w:bookmarkEnd w:id="545"/>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出台城市照明管理相关规章，完善《城市道路照明运行维护规范》《城市景观照明运行维护规范》等各类北京市地方标准。规范日常巡查和维护工作，提高城市照明治理能力，提高12345市民服务热线的响应率，针对“有灯不亮”等问题，做到接诉即办，确保照明设施安全、平稳运行。</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46" w:name="_Toc88656252"/>
      <w:bookmarkStart w:id="547" w:name="_Toc29752"/>
      <w:bookmarkStart w:id="548" w:name="_Toc28586"/>
      <w:bookmarkStart w:id="549" w:name="_Toc23286"/>
      <w:bookmarkStart w:id="550" w:name="_Toc15529"/>
      <w:bookmarkStart w:id="551" w:name="_Toc17300"/>
      <w:r>
        <w:rPr>
          <w:rFonts w:hint="eastAsia" w:ascii="宋体" w:hAnsi="宋体" w:eastAsia="黑体" w:cs="黑体"/>
          <w:b w:val="0"/>
          <w:sz w:val="32"/>
        </w:rPr>
        <w:t>二、隐患排查，优化措施方法</w:t>
      </w:r>
      <w:bookmarkEnd w:id="546"/>
      <w:bookmarkEnd w:id="547"/>
      <w:bookmarkEnd w:id="548"/>
      <w:bookmarkEnd w:id="549"/>
      <w:bookmarkEnd w:id="550"/>
      <w:bookmarkEnd w:id="551"/>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全面开展城市功能照明设施和景观照明设施的安全隐患排查整治工作，有序整改照明设施安全隐患问题，加强城市照明安全管理.</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1.灯具光源巡检：结合市级情况建立巡视制度，制定维护计划及要求，定期擦拭、更换光源和灯具，及时修复故障光源、灯具。</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2.电缆及架空线路巡视：对于运行5年以上的电缆或重要地区电缆，在每年雨水少的季节进行一次绝缘测试，及时更换绝缘不达标的电缆；对不带绝缘皮的架空线路每月至少巡视一次；大风、大雨、大雪等恶劣天气前后要及时检查线缆稳定性。</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3.变压器维护：每年春季安排一次全面检修，雨季前进行防汛布防。</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4.灯杆检修门、工井等设备维护：随灯具一同巡视，发现问题24小时内予以恢复。</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5.对于重要地区或者可能引发事故的隐患问题，应当立即组织排除隐患。</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6.如实填写巡视和维护记录。</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7.行政管理部门及维护管理单位应及时落实群众来电、来信、来访所反映的问题。</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8.城市照明维护单位应定期对照明灯具进行清扫，改善照明效果，保证照明设施美观整洁。</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9.市区两级城市照明行政主管部门应当与园林绿化部门建立联动机制，可采用修剪树木等方式妥善解决道路照明与树木生长的矛盾，新建路段应避免路灯与树木处于同一轴线。</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提升专业服务水平，对于排查出的问题，需在第一时间进行处置，完善城市功能照明，消灭无灯区。 </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重大活动庆典期间应加大排查力度，</w:t>
      </w:r>
      <w:r>
        <w:rPr>
          <w:rFonts w:hint="eastAsia" w:ascii="宋体" w:hAnsi="宋体" w:eastAsia="仿宋_GB2312"/>
          <w:sz w:val="32"/>
          <w:lang w:eastAsia="zh-Hans"/>
        </w:rPr>
        <w:t>在重要节假日、重要活动保障前夕，应对景观照明设施、供配电设施进行全面检查。需要根据重要节假日开灯保障任务有针对性试灯，确保景观照明正常亮灯，</w:t>
      </w:r>
      <w:r>
        <w:rPr>
          <w:rFonts w:hint="eastAsia" w:ascii="宋体" w:hAnsi="宋体" w:eastAsia="仿宋_GB2312"/>
          <w:sz w:val="32"/>
        </w:rPr>
        <w:t>提高首都安全保障水平。</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52" w:name="_Toc14790"/>
      <w:bookmarkStart w:id="553" w:name="_Toc22346"/>
      <w:bookmarkStart w:id="554" w:name="_Toc5350"/>
      <w:bookmarkStart w:id="555" w:name="_Toc88656253"/>
      <w:bookmarkStart w:id="556" w:name="_Toc8614"/>
      <w:bookmarkStart w:id="557" w:name="_Toc8508"/>
      <w:r>
        <w:rPr>
          <w:rFonts w:hint="eastAsia" w:ascii="宋体" w:hAnsi="宋体" w:eastAsia="黑体" w:cs="黑体"/>
          <w:b w:val="0"/>
          <w:sz w:val="32"/>
        </w:rPr>
        <w:t>三、部门统筹，健全体制机制</w:t>
      </w:r>
      <w:bookmarkEnd w:id="552"/>
      <w:bookmarkEnd w:id="553"/>
      <w:bookmarkEnd w:id="554"/>
      <w:bookmarkEnd w:id="555"/>
      <w:bookmarkEnd w:id="556"/>
      <w:bookmarkEnd w:id="557"/>
    </w:p>
    <w:p>
      <w:pPr>
        <w:pStyle w:val="204"/>
        <w:adjustRightInd w:val="0"/>
        <w:spacing w:after="0" w:afterLines="0"/>
        <w:ind w:firstLine="640"/>
        <w:rPr>
          <w:rFonts w:ascii="宋体" w:hAnsi="宋体"/>
        </w:rPr>
      </w:pPr>
      <w:r>
        <w:rPr>
          <w:rFonts w:hint="eastAsia" w:ascii="宋体" w:hAnsi="宋体" w:eastAsia="仿宋_GB2312"/>
          <w:sz w:val="32"/>
        </w:rPr>
        <w:t>推进道路照明规划建设管理全流程、全覆盖有效监管，进一步明晰行政机关、事业单位、企业单位的职责分工，按照政事分开、事企分开的原则，破除现行体制机制障碍，科学调整现行道路照明运管机制，逐步完善道路照明规划、建设、运维管理体系。</w:t>
      </w:r>
    </w:p>
    <w:p>
      <w:pPr>
        <w:pStyle w:val="5"/>
        <w:rPr>
          <w:rStyle w:val="194"/>
          <w:rFonts w:ascii="宋体" w:hAnsi="宋体" w:eastAsia="方正小标宋简体" w:cs="方正小标宋简体"/>
          <w:b w:val="0"/>
          <w:bCs w:val="0"/>
        </w:rPr>
      </w:pPr>
      <w:bookmarkStart w:id="558" w:name="_Toc26137"/>
      <w:bookmarkStart w:id="559" w:name="_Toc32715"/>
      <w:bookmarkStart w:id="560" w:name="_Toc18632"/>
      <w:bookmarkStart w:id="561" w:name="_Toc88656254"/>
      <w:bookmarkStart w:id="562" w:name="_Toc30763"/>
      <w:bookmarkStart w:id="563" w:name="_Toc29033"/>
      <w:r>
        <w:rPr>
          <w:rStyle w:val="194"/>
          <w:rFonts w:hint="eastAsia" w:ascii="宋体" w:hAnsi="宋体" w:eastAsia="方正小标宋简体" w:cs="方正小标宋简体"/>
          <w:b w:val="0"/>
          <w:bCs w:val="0"/>
        </w:rPr>
        <w:t>科技引领，构建智慧城市照明体系</w:t>
      </w:r>
      <w:bookmarkEnd w:id="558"/>
      <w:bookmarkEnd w:id="559"/>
      <w:bookmarkEnd w:id="560"/>
      <w:bookmarkEnd w:id="561"/>
      <w:bookmarkEnd w:id="562"/>
      <w:bookmarkEnd w:id="563"/>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64" w:name="_Toc3813"/>
      <w:bookmarkStart w:id="565" w:name="_Toc13722"/>
      <w:bookmarkStart w:id="566" w:name="_Toc976"/>
      <w:bookmarkStart w:id="567" w:name="_Toc3830"/>
      <w:bookmarkStart w:id="568" w:name="_Toc88656255"/>
      <w:bookmarkStart w:id="569" w:name="_Toc22493"/>
      <w:r>
        <w:rPr>
          <w:rFonts w:hint="eastAsia" w:ascii="宋体" w:hAnsi="宋体" w:eastAsia="黑体" w:cs="黑体"/>
          <w:b w:val="0"/>
          <w:sz w:val="32"/>
        </w:rPr>
        <w:t>一、信息化智慧化管控平台</w:t>
      </w:r>
      <w:bookmarkEnd w:id="564"/>
      <w:bookmarkEnd w:id="565"/>
      <w:bookmarkEnd w:id="566"/>
      <w:bookmarkEnd w:id="567"/>
      <w:bookmarkEnd w:id="568"/>
      <w:bookmarkEnd w:id="569"/>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将北京科技创新优势融入城市照明建设和管理工作中，通过搭建市、区两级智能化管控平台，逐步完善分区路灯管理体系及监控系统，提升工控系统网络安全水平。同时，实现对设备的精细化监测，提高自动化水平。</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70" w:name="_Toc13505"/>
      <w:bookmarkStart w:id="571" w:name="_Toc88656256"/>
      <w:bookmarkStart w:id="572" w:name="_Toc19040"/>
      <w:bookmarkStart w:id="573" w:name="_Toc11954"/>
      <w:bookmarkStart w:id="574" w:name="_Toc25714"/>
      <w:bookmarkStart w:id="575" w:name="_Toc10069"/>
      <w:r>
        <w:rPr>
          <w:rFonts w:hint="eastAsia" w:ascii="宋体" w:hAnsi="宋体" w:eastAsia="黑体" w:cs="黑体"/>
          <w:b w:val="0"/>
          <w:sz w:val="32"/>
        </w:rPr>
        <w:t>二、数媒技术共创“智慧城市”</w:t>
      </w:r>
      <w:bookmarkEnd w:id="570"/>
      <w:bookmarkEnd w:id="571"/>
      <w:bookmarkEnd w:id="572"/>
      <w:bookmarkEnd w:id="573"/>
      <w:bookmarkEnd w:id="574"/>
      <w:bookmarkEnd w:id="575"/>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发挥北京科技创新优势，开展搭建新数字媒体技术，“虚拟现实系统”辅助城市照明规划审批工作的必要性、可行性研究，推进北京“智慧城市”进程，加强精细化管理。</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76" w:name="_Toc22621"/>
      <w:bookmarkStart w:id="577" w:name="_Toc4522"/>
      <w:bookmarkStart w:id="578" w:name="_Toc88656257"/>
      <w:bookmarkStart w:id="579" w:name="_Toc13545"/>
      <w:bookmarkStart w:id="580" w:name="_Toc20771"/>
      <w:bookmarkStart w:id="581" w:name="_Toc16769"/>
      <w:r>
        <w:rPr>
          <w:rFonts w:hint="eastAsia" w:ascii="宋体" w:hAnsi="宋体" w:eastAsia="黑体" w:cs="黑体"/>
          <w:b w:val="0"/>
          <w:sz w:val="32"/>
        </w:rPr>
        <w:t>三、系统互联共建智慧照明</w:t>
      </w:r>
      <w:bookmarkEnd w:id="576"/>
      <w:bookmarkEnd w:id="577"/>
      <w:bookmarkEnd w:id="578"/>
      <w:bookmarkEnd w:id="579"/>
      <w:bookmarkEnd w:id="580"/>
      <w:bookmarkEnd w:id="581"/>
    </w:p>
    <w:p>
      <w:pPr>
        <w:pStyle w:val="204"/>
        <w:adjustRightInd w:val="0"/>
        <w:spacing w:after="0" w:afterLines="0"/>
        <w:ind w:firstLine="640"/>
        <w:rPr>
          <w:rFonts w:ascii="宋体" w:hAnsi="宋体"/>
        </w:rPr>
      </w:pPr>
      <w:r>
        <w:rPr>
          <w:rFonts w:hint="eastAsia" w:ascii="宋体" w:hAnsi="宋体" w:eastAsia="仿宋_GB2312"/>
          <w:sz w:val="32"/>
        </w:rPr>
        <w:t>通过监控系统、地理信息系统、电费分析系统、运维管理系统、生产管理等系统数据的互联互通，在运行维护阶段实现智慧亮灭灯监控、高效运维、检修、抢修的一体化管理，提升城市照明管理的现代化水平。</w:t>
      </w:r>
    </w:p>
    <w:p>
      <w:pPr>
        <w:pStyle w:val="204"/>
        <w:spacing w:after="156"/>
        <w:ind w:firstLine="600"/>
        <w:rPr>
          <w:rFonts w:ascii="宋体" w:hAnsi="宋体"/>
        </w:rPr>
        <w:sectPr>
          <w:footerReference r:id="rId7" w:type="default"/>
          <w:pgSz w:w="11906" w:h="16838"/>
          <w:pgMar w:top="2098" w:right="1474" w:bottom="1984" w:left="1587" w:header="850" w:footer="1587" w:gutter="0"/>
          <w:cols w:space="0" w:num="1"/>
          <w:docGrid w:type="lines" w:linePitch="312" w:charSpace="0"/>
        </w:sectPr>
      </w:pPr>
    </w:p>
    <w:p>
      <w:pPr>
        <w:pStyle w:val="5"/>
        <w:rPr>
          <w:rStyle w:val="194"/>
          <w:rFonts w:ascii="宋体" w:hAnsi="宋体" w:eastAsia="方正小标宋简体" w:cs="方正小标宋简体"/>
          <w:b w:val="0"/>
          <w:bCs w:val="0"/>
        </w:rPr>
      </w:pPr>
      <w:bookmarkStart w:id="582" w:name="_Toc32204"/>
      <w:bookmarkStart w:id="583" w:name="_Toc29836"/>
      <w:bookmarkStart w:id="584" w:name="_Toc7445"/>
      <w:bookmarkStart w:id="585" w:name="_Toc88656258"/>
      <w:bookmarkStart w:id="586" w:name="_Toc6894"/>
      <w:bookmarkStart w:id="587" w:name="_Toc2834"/>
      <w:r>
        <w:rPr>
          <w:rStyle w:val="194"/>
          <w:rFonts w:hint="eastAsia" w:ascii="宋体" w:hAnsi="宋体" w:eastAsia="方正小标宋简体" w:cs="方正小标宋简体"/>
          <w:b w:val="0"/>
          <w:bCs w:val="0"/>
        </w:rPr>
        <w:t>专项行动与重点项目</w:t>
      </w:r>
      <w:bookmarkEnd w:id="582"/>
      <w:bookmarkEnd w:id="583"/>
      <w:bookmarkEnd w:id="584"/>
      <w:bookmarkEnd w:id="585"/>
      <w:bookmarkEnd w:id="586"/>
      <w:bookmarkEnd w:id="587"/>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88" w:name="_Toc5238"/>
      <w:bookmarkStart w:id="589" w:name="_Toc11152"/>
      <w:bookmarkStart w:id="590" w:name="_Toc5627"/>
      <w:bookmarkStart w:id="591" w:name="_Toc30822"/>
      <w:bookmarkStart w:id="592" w:name="_Toc16992"/>
      <w:bookmarkStart w:id="593" w:name="_Toc88656259"/>
      <w:r>
        <w:rPr>
          <w:rFonts w:hint="eastAsia" w:ascii="宋体" w:hAnsi="宋体" w:eastAsia="黑体" w:cs="黑体"/>
          <w:b w:val="0"/>
          <w:sz w:val="32"/>
        </w:rPr>
        <w:t>一、路灯问题治理专项行动</w:t>
      </w:r>
      <w:bookmarkEnd w:id="588"/>
      <w:bookmarkEnd w:id="589"/>
      <w:bookmarkEnd w:id="590"/>
      <w:bookmarkEnd w:id="591"/>
      <w:bookmarkEnd w:id="592"/>
      <w:bookmarkEnd w:id="593"/>
    </w:p>
    <w:p>
      <w:pPr>
        <w:pStyle w:val="2"/>
        <w:numPr>
          <w:ilvl w:val="0"/>
          <w:numId w:val="24"/>
        </w:numPr>
        <w:spacing w:before="0" w:beforeLines="0" w:after="0" w:afterLines="0"/>
        <w:ind w:firstLine="640" w:firstLineChars="200"/>
        <w:rPr>
          <w:rFonts w:ascii="宋体" w:hAnsi="宋体" w:eastAsia="楷体_GB2312" w:cs="楷体_GB2312"/>
          <w:b w:val="0"/>
          <w:color w:val="auto"/>
        </w:rPr>
      </w:pPr>
      <w:bookmarkStart w:id="594" w:name="_Toc87455750"/>
      <w:r>
        <w:rPr>
          <w:rFonts w:hint="eastAsia" w:ascii="宋体" w:hAnsi="宋体" w:eastAsia="楷体_GB2312" w:cs="楷体_GB2312"/>
          <w:b w:val="0"/>
          <w:color w:val="auto"/>
        </w:rPr>
        <w:t>行动目标</w:t>
      </w:r>
      <w:bookmarkEnd w:id="594"/>
    </w:p>
    <w:p>
      <w:pPr>
        <w:pStyle w:val="204"/>
        <w:adjustRightInd w:val="0"/>
        <w:spacing w:after="0" w:afterLines="0"/>
        <w:ind w:firstLine="640"/>
        <w:rPr>
          <w:rFonts w:ascii="宋体" w:hAnsi="宋体" w:eastAsia="仿宋_GB2312"/>
          <w:sz w:val="32"/>
        </w:rPr>
      </w:pPr>
      <w:r>
        <w:rPr>
          <w:rFonts w:hint="eastAsia" w:ascii="宋体" w:hAnsi="宋体" w:eastAsia="仿宋_GB2312"/>
          <w:sz w:val="32"/>
        </w:rPr>
        <w:t>有效解决全市“有路无灯、有灯不亮”等路灯照明问题，关注市民生活区夜间环境，让路灯照亮市民回家路。在“十四五”末期，城市照明设施完好率、亮灯率达到主要指标，实现市民路灯投诉率大幅下降，诉求解决率达到93%以上、回访满意率达到95%以上。初步实现城市照明管理智能化，打造首都安全、舒适、优质、绿色的夜间照明环境。</w:t>
      </w:r>
    </w:p>
    <w:p>
      <w:pPr>
        <w:pStyle w:val="2"/>
        <w:numPr>
          <w:ilvl w:val="0"/>
          <w:numId w:val="24"/>
        </w:numPr>
        <w:spacing w:before="0" w:beforeLines="0" w:after="0" w:afterLines="0"/>
        <w:ind w:firstLine="640" w:firstLineChars="200"/>
        <w:rPr>
          <w:rFonts w:ascii="宋体" w:hAnsi="宋体" w:eastAsia="楷体_GB2312" w:cs="楷体_GB2312"/>
          <w:b w:val="0"/>
          <w:color w:val="auto"/>
        </w:rPr>
      </w:pPr>
      <w:bookmarkStart w:id="595" w:name="_Toc87455751"/>
      <w:r>
        <w:rPr>
          <w:rFonts w:hint="eastAsia" w:ascii="宋体" w:hAnsi="宋体" w:eastAsia="楷体_GB2312" w:cs="楷体_GB2312"/>
          <w:b w:val="0"/>
          <w:color w:val="auto"/>
        </w:rPr>
        <w:t>行动内容</w:t>
      </w:r>
      <w:bookmarkEnd w:id="595"/>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一是加快推进“有路无灯”治理。持续开展无灯路（含未移交道路）排查，建立问题台账、完善挂账销账制度，创新工作思路，多渠道筹措资金，简化优化增设路灯的审批流程，有效解决无灯路路灯建设问题。配合冬奥进程，完成延庆区八峪路、沈韩路等路灯建设工作。各区应根据情况安排建设计划，逐步消除有路无灯情况。</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二是持续治理“有灯不亮”问题。加强路灯巡检维护队伍建设，强化路灯巡视检修，完善问题快速发现和应急处置机制，有效降低路灯故障率。</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三是推进城市照明管理智慧化。搭建全市路灯信息化、智能化管理平台，逐步完善分区路灯管理监控系统。</w:t>
      </w:r>
    </w:p>
    <w:p>
      <w:pPr>
        <w:pStyle w:val="204"/>
        <w:adjustRightInd w:val="0"/>
        <w:spacing w:after="0" w:afterLines="0"/>
        <w:ind w:firstLine="640"/>
        <w:rPr>
          <w:rFonts w:ascii="宋体" w:hAnsi="宋体" w:eastAsia="仿宋_GB2312"/>
          <w:sz w:val="32"/>
        </w:rPr>
        <w:sectPr>
          <w:footerReference r:id="rId10" w:type="first"/>
          <w:footerReference r:id="rId8" w:type="default"/>
          <w:footerReference r:id="rId9" w:type="even"/>
          <w:pgSz w:w="11906" w:h="16838"/>
          <w:pgMar w:top="2098" w:right="1474" w:bottom="1984" w:left="1587" w:header="850" w:footer="1587" w:gutter="0"/>
          <w:cols w:space="425" w:num="1"/>
          <w:titlePg/>
          <w:docGrid w:type="lines" w:linePitch="312" w:charSpace="0"/>
        </w:sectPr>
      </w:pPr>
    </w:p>
    <w:p>
      <w:pPr>
        <w:pStyle w:val="204"/>
        <w:adjustRightInd w:val="0"/>
        <w:spacing w:after="0" w:afterLines="0"/>
        <w:ind w:firstLine="640"/>
        <w:rPr>
          <w:rFonts w:ascii="宋体" w:hAnsi="宋体"/>
        </w:rPr>
      </w:pPr>
      <w:r>
        <w:rPr>
          <w:rFonts w:hint="eastAsia" w:ascii="宋体" w:hAnsi="宋体" w:eastAsia="仿宋_GB2312"/>
          <w:sz w:val="32"/>
        </w:rPr>
        <w:t>四是建立路灯长效管护机制。针对小区道路、园林道路、河湖道路、桥下通行空间等配套功能照明管理，进一步落实责任主体，明确管理职责，理顺和规范统筹监管体系。</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96" w:name="_Toc88656260"/>
      <w:bookmarkStart w:id="597" w:name="_Toc31432"/>
      <w:bookmarkStart w:id="598" w:name="_Toc8452"/>
      <w:bookmarkStart w:id="599" w:name="_Toc31407"/>
      <w:bookmarkStart w:id="600" w:name="_Toc1258"/>
      <w:bookmarkStart w:id="601" w:name="_Toc28701"/>
      <w:r>
        <w:rPr>
          <w:rFonts w:hint="eastAsia" w:ascii="宋体" w:hAnsi="宋体" w:eastAsia="黑体" w:cs="黑体"/>
          <w:b w:val="0"/>
          <w:sz w:val="32"/>
        </w:rPr>
        <w:t>二、重点建设项目</w:t>
      </w:r>
      <w:bookmarkEnd w:id="596"/>
      <w:bookmarkEnd w:id="597"/>
      <w:bookmarkEnd w:id="598"/>
      <w:bookmarkEnd w:id="599"/>
      <w:bookmarkEnd w:id="600"/>
      <w:bookmarkEnd w:id="601"/>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2" w:name="_Toc87455754"/>
      <w:r>
        <w:rPr>
          <w:rFonts w:hint="eastAsia" w:ascii="宋体" w:hAnsi="宋体" w:eastAsia="楷体_GB2312" w:cs="楷体_GB2312"/>
          <w:b w:val="0"/>
          <w:color w:val="auto"/>
        </w:rPr>
        <w:t>首都功能核心区照明设施升级</w:t>
      </w:r>
      <w:bookmarkEnd w:id="602"/>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全面改造升级首都功能核心区城市道路照明设施，实施照明设施架空线入地，更换老旧路灯灯具，狭窄街道、道路交叉口可考虑“多杆合一”节约资源，适当增加便民设施，方便市民出行。</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3" w:name="_Toc87455755"/>
      <w:r>
        <w:rPr>
          <w:rFonts w:hint="eastAsia" w:ascii="宋体" w:hAnsi="宋体" w:eastAsia="楷体_GB2312" w:cs="楷体_GB2312"/>
          <w:b w:val="0"/>
          <w:color w:val="auto"/>
        </w:rPr>
        <w:t>城市副中心“多功能灯杆”建设</w:t>
      </w:r>
      <w:bookmarkEnd w:id="603"/>
    </w:p>
    <w:p>
      <w:pPr>
        <w:pStyle w:val="204"/>
        <w:adjustRightInd w:val="0"/>
        <w:spacing w:after="0" w:afterLines="0"/>
        <w:ind w:firstLine="640"/>
        <w:rPr>
          <w:rFonts w:ascii="宋体" w:hAnsi="宋体" w:eastAsia="仿宋_GB2312"/>
          <w:sz w:val="32"/>
        </w:rPr>
      </w:pPr>
      <w:r>
        <w:rPr>
          <w:rFonts w:hint="eastAsia" w:ascii="宋体" w:hAnsi="宋体" w:eastAsia="仿宋_GB2312"/>
          <w:sz w:val="32"/>
        </w:rPr>
        <w:t>运用5G技术推动城市副中心范围内重点道路，包括智能照明、交通管理、气象监测等“多功能灯杆”的建设升级，提升城市照明运行效能，提升市政设施综合利用率，扩大道路公共空间；建设智能控制系统，对灯杆进行集约化管理，加强设备管理、运营展示、安全保障。</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4" w:name="_Toc87455756"/>
      <w:r>
        <w:rPr>
          <w:rFonts w:hint="eastAsia" w:ascii="宋体" w:hAnsi="宋体" w:eastAsia="楷体_GB2312" w:cs="楷体_GB2312"/>
          <w:b w:val="0"/>
          <w:color w:val="auto"/>
        </w:rPr>
        <w:t>怀柔科学城重点区域城市照明提升</w:t>
      </w:r>
      <w:bookmarkEnd w:id="604"/>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以杨雁路智慧路灯系统为标杆，在科学城重点区域具备条件路段进行“多杆合一”试点项目，将科技创新融入城市照明建设中，积极探索“多功能灯杆”“高效低能”等新的技术手段，为怀柔科学城城市照明管理工作起到示范引领作用。</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怀柔科学城重点区域景观照明提升项目。以怀柔科学城起步区、中心区南部组团、科学城东区一装置五平台及雁栖河生态廊道地块为重要节点，在科学城进行试点项目，将科技创新融入城市照明建设中，积极探索LED太阳能演绎灯光系统及太阳能演绎灯光智能控制系统；采用可提升效率、降低整体建设成本的低压48V灯具等新技术手段，提升怀柔科学城城市景观照明效果。</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5" w:name="_Toc87455757"/>
      <w:r>
        <w:rPr>
          <w:rFonts w:hint="eastAsia" w:ascii="宋体" w:hAnsi="宋体" w:eastAsia="楷体_GB2312" w:cs="楷体_GB2312"/>
          <w:b w:val="0"/>
          <w:color w:val="auto"/>
        </w:rPr>
        <w:t>“两轴、一环”景观照明提升</w:t>
      </w:r>
      <w:bookmarkEnd w:id="605"/>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完善长安街东、西延长线景观照明，打通与城市副中心、通州大运河文化带、西山永定河文化带的夜间景观联系线，形成庄重、明亮、大气、典雅的夜间照明氛围；补充中轴线（永定门—奥运场馆区）永定门公园、地安门外大街、鼓楼外大街（黄寺大街以南）等未设景观照明的区域，强化奥林匹克中心区国际交往功能，完善国家会议中心二期、亚洲金融大厦等新建建筑的景观照明，展示传统文化精髓，体现现代文明美丽，营造古今交相辉映的夜间景象；完成二环沿线左安门桥、景泰桥等桥体景观照明改造项目。</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6" w:name="_Toc87455758"/>
      <w:r>
        <w:rPr>
          <w:rFonts w:hint="eastAsia" w:ascii="宋体" w:hAnsi="宋体" w:eastAsia="楷体_GB2312" w:cs="楷体_GB2312"/>
          <w:b w:val="0"/>
          <w:color w:val="auto"/>
        </w:rPr>
        <w:t>通州区景观照明提升</w:t>
      </w:r>
      <w:bookmarkEnd w:id="606"/>
    </w:p>
    <w:p>
      <w:pPr>
        <w:pStyle w:val="204"/>
        <w:adjustRightInd w:val="0"/>
        <w:spacing w:after="0" w:afterLines="0"/>
        <w:ind w:firstLine="640"/>
        <w:rPr>
          <w:rFonts w:ascii="宋体" w:hAnsi="宋体" w:eastAsia="仿宋_GB2312"/>
          <w:sz w:val="32"/>
        </w:rPr>
      </w:pPr>
      <w:r>
        <w:rPr>
          <w:rFonts w:hint="eastAsia" w:ascii="宋体" w:hAnsi="宋体" w:eastAsia="仿宋_GB2312"/>
          <w:sz w:val="32"/>
        </w:rPr>
        <w:t>持续开展通州区商务中心区、北京环球主题公园及度假区等区域景观照明建设；重点塑造城市绿心、通惠河（八里桥—五河交汇）、运潮减河景观带、减河公园等市民夜间游憩场所，丰富文化体验；优化新华大街（通州融媒体中心—东关大桥）、通济路（北运河大桥—京津公路）景观照明品质，美化市民出行环境。</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7" w:name="_Toc87455759"/>
      <w:r>
        <w:rPr>
          <w:rFonts w:hint="eastAsia" w:ascii="宋体" w:hAnsi="宋体" w:eastAsia="楷体_GB2312" w:cs="楷体_GB2312"/>
          <w:b w:val="0"/>
          <w:color w:val="auto"/>
        </w:rPr>
        <w:t>大运河文化带景观照明提升</w:t>
      </w:r>
      <w:bookmarkEnd w:id="607"/>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继续深入挖掘以大运河为中心的历史文化资源，持续推进运河沿岸景观照明提升工程，重点建设甘棠闸到杨家洼河段，增加水岸线、桥梁及绿化带等照明设计，满足北运河城市副中心段40公里河道全线通航的观赏性、趣味性提升需求。</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8" w:name="_Toc87455760"/>
      <w:r>
        <w:rPr>
          <w:rFonts w:hint="eastAsia" w:ascii="宋体" w:hAnsi="宋体" w:eastAsia="楷体_GB2312" w:cs="楷体_GB2312"/>
          <w:b w:val="0"/>
          <w:color w:val="auto"/>
        </w:rPr>
        <w:t>西山永定河文化带景观照明建设</w:t>
      </w:r>
      <w:bookmarkEnd w:id="608"/>
    </w:p>
    <w:p>
      <w:pPr>
        <w:pStyle w:val="204"/>
        <w:adjustRightInd w:val="0"/>
        <w:spacing w:after="0" w:afterLines="0"/>
        <w:ind w:firstLine="640"/>
        <w:rPr>
          <w:rFonts w:ascii="宋体" w:hAnsi="宋体" w:eastAsia="仿宋_GB2312"/>
          <w:sz w:val="32"/>
        </w:rPr>
      </w:pPr>
      <w:r>
        <w:rPr>
          <w:rFonts w:hint="eastAsia" w:ascii="宋体" w:hAnsi="宋体" w:eastAsia="仿宋_GB2312"/>
          <w:sz w:val="32"/>
        </w:rPr>
        <w:t>推进西山永定河文化带在石景山、门头沟区段的景观照明建设，塑造可游可赏、优美秀丽的山水文化画卷。</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9" w:name="_Toc87455761"/>
      <w:r>
        <w:rPr>
          <w:rFonts w:hint="eastAsia" w:ascii="宋体" w:hAnsi="宋体" w:eastAsia="楷体_GB2312" w:cs="楷体_GB2312"/>
          <w:b w:val="0"/>
          <w:color w:val="auto"/>
        </w:rPr>
        <w:t>平安大街景观照明建设</w:t>
      </w:r>
      <w:bookmarkEnd w:id="609"/>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平安大街是北京重要的综合服务类街道和文化景观街道，景观照明应配合整体环境整治提升，延续老城照明秩序，还原历史文化建筑在历史沿革中自然形成的传统向现代过渡的特征界面。突出地铁出入口、街区公园节点，满足居民游客夜间安全出行、休闲观景、体验古都文化的功能需要。</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0" w:name="_Toc87455762"/>
      <w:r>
        <w:rPr>
          <w:rFonts w:hint="eastAsia" w:ascii="宋体" w:hAnsi="宋体" w:eastAsia="楷体_GB2312" w:cs="楷体_GB2312"/>
          <w:b w:val="0"/>
          <w:color w:val="auto"/>
        </w:rPr>
        <w:t>“三环、四环”夜景效果提升</w:t>
      </w:r>
      <w:bookmarkEnd w:id="610"/>
    </w:p>
    <w:p>
      <w:pPr>
        <w:pStyle w:val="204"/>
        <w:adjustRightInd w:val="0"/>
        <w:spacing w:after="0" w:afterLines="0"/>
        <w:ind w:firstLine="640"/>
        <w:rPr>
          <w:rFonts w:ascii="宋体" w:hAnsi="宋体" w:eastAsia="仿宋_GB2312"/>
          <w:sz w:val="32"/>
        </w:rPr>
      </w:pPr>
      <w:r>
        <w:rPr>
          <w:rFonts w:hint="eastAsia" w:ascii="宋体" w:hAnsi="宋体" w:eastAsia="仿宋_GB2312"/>
          <w:sz w:val="32"/>
        </w:rPr>
        <w:t>补充完善三环路、四环路沿线景观照明，整体提升夜景效果。</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1" w:name="_Toc87455763"/>
      <w:r>
        <w:rPr>
          <w:rFonts w:hint="eastAsia" w:ascii="宋体" w:hAnsi="宋体" w:eastAsia="楷体_GB2312" w:cs="楷体_GB2312"/>
          <w:b w:val="0"/>
          <w:color w:val="auto"/>
        </w:rPr>
        <w:t>城市重要联络线景观照明提升</w:t>
      </w:r>
      <w:bookmarkEnd w:id="611"/>
    </w:p>
    <w:p>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加强首都功能核心区与城市副中心、怀柔科学城等城市重要发展区域的联系作用，有计划有步骤的完成广渠路、朝阳北路和朝阳路三条景观廊道；加强对机场高速、京藏高速、京承高速两侧重要节点的塑造，形成具有时代感、首都特色的夜间景观。</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2" w:name="_Toc87455764"/>
      <w:r>
        <w:rPr>
          <w:rFonts w:hint="eastAsia" w:ascii="宋体" w:hAnsi="宋体" w:eastAsia="楷体_GB2312" w:cs="楷体_GB2312"/>
          <w:b w:val="0"/>
          <w:color w:val="auto"/>
        </w:rPr>
        <w:t>朝阳区景观照明提升</w:t>
      </w:r>
      <w:bookmarkEnd w:id="612"/>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强化北京朝阳站周边夜景景观，提升京沈客专沿线以及北京朝阳站周边夜间环境，打造良好的进京第一印象区。提升亮马河沿岸建筑物夜景景观，配合绿道通航工程，营造城市滨河夜游氛围，将亮马河变为夜游新景点，打造国际风情水岸，展现北京风貌。围绕金盏自贸区开展夜间景观建设，打造国际商务服务形象。</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3" w:name="_Toc87455765"/>
      <w:r>
        <w:rPr>
          <w:rFonts w:hint="eastAsia" w:ascii="宋体" w:hAnsi="宋体" w:eastAsia="楷体_GB2312" w:cs="楷体_GB2312"/>
          <w:b w:val="0"/>
          <w:color w:val="auto"/>
        </w:rPr>
        <w:t>冬奥会场馆区景观照明建设</w:t>
      </w:r>
      <w:bookmarkEnd w:id="613"/>
    </w:p>
    <w:p>
      <w:pPr>
        <w:pStyle w:val="204"/>
        <w:adjustRightInd w:val="0"/>
        <w:spacing w:after="0" w:afterLines="0"/>
        <w:ind w:firstLine="640"/>
        <w:rPr>
          <w:rFonts w:ascii="宋体" w:hAnsi="宋体" w:eastAsia="仿宋_GB2312"/>
          <w:sz w:val="32"/>
        </w:rPr>
      </w:pPr>
      <w:r>
        <w:rPr>
          <w:rFonts w:hint="eastAsia" w:ascii="宋体" w:hAnsi="宋体" w:eastAsia="仿宋_GB2312"/>
          <w:sz w:val="32"/>
        </w:rPr>
        <w:t>配合冬奥会建设进程，补充完善北京冬奥村、奥林匹克中心区（冬奥场馆）、首体冬奥场馆区、五棵松冬奥场馆、延庆冬奥村等冬奥会举办地的景观照明，在符合节约用能的政策引领下，营造符合奥运主题、时代精神的一系列灯光演绎。</w:t>
      </w:r>
    </w:p>
    <w:p>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4" w:name="_Toc87455766"/>
      <w:r>
        <w:rPr>
          <w:rFonts w:hint="eastAsia" w:ascii="宋体" w:hAnsi="宋体" w:eastAsia="楷体_GB2312" w:cs="楷体_GB2312"/>
          <w:b w:val="0"/>
          <w:color w:val="auto"/>
        </w:rPr>
        <w:t>城市门户及重要联系线景观照明提升</w:t>
      </w:r>
      <w:bookmarkEnd w:id="614"/>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强化大兴机场临空经济区、北京南站、北京北站等城市重要门户区景观照明，展现建筑结构美学，迎合冬奥精神，接待八方友人；完善机场高速、阜石路—冬奥会首钢赛区、北京—延庆冬奥会场馆联络线上重要景观界面和重要节点照明，形成明亮清新、现代简约的夜间环境。</w:t>
      </w:r>
    </w:p>
    <w:p>
      <w:pPr>
        <w:pStyle w:val="5"/>
        <w:rPr>
          <w:rStyle w:val="194"/>
          <w:rFonts w:ascii="宋体" w:hAnsi="宋体" w:eastAsia="方正小标宋简体" w:cs="方正小标宋简体"/>
          <w:b w:val="0"/>
          <w:bCs w:val="0"/>
        </w:rPr>
      </w:pPr>
      <w:bookmarkStart w:id="615" w:name="_Toc88656261"/>
      <w:bookmarkStart w:id="616" w:name="_Toc25105"/>
      <w:bookmarkStart w:id="617" w:name="_Toc12361"/>
      <w:bookmarkStart w:id="618" w:name="_Toc4495"/>
      <w:bookmarkStart w:id="619" w:name="_Toc3046"/>
      <w:bookmarkStart w:id="620" w:name="_Toc16590"/>
      <w:r>
        <w:rPr>
          <w:rStyle w:val="194"/>
          <w:rFonts w:hint="eastAsia" w:ascii="宋体" w:hAnsi="宋体" w:eastAsia="方正小标宋简体" w:cs="方正小标宋简体"/>
          <w:b w:val="0"/>
          <w:bCs w:val="0"/>
        </w:rPr>
        <w:t>保障措施</w:t>
      </w:r>
      <w:bookmarkEnd w:id="615"/>
      <w:bookmarkEnd w:id="616"/>
      <w:bookmarkEnd w:id="617"/>
      <w:bookmarkEnd w:id="618"/>
      <w:bookmarkEnd w:id="619"/>
      <w:bookmarkEnd w:id="620"/>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21" w:name="_Toc22568"/>
      <w:bookmarkStart w:id="622" w:name="_Toc4072"/>
      <w:bookmarkStart w:id="623" w:name="_Toc4654"/>
      <w:bookmarkStart w:id="624" w:name="_Toc15448"/>
      <w:bookmarkStart w:id="625" w:name="_Toc22457"/>
      <w:bookmarkStart w:id="626" w:name="_Toc88656262"/>
      <w:bookmarkStart w:id="627" w:name="_Toc44256882"/>
      <w:bookmarkStart w:id="628" w:name="_Toc44257066"/>
      <w:bookmarkStart w:id="629" w:name="_Toc44697595"/>
      <w:bookmarkStart w:id="630" w:name="_Toc44697343"/>
      <w:bookmarkStart w:id="631" w:name="_Toc53662780"/>
      <w:r>
        <w:rPr>
          <w:rFonts w:hint="eastAsia" w:ascii="宋体" w:hAnsi="宋体" w:eastAsia="黑体" w:cs="黑体"/>
          <w:b w:val="0"/>
          <w:sz w:val="32"/>
        </w:rPr>
        <w:t>一、加强组织领导，保障实施成效</w:t>
      </w:r>
      <w:bookmarkEnd w:id="621"/>
      <w:bookmarkEnd w:id="622"/>
      <w:bookmarkEnd w:id="623"/>
      <w:bookmarkEnd w:id="624"/>
      <w:bookmarkEnd w:id="625"/>
      <w:bookmarkEnd w:id="626"/>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在规划基础上，</w:t>
      </w:r>
      <w:r>
        <w:rPr>
          <w:rFonts w:hint="eastAsia" w:ascii="宋体" w:hAnsi="宋体" w:eastAsia="仿宋_GB2312"/>
          <w:sz w:val="32"/>
          <w:lang w:eastAsia="zh-Hans"/>
        </w:rPr>
        <w:t>各区</w:t>
      </w:r>
      <w:r>
        <w:rPr>
          <w:rFonts w:hint="eastAsia" w:ascii="宋体" w:hAnsi="宋体" w:eastAsia="仿宋_GB2312"/>
          <w:sz w:val="32"/>
        </w:rPr>
        <w:t>照明管理部门</w:t>
      </w:r>
      <w:r>
        <w:rPr>
          <w:rFonts w:hint="eastAsia" w:ascii="宋体" w:hAnsi="宋体" w:eastAsia="仿宋_GB2312"/>
          <w:sz w:val="32"/>
          <w:lang w:eastAsia="zh-Hans"/>
        </w:rPr>
        <w:t>应积极开展城市照明分区规划，以上位规划为依据，组织编制</w:t>
      </w:r>
      <w:r>
        <w:rPr>
          <w:rFonts w:hint="eastAsia" w:ascii="宋体" w:hAnsi="宋体" w:eastAsia="仿宋_GB2312"/>
          <w:sz w:val="32"/>
        </w:rPr>
        <w:t>重点区域照明控制性详细规划、照明修建性详细规划、规划设计导则，进一步完善作为单体项目设计方案的管理审批依据，指导项目实施落地。同时各区照明管理部门应合理安排项目建设计划，做到项目清单动态调整，有序开展城市照明工作。</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照明建设单位要依据市城市照明主管部门提供的规划条件进行方案设计，其照明方案应在规划指导下，突出艺术性与合理性，待方案审核通过后，由照明主管部门组织进行施工图审核，审核无误后，规划审批部门发放建设工程规划许可证，方可进行工程建设，建成后由照明主管部门组织竣工验收。新建道路照明工程竣工后，应交付运行维护单位。</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运行维护单位要根据国家标准、北京市地方标准以及相关规章要求，制定后期维护计划，对城市照明设施进行维护管养，加强日常巡检工作，保障照明设施平稳运行。</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32" w:name="_Toc29061"/>
      <w:bookmarkStart w:id="633" w:name="_Toc16891"/>
      <w:bookmarkStart w:id="634" w:name="_Toc10964"/>
      <w:bookmarkStart w:id="635" w:name="_Toc17996"/>
      <w:bookmarkStart w:id="636" w:name="_Toc701"/>
      <w:bookmarkStart w:id="637" w:name="_Toc88656263"/>
      <w:r>
        <w:rPr>
          <w:rFonts w:hint="eastAsia" w:ascii="宋体" w:hAnsi="宋体" w:eastAsia="黑体" w:cs="黑体"/>
          <w:b w:val="0"/>
          <w:sz w:val="32"/>
        </w:rPr>
        <w:t>二、完善运行规范，出台法规标准</w:t>
      </w:r>
      <w:bookmarkEnd w:id="632"/>
      <w:bookmarkEnd w:id="633"/>
      <w:bookmarkEnd w:id="634"/>
      <w:bookmarkEnd w:id="635"/>
      <w:bookmarkEnd w:id="636"/>
      <w:bookmarkEnd w:id="637"/>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加快城市照明管理规章的出台，完善《城市道路照明运行维护规范》《城市景观照明运行维护规范》等各类北京市地方标准。</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38" w:name="_Toc28784"/>
      <w:bookmarkStart w:id="639" w:name="_Toc88656264"/>
      <w:bookmarkStart w:id="640" w:name="_Toc26636"/>
      <w:bookmarkStart w:id="641" w:name="_Toc21259"/>
      <w:bookmarkStart w:id="642" w:name="_Toc12249"/>
      <w:bookmarkStart w:id="643" w:name="_Toc24287"/>
      <w:r>
        <w:rPr>
          <w:rFonts w:hint="eastAsia" w:ascii="宋体" w:hAnsi="宋体" w:eastAsia="黑体" w:cs="黑体"/>
          <w:b w:val="0"/>
          <w:sz w:val="32"/>
        </w:rPr>
        <w:t>三、完善体制机制，健全管理体系</w:t>
      </w:r>
      <w:bookmarkEnd w:id="638"/>
      <w:bookmarkEnd w:id="639"/>
      <w:bookmarkEnd w:id="640"/>
      <w:bookmarkEnd w:id="641"/>
      <w:bookmarkEnd w:id="642"/>
      <w:bookmarkEnd w:id="643"/>
    </w:p>
    <w:p>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加强城市照明领域组织领导，推进道路照明规划建设管理全流程、全覆盖有效监管。进一步明晰行政机关、事业单位、企业单位的职责分工，按照政事分开、事企分开的原则，破除现行体制机制障碍，科学调整现行城市照明运管机制，逐步完善城市照明规划、建设、运维、监管体系。</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加强城市管理部门联动和市、区、街乡镇照明管理部门城乡联动，实行市区分级管理、部门协调管理的高效联动机制。</w:t>
      </w:r>
    </w:p>
    <w:p>
      <w:pPr>
        <w:pStyle w:val="2"/>
        <w:numPr>
          <w:ilvl w:val="0"/>
          <w:numId w:val="26"/>
        </w:numPr>
        <w:spacing w:before="0" w:beforeLines="0" w:after="0" w:afterLines="0"/>
        <w:ind w:firstLine="640" w:firstLineChars="200"/>
        <w:rPr>
          <w:rFonts w:ascii="宋体" w:hAnsi="宋体" w:eastAsia="楷体_GB2312" w:cs="楷体_GB2312"/>
          <w:b w:val="0"/>
          <w:color w:val="auto"/>
        </w:rPr>
      </w:pPr>
      <w:bookmarkStart w:id="644" w:name="_Toc87455774"/>
      <w:r>
        <w:rPr>
          <w:rFonts w:hint="eastAsia" w:ascii="宋体" w:hAnsi="宋体" w:eastAsia="楷体_GB2312" w:cs="楷体_GB2312"/>
          <w:b w:val="0"/>
          <w:color w:val="auto"/>
        </w:rPr>
        <w:t>景观照明管理体系</w:t>
      </w:r>
      <w:bookmarkEnd w:id="644"/>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依照“统一规划、分级负责、分区管理、独立运行”的原则，逐步完善市、区景观照明的监管体系，进一步规范景观照明规划设计、项目审批、建设、运维、监督管理工作。</w:t>
      </w:r>
    </w:p>
    <w:p>
      <w:pPr>
        <w:pStyle w:val="2"/>
        <w:numPr>
          <w:ilvl w:val="0"/>
          <w:numId w:val="26"/>
        </w:numPr>
        <w:spacing w:before="0" w:beforeLines="0" w:after="0" w:afterLines="0"/>
        <w:ind w:firstLine="640" w:firstLineChars="200"/>
        <w:rPr>
          <w:rFonts w:ascii="宋体" w:hAnsi="宋体" w:eastAsia="楷体_GB2312" w:cs="楷体_GB2312"/>
          <w:b w:val="0"/>
          <w:color w:val="auto"/>
        </w:rPr>
      </w:pPr>
      <w:bookmarkStart w:id="645" w:name="_Toc87455775"/>
      <w:r>
        <w:rPr>
          <w:rFonts w:hint="eastAsia" w:ascii="宋体" w:hAnsi="宋体" w:eastAsia="楷体_GB2312" w:cs="楷体_GB2312"/>
          <w:b w:val="0"/>
          <w:color w:val="auto"/>
        </w:rPr>
        <w:t>道路照明管理体系</w:t>
      </w:r>
      <w:bookmarkEnd w:id="645"/>
    </w:p>
    <w:p>
      <w:pPr>
        <w:pStyle w:val="204"/>
        <w:adjustRightInd w:val="0"/>
        <w:spacing w:after="0" w:afterLines="0"/>
        <w:ind w:firstLine="640"/>
        <w:rPr>
          <w:rFonts w:ascii="宋体" w:hAnsi="宋体"/>
        </w:rPr>
      </w:pPr>
      <w:r>
        <w:rPr>
          <w:rFonts w:hint="eastAsia" w:ascii="宋体" w:hAnsi="宋体" w:eastAsia="仿宋_GB2312"/>
          <w:sz w:val="32"/>
        </w:rPr>
        <w:t>逐步构建运行高效的道路照明领域全覆盖、全流程统一监管体系，进一步理顺和规范各相关管理部门职责，逐步完善联动工作机制、监督检查机制，优化相关审批程序，提高审批效率。逐步实现道路照明管理的制度化、标准化、规范化和科学化。</w:t>
      </w: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46" w:name="_Toc28856"/>
      <w:bookmarkStart w:id="647" w:name="_Toc88656265"/>
      <w:bookmarkStart w:id="648" w:name="_Toc23046"/>
      <w:bookmarkStart w:id="649" w:name="_Toc22791"/>
      <w:bookmarkStart w:id="650" w:name="_Toc22027"/>
      <w:bookmarkStart w:id="651" w:name="_Toc4185"/>
      <w:r>
        <w:rPr>
          <w:rFonts w:hint="eastAsia" w:ascii="宋体" w:hAnsi="宋体" w:eastAsia="黑体" w:cs="黑体"/>
          <w:b w:val="0"/>
          <w:sz w:val="32"/>
        </w:rPr>
        <w:t>四、推进规划落实，强化审核管理</w:t>
      </w:r>
      <w:bookmarkEnd w:id="646"/>
      <w:bookmarkEnd w:id="647"/>
      <w:bookmarkEnd w:id="648"/>
      <w:bookmarkEnd w:id="649"/>
      <w:bookmarkEnd w:id="650"/>
      <w:bookmarkEnd w:id="651"/>
    </w:p>
    <w:bookmarkEnd w:id="627"/>
    <w:bookmarkEnd w:id="628"/>
    <w:bookmarkEnd w:id="629"/>
    <w:bookmarkEnd w:id="630"/>
    <w:bookmarkEnd w:id="631"/>
    <w:p>
      <w:pPr>
        <w:pStyle w:val="204"/>
        <w:adjustRightInd w:val="0"/>
        <w:spacing w:after="0" w:afterLines="0"/>
        <w:ind w:firstLine="640"/>
        <w:rPr>
          <w:rFonts w:ascii="宋体" w:hAnsi="宋体"/>
        </w:rPr>
      </w:pPr>
      <w:r>
        <w:rPr>
          <w:rFonts w:hint="eastAsia" w:ascii="宋体" w:hAnsi="宋体" w:eastAsia="仿宋_GB2312"/>
          <w:sz w:val="32"/>
        </w:rPr>
        <w:t>完善景观规划评审、建设方案审核工作机制。鼓励社会力量参与城市照明建设，加强对业主自主建设项目方案的指导审核管理工作，保证自主建设项目品质，促进自主性景观照明建设品质提升。</w:t>
      </w:r>
    </w:p>
    <w:p>
      <w:pPr>
        <w:ind w:firstLine="640" w:firstLineChars="200"/>
        <w:rPr>
          <w:rFonts w:ascii="宋体" w:hAnsi="宋体" w:eastAsia="仿宋_GB2312" w:cs="仿宋_GB2312"/>
          <w:kern w:val="0"/>
          <w:sz w:val="32"/>
          <w:szCs w:val="32"/>
        </w:rPr>
        <w:sectPr>
          <w:footerReference r:id="rId12" w:type="first"/>
          <w:footerReference r:id="rId11" w:type="default"/>
          <w:pgSz w:w="11906" w:h="16838"/>
          <w:pgMar w:top="2098" w:right="1474" w:bottom="1984" w:left="1587" w:header="850" w:footer="1587" w:gutter="0"/>
          <w:cols w:space="425" w:num="1"/>
          <w:titlePg/>
          <w:docGrid w:type="lines" w:linePitch="312" w:charSpace="0"/>
        </w:sectPr>
      </w:pPr>
    </w:p>
    <w:p>
      <w:pPr>
        <w:pStyle w:val="5"/>
        <w:rPr>
          <w:rStyle w:val="194"/>
          <w:rFonts w:ascii="宋体" w:hAnsi="宋体" w:eastAsia="方正小标宋简体" w:cs="方正小标宋简体"/>
          <w:b w:val="0"/>
          <w:bCs w:val="0"/>
        </w:rPr>
      </w:pPr>
      <w:bookmarkStart w:id="652" w:name="_Toc2523"/>
      <w:bookmarkStart w:id="653" w:name="_Toc7830"/>
      <w:bookmarkStart w:id="654" w:name="_Toc31125"/>
      <w:bookmarkStart w:id="655" w:name="_Toc87042575"/>
      <w:bookmarkStart w:id="656" w:name="_Toc4000"/>
      <w:bookmarkStart w:id="657" w:name="_Toc9978"/>
      <w:bookmarkStart w:id="658" w:name="_Toc88656266"/>
      <w:bookmarkStart w:id="659" w:name="_Toc87042576"/>
      <w:bookmarkStart w:id="660" w:name="_Hlk87456770"/>
      <w:r>
        <w:rPr>
          <w:rStyle w:val="194"/>
          <w:rFonts w:hint="eastAsia" w:ascii="宋体" w:hAnsi="宋体" w:eastAsia="方正小标宋简体" w:cs="方正小标宋简体"/>
          <w:b w:val="0"/>
          <w:bCs w:val="0"/>
        </w:rPr>
        <w:t>规划指标及要求</w:t>
      </w:r>
      <w:bookmarkEnd w:id="652"/>
      <w:bookmarkEnd w:id="653"/>
      <w:bookmarkEnd w:id="654"/>
      <w:bookmarkEnd w:id="655"/>
      <w:bookmarkEnd w:id="656"/>
      <w:bookmarkEnd w:id="657"/>
      <w:bookmarkEnd w:id="658"/>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61" w:name="_Toc14998"/>
      <w:bookmarkStart w:id="662" w:name="_Toc31441"/>
      <w:bookmarkStart w:id="663" w:name="_Toc88656267"/>
      <w:bookmarkStart w:id="664" w:name="_Toc21449"/>
      <w:bookmarkStart w:id="665" w:name="_Toc5568"/>
      <w:bookmarkStart w:id="666" w:name="_Toc19434"/>
      <w:r>
        <w:rPr>
          <w:rFonts w:hint="eastAsia" w:ascii="宋体" w:hAnsi="宋体" w:eastAsia="黑体" w:cs="黑体"/>
          <w:b w:val="0"/>
          <w:sz w:val="32"/>
        </w:rPr>
        <w:t>一、功能照明分区及控制指标</w:t>
      </w:r>
      <w:bookmarkEnd w:id="661"/>
      <w:bookmarkEnd w:id="662"/>
      <w:bookmarkEnd w:id="663"/>
      <w:bookmarkEnd w:id="664"/>
      <w:bookmarkEnd w:id="665"/>
      <w:bookmarkEnd w:id="666"/>
    </w:p>
    <w:p>
      <w:pPr>
        <w:pStyle w:val="2"/>
        <w:numPr>
          <w:ilvl w:val="0"/>
          <w:numId w:val="27"/>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道路照明</w:t>
      </w:r>
      <w:bookmarkEnd w:id="659"/>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在《北京中心城城市道路网规划》《北京市干线公路网规划》《北京市高速公路网规划》的基础上，将道路照明水平划分为四个等级：特级照明、一级照明、二级照明和三级照明。（见图13—1 城市道路等级规划图、图13—2 中心城道路等级规划图）</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特级照明包括特殊景观重要性道路；一级照明包括北京市各城区、京津冀地区重要高速公路、一级公路及快速路联络线、城市快速路及城市主干道；二级照明包括城市次干道；三级照明包括城市支路。</w:t>
      </w:r>
    </w:p>
    <w:p>
      <w:pPr>
        <w:pStyle w:val="205"/>
        <w:spacing w:before="156" w:after="156"/>
        <w:ind w:firstLine="321"/>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 </w:t>
      </w:r>
      <w:r>
        <w:rPr>
          <w:rFonts w:hint="eastAsia" w:ascii="宋体" w:hAnsi="宋体"/>
          <w:bCs w:val="0"/>
          <w:sz w:val="24"/>
        </w:rPr>
        <w:t>北京市城市道路照明等级控制表</w:t>
      </w:r>
    </w:p>
    <w:tbl>
      <w:tblPr>
        <w:tblStyle w:val="90"/>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642"/>
        <w:gridCol w:w="1056"/>
        <w:gridCol w:w="904"/>
        <w:gridCol w:w="832"/>
        <w:gridCol w:w="1207"/>
        <w:gridCol w:w="938"/>
        <w:gridCol w:w="900"/>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64" w:type="dxa"/>
            <w:vMerge w:val="restart"/>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规划</w:t>
            </w:r>
          </w:p>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分类</w:t>
            </w:r>
          </w:p>
        </w:tc>
        <w:tc>
          <w:tcPr>
            <w:tcW w:w="1642" w:type="dxa"/>
            <w:vMerge w:val="restart"/>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道路</w:t>
            </w:r>
          </w:p>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类型</w:t>
            </w:r>
          </w:p>
        </w:tc>
        <w:tc>
          <w:tcPr>
            <w:tcW w:w="2792" w:type="dxa"/>
            <w:gridSpan w:val="3"/>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路面亮度</w:t>
            </w:r>
          </w:p>
        </w:tc>
        <w:tc>
          <w:tcPr>
            <w:tcW w:w="2145" w:type="dxa"/>
            <w:gridSpan w:val="2"/>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路面照度</w:t>
            </w:r>
          </w:p>
        </w:tc>
        <w:tc>
          <w:tcPr>
            <w:tcW w:w="900" w:type="dxa"/>
            <w:vMerge w:val="restart"/>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眩光限制阈值增量T</w:t>
            </w:r>
            <w:r>
              <w:rPr>
                <w:rFonts w:ascii="宋体" w:hAnsi="宋体" w:eastAsia="仿宋_GB2312"/>
                <w:bCs w:val="0"/>
                <w:color w:val="auto"/>
                <w:sz w:val="24"/>
              </w:rPr>
              <w:t>1</w:t>
            </w:r>
            <w:r>
              <w:rPr>
                <w:rFonts w:hint="eastAsia" w:ascii="宋体" w:hAnsi="宋体" w:eastAsia="仿宋_GB2312"/>
                <w:bCs w:val="0"/>
                <w:color w:val="auto"/>
                <w:sz w:val="24"/>
              </w:rPr>
              <w:t>（%）最大初始量</w:t>
            </w:r>
          </w:p>
        </w:tc>
        <w:tc>
          <w:tcPr>
            <w:tcW w:w="818" w:type="dxa"/>
            <w:vMerge w:val="restart"/>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环境比SR最小值</w:t>
            </w:r>
          </w:p>
          <w:p>
            <w:pPr>
              <w:pStyle w:val="104"/>
              <w:spacing w:line="240" w:lineRule="atLeast"/>
              <w:jc w:val="center"/>
              <w:rPr>
                <w:rFonts w:ascii="宋体" w:hAnsi="宋体" w:eastAsia="仿宋_GB2312"/>
                <w:bCs w:val="0"/>
                <w:color w:val="auto"/>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764" w:type="dxa"/>
            <w:vMerge w:val="continue"/>
            <w:shd w:val="clear" w:color="auto" w:fill="auto"/>
            <w:vAlign w:val="center"/>
          </w:tcPr>
          <w:p>
            <w:pPr>
              <w:pStyle w:val="104"/>
              <w:spacing w:line="240" w:lineRule="atLeast"/>
              <w:jc w:val="center"/>
              <w:rPr>
                <w:rFonts w:ascii="宋体" w:hAnsi="宋体" w:eastAsia="仿宋_GB2312"/>
                <w:bCs w:val="0"/>
                <w:color w:val="auto"/>
                <w:sz w:val="24"/>
                <w:lang w:eastAsia="zh-Hans"/>
              </w:rPr>
            </w:pPr>
          </w:p>
        </w:tc>
        <w:tc>
          <w:tcPr>
            <w:tcW w:w="1642" w:type="dxa"/>
            <w:vMerge w:val="continue"/>
            <w:shd w:val="clear" w:color="auto" w:fill="auto"/>
            <w:vAlign w:val="center"/>
          </w:tcPr>
          <w:p>
            <w:pPr>
              <w:pStyle w:val="104"/>
              <w:spacing w:line="240" w:lineRule="atLeast"/>
              <w:jc w:val="center"/>
              <w:rPr>
                <w:rFonts w:ascii="宋体" w:hAnsi="宋体" w:eastAsia="仿宋_GB2312"/>
                <w:bCs w:val="0"/>
                <w:color w:val="auto"/>
                <w:sz w:val="24"/>
                <w:lang w:eastAsia="zh-Hans"/>
              </w:rPr>
            </w:pPr>
          </w:p>
        </w:tc>
        <w:tc>
          <w:tcPr>
            <w:tcW w:w="1056" w:type="dxa"/>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平均亮度Lav（cd/m2）维持值</w:t>
            </w:r>
          </w:p>
        </w:tc>
        <w:tc>
          <w:tcPr>
            <w:tcW w:w="904" w:type="dxa"/>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总均匀度Uo最小值</w:t>
            </w:r>
          </w:p>
        </w:tc>
        <w:tc>
          <w:tcPr>
            <w:tcW w:w="832" w:type="dxa"/>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纵向均匀度UL最小值</w:t>
            </w:r>
          </w:p>
        </w:tc>
        <w:tc>
          <w:tcPr>
            <w:tcW w:w="1207" w:type="dxa"/>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平均照度Eh,av(lx)维持值</w:t>
            </w:r>
          </w:p>
        </w:tc>
        <w:tc>
          <w:tcPr>
            <w:tcW w:w="938" w:type="dxa"/>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均匀度UE最小值</w:t>
            </w:r>
          </w:p>
        </w:tc>
        <w:tc>
          <w:tcPr>
            <w:tcW w:w="900" w:type="dxa"/>
            <w:vMerge w:val="continue"/>
            <w:shd w:val="clear" w:color="auto" w:fill="auto"/>
            <w:vAlign w:val="center"/>
          </w:tcPr>
          <w:p>
            <w:pPr>
              <w:pStyle w:val="104"/>
              <w:spacing w:line="240" w:lineRule="atLeast"/>
              <w:jc w:val="center"/>
              <w:rPr>
                <w:rFonts w:ascii="宋体" w:hAnsi="宋体" w:eastAsia="仿宋_GB2312"/>
                <w:bCs w:val="0"/>
                <w:color w:val="auto"/>
                <w:sz w:val="24"/>
                <w:lang w:eastAsia="zh-Hans"/>
              </w:rPr>
            </w:pPr>
          </w:p>
        </w:tc>
        <w:tc>
          <w:tcPr>
            <w:tcW w:w="818" w:type="dxa"/>
            <w:vMerge w:val="continue"/>
            <w:shd w:val="clear" w:color="auto" w:fill="auto"/>
            <w:vAlign w:val="center"/>
          </w:tcPr>
          <w:p>
            <w:pPr>
              <w:pStyle w:val="104"/>
              <w:spacing w:line="240" w:lineRule="atLeast"/>
              <w:jc w:val="center"/>
              <w:rPr>
                <w:rFonts w:ascii="宋体" w:hAnsi="宋体" w:eastAsia="仿宋_GB2312"/>
                <w:bCs w:val="0"/>
                <w:color w:val="auto"/>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64" w:type="dxa"/>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特级照明</w:t>
            </w:r>
          </w:p>
        </w:tc>
        <w:tc>
          <w:tcPr>
            <w:tcW w:w="1642"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特殊景观重要性道路</w:t>
            </w:r>
          </w:p>
        </w:tc>
        <w:tc>
          <w:tcPr>
            <w:tcW w:w="1056"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2.0/2.5</w:t>
            </w:r>
          </w:p>
        </w:tc>
        <w:tc>
          <w:tcPr>
            <w:tcW w:w="904"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832"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0.7</w:t>
            </w:r>
          </w:p>
        </w:tc>
        <w:tc>
          <w:tcPr>
            <w:tcW w:w="1207"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30</w:t>
            </w:r>
          </w:p>
        </w:tc>
        <w:tc>
          <w:tcPr>
            <w:tcW w:w="938"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900"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818"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64" w:type="dxa"/>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一级照明</w:t>
            </w:r>
          </w:p>
        </w:tc>
        <w:tc>
          <w:tcPr>
            <w:tcW w:w="1642"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高速公路、一级公路及快速路联络线、城市快速路及城市主干道</w:t>
            </w:r>
          </w:p>
        </w:tc>
        <w:tc>
          <w:tcPr>
            <w:tcW w:w="1056"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1.5/2.0</w:t>
            </w:r>
          </w:p>
        </w:tc>
        <w:tc>
          <w:tcPr>
            <w:tcW w:w="904"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832"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0.7</w:t>
            </w:r>
          </w:p>
        </w:tc>
        <w:tc>
          <w:tcPr>
            <w:tcW w:w="1207"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20/30</w:t>
            </w:r>
          </w:p>
        </w:tc>
        <w:tc>
          <w:tcPr>
            <w:tcW w:w="938"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900"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818"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64" w:type="dxa"/>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二级照明</w:t>
            </w:r>
          </w:p>
        </w:tc>
        <w:tc>
          <w:tcPr>
            <w:tcW w:w="1642"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城市次干道</w:t>
            </w:r>
          </w:p>
        </w:tc>
        <w:tc>
          <w:tcPr>
            <w:tcW w:w="1056"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1.0/1.5</w:t>
            </w:r>
          </w:p>
        </w:tc>
        <w:tc>
          <w:tcPr>
            <w:tcW w:w="904"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832"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c>
          <w:tcPr>
            <w:tcW w:w="1207"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15/20</w:t>
            </w:r>
          </w:p>
        </w:tc>
        <w:tc>
          <w:tcPr>
            <w:tcW w:w="938"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900"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818"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shd w:val="clear" w:color="auto" w:fill="auto"/>
            <w:vAlign w:val="center"/>
          </w:tcPr>
          <w:p>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三级照明</w:t>
            </w:r>
          </w:p>
        </w:tc>
        <w:tc>
          <w:tcPr>
            <w:tcW w:w="1642"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城市支路</w:t>
            </w:r>
          </w:p>
        </w:tc>
        <w:tc>
          <w:tcPr>
            <w:tcW w:w="1056"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0.5/0.75</w:t>
            </w:r>
          </w:p>
        </w:tc>
        <w:tc>
          <w:tcPr>
            <w:tcW w:w="904"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0.3/0.4</w:t>
            </w:r>
          </w:p>
        </w:tc>
        <w:tc>
          <w:tcPr>
            <w:tcW w:w="832"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207"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8/10</w:t>
            </w:r>
          </w:p>
        </w:tc>
        <w:tc>
          <w:tcPr>
            <w:tcW w:w="938"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0.3</w:t>
            </w:r>
          </w:p>
        </w:tc>
        <w:tc>
          <w:tcPr>
            <w:tcW w:w="900"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15</w:t>
            </w:r>
          </w:p>
        </w:tc>
        <w:tc>
          <w:tcPr>
            <w:tcW w:w="818" w:type="dxa"/>
            <w:shd w:val="clear" w:color="auto" w:fill="auto"/>
            <w:vAlign w:val="center"/>
          </w:tcPr>
          <w:p>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gridSpan w:val="9"/>
            <w:shd w:val="clear" w:color="auto" w:fill="auto"/>
            <w:vAlign w:val="center"/>
          </w:tcPr>
          <w:p>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注：</w:t>
            </w:r>
          </w:p>
          <w:p>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表中所列的平均照度仅适用于沥青路面。</w:t>
            </w:r>
          </w:p>
          <w:p>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若系水泥混凝土路面，其平均照度值相应降低约30%。</w:t>
            </w:r>
          </w:p>
          <w:p>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表中各项数值仅适用于干燥路面。</w:t>
            </w:r>
          </w:p>
          <w:p>
            <w:pPr>
              <w:pStyle w:val="202"/>
              <w:spacing w:before="0" w:beforeLines="0" w:after="0" w:afterLines="0" w:line="240" w:lineRule="atLeast"/>
              <w:rPr>
                <w:rFonts w:ascii="宋体" w:hAnsi="宋体" w:eastAsia="仿宋_GB2312"/>
                <w:sz w:val="24"/>
                <w:lang w:eastAsia="zh-Hans"/>
              </w:rPr>
            </w:pPr>
            <w:r>
              <w:rPr>
                <w:rFonts w:hint="eastAsia" w:ascii="宋体" w:hAnsi="宋体" w:eastAsia="仿宋_GB2312" w:cs="幼圆"/>
                <w:sz w:val="24"/>
              </w:rPr>
              <w:t>表中对每一级道路的平均亮度和平均照度给出了两档标准值，“/”的左侧为低档值，右侧为高档值。</w:t>
            </w:r>
          </w:p>
        </w:tc>
      </w:tr>
    </w:tbl>
    <w:p>
      <w:pPr>
        <w:pStyle w:val="205"/>
        <w:spacing w:before="156" w:after="156"/>
        <w:ind w:firstLine="321"/>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3—2</w:t>
      </w:r>
      <w:r>
        <w:rPr>
          <w:rFonts w:ascii="宋体" w:hAnsi="宋体"/>
          <w:bCs w:val="0"/>
          <w:sz w:val="24"/>
        </w:rPr>
        <w:t xml:space="preserve"> </w:t>
      </w:r>
      <w:r>
        <w:rPr>
          <w:rFonts w:hint="eastAsia" w:ascii="宋体" w:hAnsi="宋体"/>
          <w:bCs w:val="0"/>
          <w:sz w:val="24"/>
        </w:rPr>
        <w:t>北京市人行道及非机动车道照明等级控制表</w:t>
      </w:r>
    </w:p>
    <w:tbl>
      <w:tblPr>
        <w:tblStyle w:val="8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2838"/>
        <w:gridCol w:w="1299"/>
        <w:gridCol w:w="1522"/>
        <w:gridCol w:w="1567"/>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blHeader/>
        </w:trPr>
        <w:tc>
          <w:tcPr>
            <w:tcW w:w="466"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级别</w:t>
            </w:r>
          </w:p>
        </w:tc>
        <w:tc>
          <w:tcPr>
            <w:tcW w:w="2838"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夜间行人流量</w:t>
            </w:r>
          </w:p>
        </w:tc>
        <w:tc>
          <w:tcPr>
            <w:tcW w:w="1299"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路面平均照度</w:t>
            </w:r>
            <w:r>
              <w:rPr>
                <w:rFonts w:ascii="宋体" w:hAnsi="宋体" w:eastAsia="仿宋_GB2312"/>
                <w:bCs w:val="0"/>
                <w:color w:val="auto"/>
                <w:sz w:val="24"/>
              </w:rPr>
              <w:t xml:space="preserve">Eh.av </w:t>
            </w:r>
            <w:r>
              <w:rPr>
                <w:rFonts w:hint="eastAsia" w:ascii="宋体" w:hAnsi="宋体" w:eastAsia="仿宋_GB2312"/>
                <w:bCs w:val="0"/>
                <w:color w:val="auto"/>
                <w:sz w:val="24"/>
              </w:rPr>
              <w:t>(lx)维持值</w:t>
            </w:r>
          </w:p>
        </w:tc>
        <w:tc>
          <w:tcPr>
            <w:tcW w:w="1522"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路面最小照度</w:t>
            </w:r>
            <w:r>
              <w:rPr>
                <w:rFonts w:ascii="宋体" w:hAnsi="宋体" w:eastAsia="仿宋_GB2312"/>
                <w:bCs w:val="0"/>
                <w:color w:val="auto"/>
                <w:sz w:val="24"/>
              </w:rPr>
              <w:t xml:space="preserve">Eh.min </w:t>
            </w:r>
            <w:r>
              <w:rPr>
                <w:rFonts w:hint="eastAsia" w:ascii="宋体" w:hAnsi="宋体" w:eastAsia="仿宋_GB2312"/>
                <w:bCs w:val="0"/>
                <w:color w:val="auto"/>
                <w:sz w:val="24"/>
              </w:rPr>
              <w:t>(lx)维持值</w:t>
            </w:r>
          </w:p>
        </w:tc>
        <w:tc>
          <w:tcPr>
            <w:tcW w:w="1567"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最小垂直照度</w:t>
            </w:r>
            <w:r>
              <w:rPr>
                <w:rFonts w:ascii="宋体" w:hAnsi="宋体" w:eastAsia="仿宋_GB2312"/>
                <w:bCs w:val="0"/>
                <w:color w:val="auto"/>
                <w:sz w:val="24"/>
              </w:rPr>
              <w:t xml:space="preserve">Ev.min </w:t>
            </w:r>
            <w:r>
              <w:rPr>
                <w:rFonts w:hint="eastAsia" w:ascii="宋体" w:hAnsi="宋体" w:eastAsia="仿宋_GB2312"/>
                <w:bCs w:val="0"/>
                <w:color w:val="auto"/>
                <w:sz w:val="24"/>
              </w:rPr>
              <w:t>(lx)维持值</w:t>
            </w:r>
          </w:p>
        </w:tc>
        <w:tc>
          <w:tcPr>
            <w:tcW w:w="1369"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最小半柱面照度</w:t>
            </w:r>
            <w:r>
              <w:rPr>
                <w:rFonts w:ascii="宋体" w:hAnsi="宋体" w:eastAsia="仿宋_GB2312"/>
                <w:bCs w:val="0"/>
                <w:color w:val="auto"/>
                <w:sz w:val="24"/>
              </w:rPr>
              <w:t>Esc.min</w:t>
            </w:r>
            <w:r>
              <w:rPr>
                <w:rFonts w:hint="eastAsia" w:ascii="宋体" w:hAnsi="宋体" w:eastAsia="仿宋_GB2312"/>
                <w:bCs w:val="0"/>
                <w:color w:val="auto"/>
                <w:sz w:val="24"/>
              </w:rPr>
              <w:t>(lx)维持值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466"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1</w:t>
            </w:r>
          </w:p>
        </w:tc>
        <w:tc>
          <w:tcPr>
            <w:tcW w:w="2838" w:type="dxa"/>
            <w:shd w:val="clear" w:color="auto" w:fill="auto"/>
            <w:vAlign w:val="center"/>
          </w:tcPr>
          <w:p>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商业步行街；市中心或商业区行人流量高的道路；机动车与行人混合使用、与城市机动车道路连接的居住区出入道路</w:t>
            </w:r>
          </w:p>
        </w:tc>
        <w:tc>
          <w:tcPr>
            <w:tcW w:w="1299"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15</w:t>
            </w:r>
          </w:p>
        </w:tc>
        <w:tc>
          <w:tcPr>
            <w:tcW w:w="1522"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3</w:t>
            </w:r>
          </w:p>
        </w:tc>
        <w:tc>
          <w:tcPr>
            <w:tcW w:w="1567"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5</w:t>
            </w:r>
          </w:p>
        </w:tc>
        <w:tc>
          <w:tcPr>
            <w:tcW w:w="1369"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6"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2</w:t>
            </w:r>
          </w:p>
        </w:tc>
        <w:tc>
          <w:tcPr>
            <w:tcW w:w="2838" w:type="dxa"/>
            <w:shd w:val="clear" w:color="auto" w:fill="auto"/>
            <w:vAlign w:val="center"/>
          </w:tcPr>
          <w:p>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流量较高的道路</w:t>
            </w:r>
          </w:p>
        </w:tc>
        <w:tc>
          <w:tcPr>
            <w:tcW w:w="1299"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10</w:t>
            </w:r>
          </w:p>
        </w:tc>
        <w:tc>
          <w:tcPr>
            <w:tcW w:w="1522"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2</w:t>
            </w:r>
          </w:p>
        </w:tc>
        <w:tc>
          <w:tcPr>
            <w:tcW w:w="1567"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3</w:t>
            </w:r>
          </w:p>
        </w:tc>
        <w:tc>
          <w:tcPr>
            <w:tcW w:w="1369"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6"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3</w:t>
            </w:r>
          </w:p>
        </w:tc>
        <w:tc>
          <w:tcPr>
            <w:tcW w:w="2838" w:type="dxa"/>
            <w:shd w:val="clear" w:color="auto" w:fill="auto"/>
            <w:vAlign w:val="center"/>
          </w:tcPr>
          <w:p>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流量中等的道路</w:t>
            </w:r>
          </w:p>
        </w:tc>
        <w:tc>
          <w:tcPr>
            <w:tcW w:w="1299"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7.5</w:t>
            </w:r>
          </w:p>
        </w:tc>
        <w:tc>
          <w:tcPr>
            <w:tcW w:w="1522"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1.5</w:t>
            </w:r>
          </w:p>
        </w:tc>
        <w:tc>
          <w:tcPr>
            <w:tcW w:w="1567"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2.5</w:t>
            </w:r>
          </w:p>
        </w:tc>
        <w:tc>
          <w:tcPr>
            <w:tcW w:w="1369"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6"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4</w:t>
            </w:r>
          </w:p>
        </w:tc>
        <w:tc>
          <w:tcPr>
            <w:tcW w:w="2838" w:type="dxa"/>
            <w:shd w:val="clear" w:color="auto" w:fill="auto"/>
            <w:vAlign w:val="center"/>
          </w:tcPr>
          <w:p>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流量较低的道路</w:t>
            </w:r>
          </w:p>
        </w:tc>
        <w:tc>
          <w:tcPr>
            <w:tcW w:w="1299"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5</w:t>
            </w:r>
          </w:p>
        </w:tc>
        <w:tc>
          <w:tcPr>
            <w:tcW w:w="1522"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1</w:t>
            </w:r>
          </w:p>
        </w:tc>
        <w:tc>
          <w:tcPr>
            <w:tcW w:w="1567"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1.5</w:t>
            </w:r>
          </w:p>
        </w:tc>
        <w:tc>
          <w:tcPr>
            <w:tcW w:w="1369" w:type="dxa"/>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1</w:t>
            </w:r>
          </w:p>
        </w:tc>
      </w:tr>
    </w:tbl>
    <w:p>
      <w:pPr>
        <w:pStyle w:val="205"/>
        <w:spacing w:before="156" w:after="156"/>
        <w:ind w:firstLine="321"/>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3—3人行道及非机动车道照明眩光限值表</w:t>
      </w:r>
    </w:p>
    <w:tbl>
      <w:tblPr>
        <w:tblStyle w:val="89"/>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3298"/>
        <w:gridCol w:w="1649"/>
        <w:gridCol w:w="1740"/>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57" w:type="dxa"/>
            <w:vMerge w:val="restart"/>
            <w:shd w:val="clear" w:color="auto" w:fill="auto"/>
            <w:vAlign w:val="center"/>
          </w:tcPr>
          <w:p>
            <w:pPr>
              <w:pStyle w:val="104"/>
              <w:rPr>
                <w:rFonts w:ascii="宋体" w:hAnsi="宋体" w:eastAsia="仿宋_GB2312"/>
                <w:bCs w:val="0"/>
                <w:color w:val="auto"/>
                <w:sz w:val="24"/>
              </w:rPr>
            </w:pPr>
            <w:r>
              <w:rPr>
                <w:rFonts w:hint="eastAsia" w:ascii="宋体" w:hAnsi="宋体" w:eastAsia="仿宋_GB2312"/>
                <w:bCs w:val="0"/>
                <w:color w:val="auto"/>
                <w:sz w:val="24"/>
              </w:rPr>
              <w:t>级别</w:t>
            </w:r>
          </w:p>
        </w:tc>
        <w:tc>
          <w:tcPr>
            <w:tcW w:w="8504" w:type="dxa"/>
            <w:gridSpan w:val="4"/>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最大光强I</w:t>
            </w:r>
            <w:r>
              <w:rPr>
                <w:rFonts w:ascii="宋体" w:hAnsi="宋体" w:eastAsia="仿宋_GB2312"/>
                <w:bCs w:val="0"/>
                <w:color w:val="auto"/>
                <w:sz w:val="24"/>
              </w:rPr>
              <w:t>max</w:t>
            </w:r>
            <w:r>
              <w:rPr>
                <w:rFonts w:hint="eastAsia" w:ascii="宋体" w:hAnsi="宋体" w:eastAsia="仿宋_GB2312"/>
                <w:bCs w:val="0"/>
                <w:color w:val="auto"/>
                <w:sz w:val="24"/>
              </w:rPr>
              <w:t>（c</w:t>
            </w:r>
            <w:r>
              <w:rPr>
                <w:rFonts w:ascii="宋体" w:hAnsi="宋体" w:eastAsia="仿宋_GB2312"/>
                <w:bCs w:val="0"/>
                <w:color w:val="auto"/>
                <w:sz w:val="24"/>
              </w:rPr>
              <w:t>d/1000lm</w:t>
            </w:r>
            <w:r>
              <w:rPr>
                <w:rFonts w:hint="eastAsia" w:ascii="宋体" w:hAnsi="宋体" w:eastAsia="仿宋_GB2312"/>
                <w:bCs w:val="0"/>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57" w:type="dxa"/>
            <w:vMerge w:val="continue"/>
            <w:shd w:val="clear" w:color="auto" w:fill="auto"/>
            <w:vAlign w:val="center"/>
          </w:tcPr>
          <w:p>
            <w:pPr>
              <w:pStyle w:val="104"/>
              <w:rPr>
                <w:rFonts w:ascii="宋体" w:hAnsi="宋体" w:eastAsia="仿宋_GB2312"/>
                <w:bCs w:val="0"/>
                <w:color w:val="auto"/>
                <w:sz w:val="24"/>
              </w:rPr>
            </w:pPr>
          </w:p>
        </w:tc>
        <w:tc>
          <w:tcPr>
            <w:tcW w:w="3298"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≥70°</w:t>
            </w:r>
          </w:p>
        </w:tc>
        <w:tc>
          <w:tcPr>
            <w:tcW w:w="1649"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≥80°</w:t>
            </w:r>
          </w:p>
        </w:tc>
        <w:tc>
          <w:tcPr>
            <w:tcW w:w="1740"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≥90°</w:t>
            </w:r>
          </w:p>
        </w:tc>
        <w:tc>
          <w:tcPr>
            <w:tcW w:w="1817"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1</w:t>
            </w:r>
          </w:p>
        </w:tc>
        <w:tc>
          <w:tcPr>
            <w:tcW w:w="3298"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500</w:t>
            </w:r>
          </w:p>
        </w:tc>
        <w:tc>
          <w:tcPr>
            <w:tcW w:w="1649"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100</w:t>
            </w:r>
          </w:p>
        </w:tc>
        <w:tc>
          <w:tcPr>
            <w:tcW w:w="1740"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1817"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2</w:t>
            </w:r>
          </w:p>
        </w:tc>
        <w:tc>
          <w:tcPr>
            <w:tcW w:w="3298"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649"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100</w:t>
            </w:r>
          </w:p>
        </w:tc>
        <w:tc>
          <w:tcPr>
            <w:tcW w:w="1740"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20</w:t>
            </w:r>
          </w:p>
        </w:tc>
        <w:tc>
          <w:tcPr>
            <w:tcW w:w="1817"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3</w:t>
            </w:r>
          </w:p>
        </w:tc>
        <w:tc>
          <w:tcPr>
            <w:tcW w:w="3298"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649"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150</w:t>
            </w:r>
          </w:p>
        </w:tc>
        <w:tc>
          <w:tcPr>
            <w:tcW w:w="1740"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30</w:t>
            </w:r>
          </w:p>
        </w:tc>
        <w:tc>
          <w:tcPr>
            <w:tcW w:w="1817"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4</w:t>
            </w:r>
          </w:p>
        </w:tc>
        <w:tc>
          <w:tcPr>
            <w:tcW w:w="3298"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649"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200</w:t>
            </w:r>
          </w:p>
        </w:tc>
        <w:tc>
          <w:tcPr>
            <w:tcW w:w="1740"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50</w:t>
            </w:r>
          </w:p>
        </w:tc>
        <w:tc>
          <w:tcPr>
            <w:tcW w:w="1817" w:type="dxa"/>
            <w:shd w:val="clear" w:color="auto" w:fill="auto"/>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r>
    </w:tbl>
    <w:p>
      <w:pPr>
        <w:pStyle w:val="205"/>
        <w:spacing w:before="156" w:after="156"/>
        <w:ind w:firstLine="321"/>
        <w:rPr>
          <w:rFonts w:ascii="宋体" w:hAnsi="宋体"/>
          <w:bCs w:val="0"/>
          <w:sz w:val="24"/>
        </w:rPr>
      </w:pPr>
    </w:p>
    <w:p>
      <w:pPr>
        <w:pStyle w:val="205"/>
        <w:spacing w:before="156" w:after="156"/>
        <w:ind w:firstLine="321"/>
        <w:rPr>
          <w:rFonts w:ascii="宋体" w:hAnsi="宋体"/>
          <w:bCs w:val="0"/>
          <w:sz w:val="24"/>
        </w:rPr>
      </w:pPr>
    </w:p>
    <w:p>
      <w:pPr>
        <w:pStyle w:val="205"/>
        <w:spacing w:before="156" w:after="156"/>
        <w:ind w:firstLine="321"/>
        <w:rPr>
          <w:rFonts w:ascii="宋体" w:hAnsi="宋体"/>
          <w:bCs w:val="0"/>
          <w:sz w:val="24"/>
        </w:rPr>
      </w:pPr>
      <w:r>
        <w:rPr>
          <w:rFonts w:hint="eastAsia" w:ascii="宋体" w:hAnsi="宋体"/>
          <w:bCs w:val="0"/>
          <w:sz w:val="24"/>
        </w:rPr>
        <w:t>表13—4</w:t>
      </w:r>
      <w:r>
        <w:rPr>
          <w:rFonts w:ascii="宋体" w:hAnsi="宋体"/>
          <w:bCs w:val="0"/>
          <w:sz w:val="24"/>
        </w:rPr>
        <w:t xml:space="preserve"> </w:t>
      </w:r>
      <w:r>
        <w:rPr>
          <w:rFonts w:hint="eastAsia" w:ascii="宋体" w:hAnsi="宋体"/>
          <w:bCs w:val="0"/>
          <w:sz w:val="24"/>
        </w:rPr>
        <w:t>北京市村镇道路照明等级与控制指标表</w:t>
      </w:r>
    </w:p>
    <w:tbl>
      <w:tblPr>
        <w:tblStyle w:val="9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489"/>
        <w:gridCol w:w="1153"/>
        <w:gridCol w:w="1039"/>
        <w:gridCol w:w="789"/>
        <w:gridCol w:w="1256"/>
        <w:gridCol w:w="831"/>
        <w:gridCol w:w="1042"/>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742" w:type="dxa"/>
            <w:vMerge w:val="restart"/>
            <w:shd w:val="clear" w:color="auto" w:fill="auto"/>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规划</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分类</w:t>
            </w:r>
          </w:p>
        </w:tc>
        <w:tc>
          <w:tcPr>
            <w:tcW w:w="1489" w:type="dxa"/>
            <w:vMerge w:val="restart"/>
            <w:shd w:val="clear" w:color="auto" w:fill="auto"/>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道路</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类型</w:t>
            </w:r>
          </w:p>
        </w:tc>
        <w:tc>
          <w:tcPr>
            <w:tcW w:w="2981" w:type="dxa"/>
            <w:gridSpan w:val="3"/>
            <w:shd w:val="clear" w:color="auto" w:fill="auto"/>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路面亮度</w:t>
            </w:r>
          </w:p>
        </w:tc>
        <w:tc>
          <w:tcPr>
            <w:tcW w:w="2087" w:type="dxa"/>
            <w:gridSpan w:val="2"/>
            <w:shd w:val="clear" w:color="auto" w:fill="auto"/>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路面照度</w:t>
            </w:r>
          </w:p>
        </w:tc>
        <w:tc>
          <w:tcPr>
            <w:tcW w:w="1042" w:type="dxa"/>
            <w:vMerge w:val="restart"/>
            <w:shd w:val="clear" w:color="auto" w:fill="auto"/>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眩光限制阈值增量</w:t>
            </w:r>
            <w:r>
              <w:rPr>
                <w:rFonts w:hint="eastAsia" w:ascii="宋体" w:hAnsi="宋体" w:eastAsia="仿宋_GB2312" w:cs="仿宋"/>
                <w:spacing w:val="1"/>
                <w:w w:val="87"/>
                <w:kern w:val="0"/>
                <w:szCs w:val="21"/>
                <w:fitText w:val="739" w:id="1735750315"/>
              </w:rPr>
              <w:t>T</w:t>
            </w:r>
            <w:r>
              <w:rPr>
                <w:rFonts w:ascii="宋体" w:hAnsi="宋体" w:eastAsia="仿宋_GB2312" w:cs="仿宋"/>
                <w:spacing w:val="1"/>
                <w:w w:val="87"/>
                <w:kern w:val="0"/>
                <w:szCs w:val="21"/>
                <w:fitText w:val="739" w:id="1735750315"/>
              </w:rPr>
              <w:t>1</w:t>
            </w:r>
            <w:r>
              <w:rPr>
                <w:rFonts w:hint="eastAsia" w:ascii="宋体" w:hAnsi="宋体" w:eastAsia="仿宋_GB2312" w:cs="仿宋"/>
                <w:spacing w:val="1"/>
                <w:w w:val="87"/>
                <w:kern w:val="0"/>
                <w:szCs w:val="21"/>
                <w:fitText w:val="739" w:id="1735750315"/>
              </w:rPr>
              <w:t>（%</w:t>
            </w:r>
            <w:r>
              <w:rPr>
                <w:rFonts w:hint="eastAsia" w:ascii="宋体" w:hAnsi="宋体" w:eastAsia="仿宋_GB2312" w:cs="仿宋"/>
                <w:spacing w:val="2"/>
                <w:w w:val="87"/>
                <w:kern w:val="0"/>
                <w:szCs w:val="21"/>
                <w:fitText w:val="739" w:id="1735750315"/>
              </w:rPr>
              <w:t>）</w:t>
            </w:r>
            <w:r>
              <w:rPr>
                <w:rFonts w:hint="eastAsia" w:ascii="宋体" w:hAnsi="宋体" w:eastAsia="仿宋_GB2312" w:cs="仿宋"/>
                <w:szCs w:val="21"/>
              </w:rPr>
              <w:t>最大初始量</w:t>
            </w:r>
          </w:p>
        </w:tc>
        <w:tc>
          <w:tcPr>
            <w:tcW w:w="720" w:type="dxa"/>
            <w:vMerge w:val="restart"/>
            <w:shd w:val="clear" w:color="auto" w:fill="auto"/>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环境比SR最小值</w:t>
            </w:r>
          </w:p>
          <w:p>
            <w:pPr>
              <w:pStyle w:val="190"/>
              <w:kinsoku w:val="0"/>
              <w:overflowPunct w:val="0"/>
              <w:jc w:val="center"/>
              <w:rPr>
                <w:rFonts w:ascii="宋体" w:hAnsi="宋体"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42" w:type="dxa"/>
            <w:vMerge w:val="continue"/>
            <w:shd w:val="clear" w:color="auto" w:fill="auto"/>
            <w:vAlign w:val="center"/>
          </w:tcPr>
          <w:p>
            <w:pPr>
              <w:pStyle w:val="190"/>
              <w:kinsoku w:val="0"/>
              <w:overflowPunct w:val="0"/>
              <w:jc w:val="center"/>
              <w:rPr>
                <w:rFonts w:ascii="宋体" w:hAnsi="宋体" w:eastAsia="仿宋_GB2312" w:cs="仿宋"/>
                <w:szCs w:val="21"/>
              </w:rPr>
            </w:pPr>
          </w:p>
        </w:tc>
        <w:tc>
          <w:tcPr>
            <w:tcW w:w="1489" w:type="dxa"/>
            <w:vMerge w:val="continue"/>
            <w:shd w:val="clear" w:color="auto" w:fill="auto"/>
            <w:vAlign w:val="center"/>
          </w:tcPr>
          <w:p>
            <w:pPr>
              <w:pStyle w:val="190"/>
              <w:kinsoku w:val="0"/>
              <w:overflowPunct w:val="0"/>
              <w:jc w:val="center"/>
              <w:rPr>
                <w:rFonts w:ascii="宋体" w:hAnsi="宋体" w:eastAsia="仿宋_GB2312" w:cs="仿宋"/>
                <w:szCs w:val="21"/>
              </w:rPr>
            </w:pPr>
          </w:p>
        </w:tc>
        <w:tc>
          <w:tcPr>
            <w:tcW w:w="1153" w:type="dxa"/>
            <w:shd w:val="clear" w:color="auto" w:fill="auto"/>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平均亮度Lav</w:t>
            </w:r>
          </w:p>
          <w:p>
            <w:pPr>
              <w:pStyle w:val="190"/>
              <w:kinsoku w:val="0"/>
              <w:overflowPunct w:val="0"/>
              <w:jc w:val="center"/>
              <w:rPr>
                <w:rFonts w:ascii="宋体" w:hAnsi="宋体" w:eastAsia="仿宋_GB2312" w:cs="仿宋"/>
                <w:szCs w:val="21"/>
              </w:rPr>
            </w:pPr>
            <w:r>
              <w:rPr>
                <w:rFonts w:hint="eastAsia" w:ascii="宋体" w:hAnsi="宋体" w:eastAsia="仿宋_GB2312" w:cs="仿宋"/>
                <w:spacing w:val="1"/>
                <w:w w:val="68"/>
                <w:kern w:val="0"/>
                <w:szCs w:val="21"/>
                <w:fitText w:val="739" w:id="1"/>
              </w:rPr>
              <w:t>（cd/m2</w:t>
            </w:r>
            <w:r>
              <w:rPr>
                <w:rFonts w:hint="eastAsia" w:ascii="宋体" w:hAnsi="宋体" w:eastAsia="仿宋_GB2312" w:cs="仿宋"/>
                <w:spacing w:val="0"/>
                <w:w w:val="68"/>
                <w:kern w:val="0"/>
                <w:szCs w:val="21"/>
                <w:fitText w:val="739" w:id="1"/>
              </w:rPr>
              <w:t>）</w:t>
            </w:r>
            <w:r>
              <w:rPr>
                <w:rFonts w:hint="eastAsia" w:ascii="宋体" w:hAnsi="宋体" w:eastAsia="仿宋_GB2312" w:cs="仿宋"/>
                <w:szCs w:val="21"/>
              </w:rPr>
              <w:t>维持值</w:t>
            </w:r>
          </w:p>
        </w:tc>
        <w:tc>
          <w:tcPr>
            <w:tcW w:w="1039" w:type="dxa"/>
            <w:shd w:val="clear" w:color="auto" w:fill="auto"/>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总均匀度Uo最小值</w:t>
            </w:r>
          </w:p>
        </w:tc>
        <w:tc>
          <w:tcPr>
            <w:tcW w:w="789" w:type="dxa"/>
            <w:shd w:val="clear" w:color="auto" w:fill="auto"/>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纵向均匀度UL最小值</w:t>
            </w:r>
          </w:p>
        </w:tc>
        <w:tc>
          <w:tcPr>
            <w:tcW w:w="1256" w:type="dxa"/>
            <w:shd w:val="clear" w:color="auto" w:fill="auto"/>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平均照度</w:t>
            </w:r>
            <w:r>
              <w:rPr>
                <w:rFonts w:hint="eastAsia" w:ascii="宋体" w:hAnsi="宋体" w:eastAsia="仿宋_GB2312" w:cs="仿宋"/>
                <w:spacing w:val="1"/>
                <w:w w:val="68"/>
                <w:kern w:val="0"/>
                <w:szCs w:val="21"/>
                <w:fitText w:val="739" w:id="2"/>
              </w:rPr>
              <w:t>Eh,av(lx</w:t>
            </w:r>
            <w:r>
              <w:rPr>
                <w:rFonts w:hint="eastAsia" w:ascii="宋体" w:hAnsi="宋体" w:eastAsia="仿宋_GB2312" w:cs="仿宋"/>
                <w:spacing w:val="-2"/>
                <w:w w:val="68"/>
                <w:kern w:val="0"/>
                <w:szCs w:val="21"/>
                <w:fitText w:val="739" w:id="2"/>
              </w:rPr>
              <w:t>)</w:t>
            </w:r>
            <w:r>
              <w:rPr>
                <w:rFonts w:hint="eastAsia" w:ascii="宋体" w:hAnsi="宋体" w:eastAsia="仿宋_GB2312" w:cs="仿宋"/>
                <w:szCs w:val="21"/>
              </w:rPr>
              <w:t>维持值</w:t>
            </w:r>
          </w:p>
        </w:tc>
        <w:tc>
          <w:tcPr>
            <w:tcW w:w="831" w:type="dxa"/>
            <w:shd w:val="clear" w:color="auto" w:fill="auto"/>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均匀度UE最小值</w:t>
            </w:r>
          </w:p>
        </w:tc>
        <w:tc>
          <w:tcPr>
            <w:tcW w:w="1042" w:type="dxa"/>
            <w:vMerge w:val="continue"/>
            <w:shd w:val="clear" w:color="auto" w:fill="auto"/>
            <w:vAlign w:val="center"/>
          </w:tcPr>
          <w:p>
            <w:pPr>
              <w:pStyle w:val="190"/>
              <w:kinsoku w:val="0"/>
              <w:overflowPunct w:val="0"/>
              <w:jc w:val="center"/>
              <w:rPr>
                <w:rFonts w:ascii="宋体" w:hAnsi="宋体" w:eastAsia="仿宋_GB2312" w:cs="仿宋"/>
                <w:szCs w:val="21"/>
              </w:rPr>
            </w:pPr>
          </w:p>
        </w:tc>
        <w:tc>
          <w:tcPr>
            <w:tcW w:w="720" w:type="dxa"/>
            <w:vMerge w:val="continue"/>
            <w:shd w:val="clear" w:color="auto" w:fill="auto"/>
            <w:vAlign w:val="center"/>
          </w:tcPr>
          <w:p>
            <w:pPr>
              <w:pStyle w:val="190"/>
              <w:kinsoku w:val="0"/>
              <w:overflowPunct w:val="0"/>
              <w:jc w:val="center"/>
              <w:rPr>
                <w:rFonts w:ascii="宋体" w:hAnsi="宋体"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742"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一级照明</w:t>
            </w:r>
          </w:p>
        </w:tc>
        <w:tc>
          <w:tcPr>
            <w:tcW w:w="148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镇区主干路</w:t>
            </w:r>
          </w:p>
        </w:tc>
        <w:tc>
          <w:tcPr>
            <w:tcW w:w="1153"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1.0/1.5</w:t>
            </w:r>
          </w:p>
        </w:tc>
        <w:tc>
          <w:tcPr>
            <w:tcW w:w="103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0.4</w:t>
            </w:r>
          </w:p>
        </w:tc>
        <w:tc>
          <w:tcPr>
            <w:tcW w:w="78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w:t>
            </w:r>
          </w:p>
        </w:tc>
        <w:tc>
          <w:tcPr>
            <w:tcW w:w="1256"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15/20</w:t>
            </w:r>
          </w:p>
        </w:tc>
        <w:tc>
          <w:tcPr>
            <w:tcW w:w="831"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0.4</w:t>
            </w:r>
          </w:p>
        </w:tc>
        <w:tc>
          <w:tcPr>
            <w:tcW w:w="1042"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w:t>
            </w:r>
          </w:p>
        </w:tc>
        <w:tc>
          <w:tcPr>
            <w:tcW w:w="720"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742"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二级照明</w:t>
            </w:r>
          </w:p>
        </w:tc>
        <w:tc>
          <w:tcPr>
            <w:tcW w:w="148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镇区干路</w:t>
            </w:r>
          </w:p>
        </w:tc>
        <w:tc>
          <w:tcPr>
            <w:tcW w:w="1153"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0.75/1.0</w:t>
            </w:r>
          </w:p>
        </w:tc>
        <w:tc>
          <w:tcPr>
            <w:tcW w:w="103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w:t>
            </w:r>
          </w:p>
        </w:tc>
        <w:tc>
          <w:tcPr>
            <w:tcW w:w="78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10/15</w:t>
            </w:r>
          </w:p>
        </w:tc>
        <w:tc>
          <w:tcPr>
            <w:tcW w:w="831"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w:t>
            </w:r>
          </w:p>
        </w:tc>
        <w:tc>
          <w:tcPr>
            <w:tcW w:w="1042"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w:t>
            </w:r>
          </w:p>
        </w:tc>
        <w:tc>
          <w:tcPr>
            <w:tcW w:w="720"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742"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三级照明</w:t>
            </w:r>
          </w:p>
        </w:tc>
        <w:tc>
          <w:tcPr>
            <w:tcW w:w="148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镇区支路、村庄干路</w:t>
            </w:r>
          </w:p>
        </w:tc>
        <w:tc>
          <w:tcPr>
            <w:tcW w:w="1153"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0.5/0.75</w:t>
            </w:r>
          </w:p>
        </w:tc>
        <w:tc>
          <w:tcPr>
            <w:tcW w:w="103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0.3/0.4</w:t>
            </w:r>
          </w:p>
        </w:tc>
        <w:tc>
          <w:tcPr>
            <w:tcW w:w="78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8/10</w:t>
            </w:r>
          </w:p>
        </w:tc>
        <w:tc>
          <w:tcPr>
            <w:tcW w:w="831"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w:t>
            </w:r>
          </w:p>
        </w:tc>
        <w:tc>
          <w:tcPr>
            <w:tcW w:w="1042"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15</w:t>
            </w:r>
          </w:p>
        </w:tc>
        <w:tc>
          <w:tcPr>
            <w:tcW w:w="720"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42"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四级照明</w:t>
            </w:r>
          </w:p>
        </w:tc>
        <w:tc>
          <w:tcPr>
            <w:tcW w:w="148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村庄支路、</w:t>
            </w:r>
          </w:p>
        </w:tc>
        <w:tc>
          <w:tcPr>
            <w:tcW w:w="1153"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w:t>
            </w:r>
          </w:p>
        </w:tc>
        <w:tc>
          <w:tcPr>
            <w:tcW w:w="103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8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5/7.5</w:t>
            </w:r>
          </w:p>
        </w:tc>
        <w:tc>
          <w:tcPr>
            <w:tcW w:w="831"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042"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20"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42"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五级照明</w:t>
            </w:r>
          </w:p>
        </w:tc>
        <w:tc>
          <w:tcPr>
            <w:tcW w:w="148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镇区巷路、村庄巷路</w:t>
            </w:r>
          </w:p>
        </w:tc>
        <w:tc>
          <w:tcPr>
            <w:tcW w:w="1153"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0.4</w:t>
            </w:r>
          </w:p>
        </w:tc>
        <w:tc>
          <w:tcPr>
            <w:tcW w:w="103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89"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5</w:t>
            </w:r>
          </w:p>
        </w:tc>
        <w:tc>
          <w:tcPr>
            <w:tcW w:w="831"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042"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20" w:type="dxa"/>
            <w:shd w:val="clear" w:color="auto" w:fill="auto"/>
            <w:vAlign w:val="center"/>
          </w:tcPr>
          <w:p>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9061" w:type="dxa"/>
            <w:gridSpan w:val="9"/>
            <w:shd w:val="clear" w:color="auto" w:fill="auto"/>
          </w:tcPr>
          <w:p>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注：</w:t>
            </w:r>
          </w:p>
          <w:p>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表中所列的平均照度仅适用于沥青路面。</w:t>
            </w:r>
          </w:p>
          <w:p>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若系水泥混凝土路面，其平均照度值相应降低约30%。</w:t>
            </w:r>
          </w:p>
          <w:p>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表中各项数值仅适用于干燥路面。</w:t>
            </w:r>
          </w:p>
          <w:p>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表中对每一级道路的平均亮度和平均照度给出了两档标准值，“/”的左侧为低档值，右侧为高档值。</w:t>
            </w:r>
          </w:p>
        </w:tc>
      </w:tr>
    </w:tbl>
    <w:p>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67" w:name="_Toc87042577"/>
      <w:r>
        <w:rPr>
          <w:rFonts w:hint="eastAsia" w:ascii="宋体" w:hAnsi="宋体" w:eastAsia="楷体_GB2312" w:cs="楷体_GB2312"/>
          <w:b w:val="0"/>
          <w:color w:val="auto"/>
        </w:rPr>
        <w:t>交汇区照明</w:t>
      </w:r>
      <w:bookmarkEnd w:id="667"/>
    </w:p>
    <w:p>
      <w:pPr>
        <w:pStyle w:val="204"/>
        <w:adjustRightInd w:val="0"/>
        <w:spacing w:after="0" w:afterLines="0"/>
        <w:ind w:firstLine="640"/>
        <w:rPr>
          <w:rFonts w:ascii="宋体" w:hAnsi="宋体" w:eastAsia="仿宋_GB2312"/>
          <w:sz w:val="32"/>
        </w:rPr>
      </w:pPr>
      <w:r>
        <w:rPr>
          <w:rFonts w:hint="eastAsia" w:ascii="宋体" w:hAnsi="宋体" w:eastAsia="仿宋_GB2312"/>
          <w:sz w:val="32"/>
        </w:rPr>
        <w:t>道路交汇区是城市路网的重要组成部分之一，其照明设置应为驾驶员提供良好的诱导性，提供无干扰光的环境照明。交叉口路灯应合理布局，投光方向不得与机动车行驶方向相对，避免产生眩光，同时照明标准值应符合国家相关标准规定。</w:t>
      </w:r>
    </w:p>
    <w:p>
      <w:pPr>
        <w:pStyle w:val="205"/>
        <w:spacing w:before="156" w:after="156"/>
        <w:ind w:firstLine="321"/>
        <w:rPr>
          <w:rFonts w:ascii="宋体" w:hAnsi="宋体"/>
          <w:bCs w:val="0"/>
          <w:sz w:val="24"/>
        </w:rPr>
      </w:pPr>
      <w:r>
        <w:rPr>
          <w:rFonts w:hint="eastAsia" w:ascii="宋体" w:hAnsi="宋体"/>
          <w:bCs w:val="0"/>
          <w:sz w:val="24"/>
        </w:rPr>
        <w:t>表13—5</w:t>
      </w:r>
      <w:r>
        <w:rPr>
          <w:rFonts w:ascii="宋体" w:hAnsi="宋体"/>
          <w:bCs w:val="0"/>
          <w:sz w:val="24"/>
        </w:rPr>
        <w:t xml:space="preserve"> </w:t>
      </w:r>
      <w:r>
        <w:rPr>
          <w:rFonts w:hint="eastAsia" w:ascii="宋体" w:hAnsi="宋体"/>
          <w:bCs w:val="0"/>
          <w:sz w:val="24"/>
        </w:rPr>
        <w:t>交汇区照明标准值</w:t>
      </w:r>
    </w:p>
    <w:tbl>
      <w:tblPr>
        <w:tblStyle w:val="89"/>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6"/>
        <w:gridCol w:w="2177"/>
        <w:gridCol w:w="1564"/>
        <w:gridCol w:w="2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2456" w:type="dxa"/>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交汇区</w:t>
            </w:r>
            <w:r>
              <w:rPr>
                <w:rFonts w:ascii="宋体" w:hAnsi="宋体" w:eastAsia="仿宋_GB2312"/>
                <w:sz w:val="24"/>
                <w:szCs w:val="21"/>
              </w:rPr>
              <w:t>类型</w:t>
            </w:r>
          </w:p>
        </w:tc>
        <w:tc>
          <w:tcPr>
            <w:tcW w:w="2177" w:type="dxa"/>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路面平均</w:t>
            </w:r>
            <w:r>
              <w:rPr>
                <w:rFonts w:ascii="宋体" w:hAnsi="宋体" w:eastAsia="仿宋_GB2312"/>
                <w:sz w:val="24"/>
                <w:szCs w:val="21"/>
              </w:rPr>
              <w:t>照度</w:t>
            </w:r>
            <w:r>
              <w:rPr>
                <w:rFonts w:hint="eastAsia" w:ascii="宋体" w:hAnsi="宋体" w:eastAsia="仿宋_GB2312"/>
                <w:sz w:val="24"/>
                <w:szCs w:val="21"/>
              </w:rPr>
              <w:t>(</w:t>
            </w:r>
            <w:r>
              <w:rPr>
                <w:rFonts w:ascii="宋体" w:hAnsi="宋体" w:eastAsia="仿宋_GB2312"/>
                <w:sz w:val="24"/>
                <w:szCs w:val="21"/>
              </w:rPr>
              <w:t>l</w:t>
            </w:r>
            <w:r>
              <w:rPr>
                <w:rFonts w:hint="eastAsia" w:ascii="宋体" w:hAnsi="宋体" w:eastAsia="仿宋_GB2312"/>
                <w:sz w:val="24"/>
                <w:szCs w:val="21"/>
              </w:rPr>
              <w:t>x)</w:t>
            </w:r>
          </w:p>
        </w:tc>
        <w:tc>
          <w:tcPr>
            <w:tcW w:w="1564" w:type="dxa"/>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照度均匀度</w:t>
            </w:r>
          </w:p>
        </w:tc>
        <w:tc>
          <w:tcPr>
            <w:tcW w:w="2864" w:type="dxa"/>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眩光限制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主干路与主干路交</w:t>
            </w:r>
            <w:r>
              <w:rPr>
                <w:rFonts w:hint="eastAsia" w:ascii="宋体" w:hAnsi="宋体" w:eastAsia="仿宋_GB2312"/>
                <w:sz w:val="24"/>
                <w:szCs w:val="21"/>
              </w:rPr>
              <w:t>汇</w:t>
            </w:r>
          </w:p>
        </w:tc>
        <w:tc>
          <w:tcPr>
            <w:tcW w:w="2177" w:type="dxa"/>
            <w:vMerge w:val="restart"/>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3</w:t>
            </w:r>
            <w:r>
              <w:rPr>
                <w:rFonts w:ascii="宋体" w:hAnsi="宋体" w:eastAsia="仿宋_GB2312"/>
                <w:sz w:val="24"/>
                <w:szCs w:val="21"/>
              </w:rPr>
              <w:t>0/50</w:t>
            </w:r>
          </w:p>
        </w:tc>
        <w:tc>
          <w:tcPr>
            <w:tcW w:w="1564" w:type="dxa"/>
            <w:vMerge w:val="restart"/>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0.4</w:t>
            </w:r>
          </w:p>
        </w:tc>
        <w:tc>
          <w:tcPr>
            <w:tcW w:w="2864" w:type="dxa"/>
            <w:vMerge w:val="restart"/>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在驾驶员观看</w:t>
            </w:r>
            <w:r>
              <w:rPr>
                <w:rFonts w:ascii="宋体" w:hAnsi="宋体" w:eastAsia="仿宋_GB2312"/>
                <w:sz w:val="24"/>
                <w:szCs w:val="21"/>
              </w:rPr>
              <w:t>灯具的方位角上，灯具在</w:t>
            </w:r>
            <w:r>
              <w:rPr>
                <w:rFonts w:hint="eastAsia" w:ascii="宋体" w:hAnsi="宋体" w:eastAsia="仿宋_GB2312"/>
                <w:sz w:val="24"/>
                <w:szCs w:val="21"/>
              </w:rPr>
              <w:t>90°</w:t>
            </w:r>
            <w:r>
              <w:rPr>
                <w:rFonts w:ascii="宋体" w:hAnsi="宋体" w:eastAsia="仿宋_GB2312"/>
                <w:sz w:val="24"/>
                <w:szCs w:val="21"/>
              </w:rPr>
              <w:t>和</w:t>
            </w:r>
            <w:r>
              <w:rPr>
                <w:rFonts w:hint="eastAsia" w:ascii="宋体" w:hAnsi="宋体" w:eastAsia="仿宋_GB2312"/>
                <w:sz w:val="24"/>
                <w:szCs w:val="21"/>
              </w:rPr>
              <w:t>80°</w:t>
            </w:r>
            <w:r>
              <w:rPr>
                <w:rFonts w:ascii="宋体" w:hAnsi="宋体" w:eastAsia="仿宋_GB2312"/>
                <w:sz w:val="24"/>
                <w:szCs w:val="21"/>
              </w:rPr>
              <w:t>高度角方向上的光强分别不得</w:t>
            </w:r>
            <w:r>
              <w:rPr>
                <w:rFonts w:hint="eastAsia" w:ascii="宋体" w:hAnsi="宋体" w:eastAsia="仿宋_GB2312"/>
                <w:sz w:val="24"/>
                <w:szCs w:val="21"/>
              </w:rPr>
              <w:t>超过10</w:t>
            </w:r>
            <w:r>
              <w:rPr>
                <w:rFonts w:ascii="宋体" w:hAnsi="宋体" w:eastAsia="仿宋_GB2312"/>
                <w:sz w:val="24"/>
                <w:szCs w:val="21"/>
              </w:rPr>
              <w:t>cd/1000lm和</w:t>
            </w:r>
            <w:r>
              <w:rPr>
                <w:rFonts w:hint="eastAsia" w:ascii="宋体" w:hAnsi="宋体" w:eastAsia="仿宋_GB2312"/>
                <w:sz w:val="24"/>
                <w:szCs w:val="21"/>
              </w:rPr>
              <w:t>30</w:t>
            </w:r>
            <w:r>
              <w:rPr>
                <w:rFonts w:ascii="宋体" w:hAnsi="宋体" w:eastAsia="仿宋_GB2312"/>
                <w:sz w:val="24"/>
                <w:szCs w:val="21"/>
              </w:rPr>
              <w:t>cd/1000lm。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主干路与次干路交</w:t>
            </w:r>
            <w:r>
              <w:rPr>
                <w:rFonts w:hint="eastAsia" w:ascii="宋体" w:hAnsi="宋体" w:eastAsia="仿宋_GB2312"/>
                <w:sz w:val="24"/>
                <w:szCs w:val="21"/>
              </w:rPr>
              <w:t>汇</w:t>
            </w:r>
          </w:p>
        </w:tc>
        <w:tc>
          <w:tcPr>
            <w:tcW w:w="2177" w:type="dxa"/>
            <w:vMerge w:val="continue"/>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p>
        </w:tc>
        <w:tc>
          <w:tcPr>
            <w:tcW w:w="1564" w:type="dxa"/>
            <w:vMerge w:val="continue"/>
            <w:shd w:val="clear" w:color="auto" w:fill="auto"/>
            <w:vAlign w:val="center"/>
          </w:tcPr>
          <w:p>
            <w:pPr>
              <w:pStyle w:val="204"/>
              <w:spacing w:after="0" w:afterLines="0" w:line="240" w:lineRule="auto"/>
              <w:ind w:firstLine="0" w:firstLineChars="0"/>
              <w:rPr>
                <w:rFonts w:ascii="宋体" w:hAnsi="宋体" w:eastAsia="仿宋_GB2312"/>
                <w:sz w:val="24"/>
                <w:szCs w:val="21"/>
              </w:rPr>
            </w:pPr>
          </w:p>
        </w:tc>
        <w:tc>
          <w:tcPr>
            <w:tcW w:w="2864" w:type="dxa"/>
            <w:vMerge w:val="continue"/>
            <w:shd w:val="clear" w:color="auto" w:fill="auto"/>
            <w:vAlign w:val="center"/>
          </w:tcPr>
          <w:p>
            <w:pPr>
              <w:pStyle w:val="204"/>
              <w:spacing w:after="0" w:afterLines="0" w:line="240" w:lineRule="auto"/>
              <w:ind w:firstLine="0" w:firstLineChars="0"/>
              <w:rPr>
                <w:rFonts w:ascii="宋体" w:hAnsi="宋体" w:eastAsia="仿宋_GB231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主干路与支路交</w:t>
            </w:r>
            <w:r>
              <w:rPr>
                <w:rFonts w:hint="eastAsia" w:ascii="宋体" w:hAnsi="宋体" w:eastAsia="仿宋_GB2312"/>
                <w:sz w:val="24"/>
                <w:szCs w:val="21"/>
              </w:rPr>
              <w:t>汇</w:t>
            </w:r>
          </w:p>
        </w:tc>
        <w:tc>
          <w:tcPr>
            <w:tcW w:w="2177" w:type="dxa"/>
            <w:vMerge w:val="continue"/>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p>
        </w:tc>
        <w:tc>
          <w:tcPr>
            <w:tcW w:w="1564" w:type="dxa"/>
            <w:vMerge w:val="continue"/>
            <w:shd w:val="clear" w:color="auto" w:fill="auto"/>
            <w:vAlign w:val="center"/>
          </w:tcPr>
          <w:p>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pPr>
              <w:pStyle w:val="204"/>
              <w:spacing w:after="0" w:afterLines="0" w:line="240" w:lineRule="auto"/>
              <w:ind w:firstLine="0" w:firstLineChars="0"/>
              <w:rPr>
                <w:rFonts w:ascii="宋体" w:hAnsi="宋体" w:eastAsia="仿宋_GB2312"/>
                <w:sz w:val="24"/>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次干路与次干路交</w:t>
            </w:r>
            <w:r>
              <w:rPr>
                <w:rFonts w:hint="eastAsia" w:ascii="宋体" w:hAnsi="宋体" w:eastAsia="仿宋_GB2312"/>
                <w:sz w:val="24"/>
                <w:szCs w:val="21"/>
              </w:rPr>
              <w:t>汇</w:t>
            </w:r>
          </w:p>
        </w:tc>
        <w:tc>
          <w:tcPr>
            <w:tcW w:w="2177" w:type="dxa"/>
            <w:vMerge w:val="restart"/>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2</w:t>
            </w:r>
            <w:r>
              <w:rPr>
                <w:rFonts w:ascii="宋体" w:hAnsi="宋体" w:eastAsia="仿宋_GB2312"/>
                <w:sz w:val="24"/>
                <w:szCs w:val="21"/>
              </w:rPr>
              <w:t>0/30</w:t>
            </w:r>
          </w:p>
        </w:tc>
        <w:tc>
          <w:tcPr>
            <w:tcW w:w="1564" w:type="dxa"/>
            <w:vMerge w:val="continue"/>
            <w:shd w:val="clear" w:color="auto" w:fill="auto"/>
            <w:vAlign w:val="center"/>
          </w:tcPr>
          <w:p>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pPr>
              <w:pStyle w:val="204"/>
              <w:spacing w:after="0" w:afterLines="0" w:line="240" w:lineRule="auto"/>
              <w:ind w:firstLine="0" w:firstLineChars="0"/>
              <w:rPr>
                <w:rFonts w:ascii="宋体" w:hAnsi="宋体" w:eastAsia="仿宋_GB2312"/>
                <w:sz w:val="24"/>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次干路与支路交</w:t>
            </w:r>
            <w:r>
              <w:rPr>
                <w:rFonts w:hint="eastAsia" w:ascii="宋体" w:hAnsi="宋体" w:eastAsia="仿宋_GB2312"/>
                <w:sz w:val="24"/>
                <w:szCs w:val="21"/>
              </w:rPr>
              <w:t>汇</w:t>
            </w:r>
          </w:p>
        </w:tc>
        <w:tc>
          <w:tcPr>
            <w:tcW w:w="2177" w:type="dxa"/>
            <w:vMerge w:val="continue"/>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p>
        </w:tc>
        <w:tc>
          <w:tcPr>
            <w:tcW w:w="1564" w:type="dxa"/>
            <w:vMerge w:val="continue"/>
            <w:shd w:val="clear" w:color="auto" w:fill="auto"/>
            <w:vAlign w:val="center"/>
          </w:tcPr>
          <w:p>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pPr>
              <w:pStyle w:val="204"/>
              <w:spacing w:after="0" w:afterLines="0" w:line="240" w:lineRule="auto"/>
              <w:ind w:firstLine="0" w:firstLineChars="0"/>
              <w:rPr>
                <w:rFonts w:ascii="宋体" w:hAnsi="宋体" w:eastAsia="仿宋_GB2312"/>
                <w:sz w:val="24"/>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支路与支路交</w:t>
            </w:r>
            <w:r>
              <w:rPr>
                <w:rFonts w:hint="eastAsia" w:ascii="宋体" w:hAnsi="宋体" w:eastAsia="仿宋_GB2312"/>
                <w:sz w:val="24"/>
                <w:szCs w:val="21"/>
              </w:rPr>
              <w:t>汇</w:t>
            </w:r>
          </w:p>
        </w:tc>
        <w:tc>
          <w:tcPr>
            <w:tcW w:w="2177" w:type="dxa"/>
            <w:shd w:val="clear" w:color="auto" w:fill="auto"/>
            <w:vAlign w:val="center"/>
          </w:tcPr>
          <w:p>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1</w:t>
            </w:r>
            <w:r>
              <w:rPr>
                <w:rFonts w:ascii="宋体" w:hAnsi="宋体" w:eastAsia="仿宋_GB2312"/>
                <w:sz w:val="24"/>
                <w:szCs w:val="21"/>
              </w:rPr>
              <w:t>5/20</w:t>
            </w:r>
          </w:p>
        </w:tc>
        <w:tc>
          <w:tcPr>
            <w:tcW w:w="1564" w:type="dxa"/>
            <w:vMerge w:val="continue"/>
            <w:shd w:val="clear" w:color="auto" w:fill="auto"/>
            <w:vAlign w:val="center"/>
          </w:tcPr>
          <w:p>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pPr>
              <w:pStyle w:val="204"/>
              <w:spacing w:after="0" w:afterLines="0" w:line="240" w:lineRule="auto"/>
              <w:ind w:firstLine="0" w:firstLineChars="0"/>
              <w:rPr>
                <w:rFonts w:ascii="宋体" w:hAnsi="宋体" w:eastAsia="仿宋_GB2312"/>
                <w:sz w:val="24"/>
                <w:szCs w:val="21"/>
                <w:lang w:val="zh-TW" w:eastAsia="zh-TW"/>
              </w:rPr>
            </w:pPr>
          </w:p>
        </w:tc>
      </w:tr>
    </w:tbl>
    <w:p>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68" w:name="_Toc87042578"/>
      <w:r>
        <w:rPr>
          <w:rFonts w:hint="eastAsia" w:ascii="宋体" w:hAnsi="宋体" w:eastAsia="楷体_GB2312" w:cs="楷体_GB2312"/>
          <w:b w:val="0"/>
          <w:color w:val="auto"/>
        </w:rPr>
        <w:t>隧道照明</w:t>
      </w:r>
      <w:bookmarkEnd w:id="668"/>
    </w:p>
    <w:p>
      <w:pPr>
        <w:pStyle w:val="204"/>
        <w:adjustRightInd w:val="0"/>
        <w:spacing w:after="0" w:afterLines="0"/>
        <w:ind w:firstLine="640"/>
        <w:rPr>
          <w:rFonts w:ascii="宋体" w:hAnsi="宋体" w:eastAsia="仿宋_GB2312"/>
          <w:sz w:val="32"/>
        </w:rPr>
      </w:pPr>
      <w:r>
        <w:rPr>
          <w:rFonts w:hint="eastAsia" w:ascii="宋体" w:hAnsi="宋体" w:eastAsia="仿宋_GB2312"/>
          <w:sz w:val="32"/>
        </w:rPr>
        <w:t>隧道照明应符合《公路隧道照明设计细则》（JTG/T D70/2—01）、《LED 道路照明工程技术规范》（SJG22）和《城市道路交通设施设计规范》（GB50688）的相关规定。</w:t>
      </w:r>
    </w:p>
    <w:p>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69" w:name="_Toc87042579"/>
      <w:r>
        <w:rPr>
          <w:rFonts w:hint="eastAsia" w:ascii="宋体" w:hAnsi="宋体" w:eastAsia="楷体_GB2312" w:cs="楷体_GB2312"/>
          <w:b w:val="0"/>
          <w:color w:val="auto"/>
        </w:rPr>
        <w:t>上跨道路和下穿道路照明</w:t>
      </w:r>
      <w:bookmarkEnd w:id="669"/>
    </w:p>
    <w:p>
      <w:pPr>
        <w:pStyle w:val="204"/>
        <w:adjustRightInd w:val="0"/>
        <w:spacing w:after="0" w:afterLines="0"/>
        <w:ind w:firstLine="640"/>
        <w:rPr>
          <w:rFonts w:ascii="宋体" w:hAnsi="宋体" w:eastAsia="仿宋_GB2312"/>
          <w:sz w:val="32"/>
        </w:rPr>
      </w:pPr>
      <w:bookmarkStart w:id="670" w:name="_Toc87042580"/>
      <w:r>
        <w:rPr>
          <w:rFonts w:hint="eastAsia" w:ascii="宋体" w:hAnsi="宋体" w:eastAsia="仿宋_GB2312"/>
          <w:sz w:val="32"/>
        </w:rPr>
        <w:t>城市上跨道路与下穿道路应创造良好的照明条件，为驾驶员提供良好的诱导性，提供无干扰光的环境照明。</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下穿道路桥下区段路面的亮度（或照度）应与其桥外区段路面相同。下穿道路上的灯具不应在上跨道路上产生眩光。上跨道路路面的亮度（或照度）及均匀度应与相连的道路路面相同。应为上跨道路的支撑结构提供照明。</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灯具设置应根据道路实际情况进行调整，满足《城市道路照明设计标准》（CJJ 45—2015）标准。</w:t>
      </w:r>
    </w:p>
    <w:p>
      <w:pPr>
        <w:pStyle w:val="2"/>
        <w:numPr>
          <w:ilvl w:val="0"/>
          <w:numId w:val="27"/>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人行天桥</w:t>
      </w:r>
      <w:bookmarkEnd w:id="670"/>
    </w:p>
    <w:p>
      <w:pPr>
        <w:pStyle w:val="204"/>
        <w:adjustRightInd w:val="0"/>
        <w:spacing w:after="0" w:afterLines="0"/>
        <w:ind w:firstLine="640"/>
        <w:rPr>
          <w:rFonts w:ascii="宋体" w:hAnsi="宋体" w:eastAsia="仿宋_GB2312"/>
          <w:sz w:val="32"/>
        </w:rPr>
      </w:pPr>
      <w:bookmarkStart w:id="671" w:name="_Toc87042581"/>
      <w:r>
        <w:rPr>
          <w:rFonts w:hint="eastAsia" w:ascii="宋体" w:hAnsi="宋体" w:eastAsia="仿宋_GB2312"/>
          <w:sz w:val="32"/>
        </w:rPr>
        <w:t>人行天桥照明设计应满足《城市道路照明设计标准》（CJJ45—2015）与《城市人行天桥与人行地道技术规范》要求。</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非繁华地区敞开的天桥不低于5lx；繁华地区敞开的天桥不低于10lx；封闭式的天桥不低于30lx。应合理选择和布设灯具，使照度均匀，阶梯照度踏板水平照度与阶梯踏板的垂直照度不应小于2:1。</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天桥的主梁和道路隔离带上的中墩立面的最低设计平均照度，应与所处道路路面的照度一致。</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天桥照明灯具应与所处道路的路灯照明统筹安排。路段上的天桥可用调近路灯间距加高灯杆的办法解决天桥照明。路口的天桥照明应专门设置。</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天桥的照明不应对桥下车辆驾驶员的视觉造成不良影响。</w:t>
      </w:r>
    </w:p>
    <w:p>
      <w:pPr>
        <w:pStyle w:val="2"/>
        <w:numPr>
          <w:ilvl w:val="0"/>
          <w:numId w:val="27"/>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人行地下通道</w:t>
      </w:r>
      <w:bookmarkEnd w:id="671"/>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地下通道照明设计应满足《城市道路照明设计标准》（CJJ45—2015）与《城市人行天桥与人行地道技术规范》要求。地道内的平均水平照度，夜间宜为30lx，白天宜为100lx；最小水平照度，夜间宜为15lx，白天宜为50lx。并应提供适当的垂直照度。</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附近不设路灯的地道出入口，宜增设照明装置。</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地道照明电线的布设和配电箱宜考虑全部灯具照明、部分灯具照明、少量灯具深夜长明等不同要求，以节约用电。</w:t>
      </w:r>
    </w:p>
    <w:p>
      <w:pPr>
        <w:pStyle w:val="204"/>
        <w:adjustRightInd w:val="0"/>
        <w:spacing w:after="0" w:afterLines="0"/>
        <w:ind w:firstLine="640"/>
        <w:rPr>
          <w:rFonts w:ascii="宋体" w:hAnsi="宋体" w:eastAsia="仿宋_GB2312"/>
          <w:sz w:val="32"/>
        </w:rPr>
      </w:pPr>
      <w:r>
        <w:rPr>
          <w:rFonts w:hint="eastAsia" w:ascii="宋体" w:hAnsi="宋体" w:eastAsia="仿宋_GB2312"/>
          <w:sz w:val="32"/>
        </w:rPr>
        <w:t>地道内应根据需要设置应急电源及应急照明装置。重要地道可考虑双路电源。</w:t>
      </w:r>
    </w:p>
    <w:p>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72" w:name="_Toc87042582"/>
      <w:bookmarkStart w:id="673" w:name="_Toc86831340"/>
      <w:r>
        <w:rPr>
          <w:rFonts w:hint="eastAsia" w:ascii="宋体" w:hAnsi="宋体" w:eastAsia="楷体_GB2312" w:cs="楷体_GB2312"/>
          <w:b w:val="0"/>
          <w:color w:val="auto"/>
        </w:rPr>
        <w:t>无障碍环境照明</w:t>
      </w:r>
      <w:bookmarkEnd w:id="672"/>
      <w:bookmarkEnd w:id="673"/>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针对老年人、残疾人等弱势人群需要的特殊场所或公共空间，应创造合适的光环境。照明标准应在满足《建筑照明设计标准》（GB 50034</w:t>
      </w:r>
      <w:r>
        <w:rPr>
          <w:rFonts w:hint="eastAsia" w:ascii="宋体" w:hAnsi="宋体" w:eastAsia="仿宋_GB2312"/>
          <w:sz w:val="32"/>
        </w:rPr>
        <w:t>—</w:t>
      </w:r>
      <w:r>
        <w:rPr>
          <w:rFonts w:hint="eastAsia" w:ascii="宋体" w:hAnsi="宋体" w:eastAsia="仿宋_GB2312"/>
          <w:sz w:val="32"/>
          <w:lang w:eastAsia="zh-Hans"/>
        </w:rPr>
        <w:t>2013）、《城市道路照明设计标准》</w:t>
      </w:r>
      <w:r>
        <w:rPr>
          <w:rFonts w:hint="eastAsia" w:ascii="宋体" w:hAnsi="宋体" w:eastAsia="仿宋_GB2312"/>
          <w:sz w:val="32"/>
        </w:rPr>
        <w:t>(</w:t>
      </w:r>
      <w:r>
        <w:rPr>
          <w:rFonts w:hint="eastAsia" w:ascii="宋体" w:hAnsi="宋体" w:eastAsia="仿宋_GB2312"/>
          <w:sz w:val="32"/>
          <w:lang w:eastAsia="zh-Hans"/>
        </w:rPr>
        <w:t>CJJ 45</w:t>
      </w:r>
      <w:r>
        <w:rPr>
          <w:rFonts w:hint="eastAsia" w:ascii="宋体" w:hAnsi="宋体" w:eastAsia="仿宋_GB2312"/>
          <w:sz w:val="32"/>
        </w:rPr>
        <w:t>—</w:t>
      </w:r>
      <w:r>
        <w:rPr>
          <w:rFonts w:hint="eastAsia" w:ascii="宋体" w:hAnsi="宋体" w:eastAsia="仿宋_GB2312"/>
          <w:sz w:val="32"/>
          <w:lang w:eastAsia="zh-Hans"/>
        </w:rPr>
        <w:t>2015)、《室外作业场地照明设计标准》（GB50582）、《城市夜景照明设计规范》（JGJ/T163</w:t>
      </w:r>
      <w:r>
        <w:rPr>
          <w:rFonts w:hint="eastAsia" w:ascii="宋体" w:hAnsi="宋体" w:eastAsia="仿宋_GB2312"/>
          <w:sz w:val="32"/>
        </w:rPr>
        <w:t>—</w:t>
      </w:r>
      <w:r>
        <w:rPr>
          <w:rFonts w:hint="eastAsia" w:ascii="宋体" w:hAnsi="宋体" w:eastAsia="仿宋_GB2312"/>
          <w:sz w:val="32"/>
          <w:lang w:eastAsia="zh-Hans"/>
        </w:rPr>
        <w:t>2008）、《无障碍设计规范》（GB 50763</w:t>
      </w:r>
      <w:r>
        <w:rPr>
          <w:rFonts w:hint="eastAsia" w:ascii="宋体" w:hAnsi="宋体" w:eastAsia="仿宋_GB2312"/>
          <w:sz w:val="32"/>
        </w:rPr>
        <w:t>—</w:t>
      </w:r>
      <w:r>
        <w:rPr>
          <w:rFonts w:hint="eastAsia" w:ascii="宋体" w:hAnsi="宋体" w:eastAsia="仿宋_GB2312"/>
          <w:sz w:val="32"/>
          <w:lang w:eastAsia="zh-Hans"/>
        </w:rPr>
        <w:t>2012）、《老年人照料设施建筑设计标准》（JGJ450</w:t>
      </w:r>
      <w:r>
        <w:rPr>
          <w:rFonts w:hint="eastAsia" w:ascii="宋体" w:hAnsi="宋体" w:eastAsia="仿宋_GB2312"/>
          <w:sz w:val="32"/>
        </w:rPr>
        <w:t>—</w:t>
      </w:r>
      <w:r>
        <w:rPr>
          <w:rFonts w:hint="eastAsia" w:ascii="宋体" w:hAnsi="宋体" w:eastAsia="仿宋_GB2312"/>
          <w:sz w:val="32"/>
          <w:lang w:eastAsia="zh-Hans"/>
        </w:rPr>
        <w:t>2018）等相关标准的要求外，针对场所特殊性进行适当调整。</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无障碍出入口：应根据建筑类型，满足《建筑照明设计标准》</w:t>
      </w:r>
      <w:r>
        <w:rPr>
          <w:rFonts w:hint="eastAsia" w:ascii="宋体" w:hAnsi="宋体" w:eastAsia="仿宋_GB2312"/>
          <w:sz w:val="32"/>
        </w:rPr>
        <w:t>（</w:t>
      </w:r>
      <w:r>
        <w:rPr>
          <w:rFonts w:hint="eastAsia" w:ascii="宋体" w:hAnsi="宋体" w:eastAsia="仿宋_GB2312"/>
          <w:sz w:val="32"/>
          <w:lang w:eastAsia="zh-Hans"/>
        </w:rPr>
        <w:t>GB 50034</w:t>
      </w:r>
      <w:r>
        <w:rPr>
          <w:rFonts w:hint="eastAsia" w:ascii="宋体" w:hAnsi="宋体" w:eastAsia="仿宋_GB2312"/>
          <w:sz w:val="32"/>
        </w:rPr>
        <w:t>—</w:t>
      </w:r>
      <w:r>
        <w:rPr>
          <w:rFonts w:hint="eastAsia" w:ascii="宋体" w:hAnsi="宋体" w:eastAsia="仿宋_GB2312"/>
          <w:sz w:val="32"/>
          <w:lang w:eastAsia="zh-Hans"/>
        </w:rPr>
        <w:t>2013</w:t>
      </w:r>
      <w:r>
        <w:rPr>
          <w:rFonts w:hint="eastAsia" w:ascii="宋体" w:hAnsi="宋体" w:eastAsia="仿宋_GB2312"/>
          <w:sz w:val="32"/>
        </w:rPr>
        <w:t>）</w:t>
      </w:r>
      <w:r>
        <w:rPr>
          <w:rFonts w:hint="eastAsia" w:ascii="宋体" w:hAnsi="宋体" w:eastAsia="仿宋_GB2312"/>
          <w:sz w:val="32"/>
          <w:lang w:eastAsia="zh-Hans"/>
        </w:rPr>
        <w:t>中标准，且宜增设夜间标识，增强引导性。</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缘石坡道：应按照人流量，选用不低于《城市道路照明设计标准》（CJJ45</w:t>
      </w:r>
      <w:r>
        <w:rPr>
          <w:rFonts w:hint="eastAsia" w:ascii="宋体" w:hAnsi="宋体" w:eastAsia="仿宋_GB2312"/>
          <w:sz w:val="32"/>
        </w:rPr>
        <w:t>—</w:t>
      </w:r>
      <w:r>
        <w:rPr>
          <w:rFonts w:hint="eastAsia" w:ascii="宋体" w:hAnsi="宋体" w:eastAsia="仿宋_GB2312"/>
          <w:sz w:val="32"/>
          <w:lang w:eastAsia="zh-Hans"/>
        </w:rPr>
        <w:t>2015）中人行及非机动车道的标准值，且宜增设夜间标识，增强引导性。</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无障碍车位：应按照停车场，选用不低于《室外作业场地照明设计标准》（GB50582）的标准值，且宜增设夜间标识，增强引导性。</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无障碍通道（地下）：应满足《城市道路照明设计标准》（CJJ45</w:t>
      </w:r>
      <w:r>
        <w:rPr>
          <w:rFonts w:hint="eastAsia" w:ascii="宋体" w:hAnsi="宋体" w:eastAsia="仿宋_GB2312"/>
          <w:sz w:val="32"/>
        </w:rPr>
        <w:t>—</w:t>
      </w:r>
      <w:r>
        <w:rPr>
          <w:rFonts w:hint="eastAsia" w:ascii="宋体" w:hAnsi="宋体" w:eastAsia="仿宋_GB2312"/>
          <w:sz w:val="32"/>
          <w:lang w:eastAsia="zh-Hans"/>
        </w:rPr>
        <w:t>2015）与《城市人行天桥与人行地道技术规范》要求，保障夜间照度水平不低于30lx，且应增加夜间标识，增强引导性。</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老年人活动空间：应满足《城市夜景照明设计规范》（JGJ/T163</w:t>
      </w:r>
      <w:r>
        <w:rPr>
          <w:rFonts w:hint="eastAsia" w:ascii="宋体" w:hAnsi="宋体" w:eastAsia="仿宋_GB2312"/>
          <w:sz w:val="32"/>
        </w:rPr>
        <w:t>—</w:t>
      </w:r>
      <w:r>
        <w:rPr>
          <w:rFonts w:hint="eastAsia" w:ascii="宋体" w:hAnsi="宋体" w:eastAsia="仿宋_GB2312"/>
          <w:sz w:val="32"/>
          <w:lang w:eastAsia="zh-Hans"/>
        </w:rPr>
        <w:t>2008），且应选取高值作为标准：绿</w:t>
      </w:r>
      <w:r>
        <w:rPr>
          <w:rFonts w:hint="eastAsia" w:ascii="宋体" w:hAnsi="宋体" w:eastAsia="仿宋_GB2312"/>
          <w:sz w:val="32"/>
        </w:rPr>
        <w:t>地</w:t>
      </w:r>
      <w:r>
        <w:rPr>
          <w:rFonts w:hint="eastAsia" w:ascii="宋体" w:hAnsi="宋体" w:eastAsia="仿宋_GB2312"/>
          <w:sz w:val="32"/>
          <w:lang w:eastAsia="zh-Hans"/>
        </w:rPr>
        <w:t>不低于3lx、人行道与广场不低于10lx，公园活动区域不低于10lx。</w:t>
      </w:r>
    </w:p>
    <w:p>
      <w:pPr>
        <w:pStyle w:val="204"/>
        <w:adjustRightInd w:val="0"/>
        <w:spacing w:after="0" w:afterLines="0"/>
        <w:ind w:firstLine="640"/>
        <w:rPr>
          <w:rFonts w:ascii="宋体" w:hAnsi="宋体"/>
        </w:rPr>
      </w:pPr>
      <w:r>
        <w:rPr>
          <w:rFonts w:hint="eastAsia" w:ascii="宋体" w:hAnsi="宋体" w:eastAsia="仿宋_GB2312"/>
          <w:sz w:val="32"/>
          <w:lang w:eastAsia="zh-Hans"/>
        </w:rPr>
        <w:t>老年人社区：老年人社区照明，应满足《建筑照明设计标准》（GB 50034</w:t>
      </w:r>
      <w:r>
        <w:rPr>
          <w:rFonts w:hint="eastAsia" w:ascii="宋体" w:hAnsi="宋体" w:eastAsia="仿宋_GB2312"/>
          <w:sz w:val="32"/>
        </w:rPr>
        <w:t>—</w:t>
      </w:r>
      <w:r>
        <w:rPr>
          <w:rFonts w:hint="eastAsia" w:ascii="宋体" w:hAnsi="宋体" w:eastAsia="仿宋_GB2312"/>
          <w:sz w:val="32"/>
          <w:lang w:eastAsia="zh-Hans"/>
        </w:rPr>
        <w:t>2013）与《老年人照料设施建筑设计标准》（JGJ450</w:t>
      </w:r>
      <w:r>
        <w:rPr>
          <w:rFonts w:hint="eastAsia" w:ascii="宋体" w:hAnsi="宋体" w:eastAsia="仿宋_GB2312"/>
          <w:sz w:val="32"/>
        </w:rPr>
        <w:t>—</w:t>
      </w:r>
      <w:r>
        <w:rPr>
          <w:rFonts w:hint="eastAsia" w:ascii="宋体" w:hAnsi="宋体" w:eastAsia="仿宋_GB2312"/>
          <w:sz w:val="32"/>
          <w:lang w:eastAsia="zh-Hans"/>
        </w:rPr>
        <w:t>2018），且应在建筑出入口位置设置合适的引导性灯具，增强安全性</w:t>
      </w:r>
      <w:bookmarkEnd w:id="660"/>
      <w:r>
        <w:rPr>
          <w:rFonts w:hint="eastAsia" w:ascii="宋体" w:hAnsi="宋体" w:eastAsia="仿宋_GB2312"/>
          <w:sz w:val="32"/>
          <w:lang w:eastAsia="zh-Hans"/>
        </w:rPr>
        <w:t>。</w:t>
      </w:r>
    </w:p>
    <w:p>
      <w:pPr>
        <w:pStyle w:val="6"/>
        <w:rPr>
          <w:rFonts w:ascii="宋体" w:hAnsi="宋体"/>
          <w:b w:val="0"/>
        </w:rPr>
        <w:sectPr>
          <w:pgSz w:w="11906" w:h="16838"/>
          <w:pgMar w:top="2098" w:right="1474" w:bottom="1984" w:left="1587" w:header="850" w:footer="1587" w:gutter="0"/>
          <w:cols w:space="425" w:num="1"/>
          <w:titlePg/>
          <w:docGrid w:type="lines" w:linePitch="312" w:charSpace="0"/>
        </w:sectPr>
      </w:pPr>
      <w:bookmarkStart w:id="674" w:name="_Toc87042583"/>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75" w:name="_Toc22993"/>
      <w:bookmarkStart w:id="676" w:name="_Toc25943"/>
      <w:bookmarkStart w:id="677" w:name="_Toc88656268"/>
      <w:bookmarkStart w:id="678" w:name="_Toc24072"/>
      <w:bookmarkStart w:id="679" w:name="_Toc22262"/>
      <w:bookmarkStart w:id="680" w:name="_Toc24217"/>
      <w:r>
        <w:rPr>
          <w:rFonts w:hint="eastAsia" w:ascii="宋体" w:hAnsi="宋体" w:eastAsia="黑体" w:cs="黑体"/>
          <w:b w:val="0"/>
          <w:sz w:val="32"/>
        </w:rPr>
        <w:t>二、景观照明</w:t>
      </w:r>
      <w:bookmarkEnd w:id="674"/>
      <w:r>
        <w:rPr>
          <w:rFonts w:hint="eastAsia" w:ascii="宋体" w:hAnsi="宋体" w:eastAsia="黑体" w:cs="黑体"/>
          <w:b w:val="0"/>
          <w:sz w:val="32"/>
        </w:rPr>
        <w:t>控制指标</w:t>
      </w:r>
      <w:bookmarkEnd w:id="675"/>
      <w:bookmarkEnd w:id="676"/>
      <w:bookmarkEnd w:id="677"/>
      <w:bookmarkEnd w:id="678"/>
      <w:bookmarkEnd w:id="679"/>
      <w:bookmarkEnd w:id="680"/>
    </w:p>
    <w:p>
      <w:pPr>
        <w:pStyle w:val="204"/>
        <w:spacing w:after="0" w:afterLines="0"/>
        <w:ind w:firstLine="640"/>
        <w:rPr>
          <w:rFonts w:ascii="宋体" w:hAnsi="宋体" w:eastAsia="仿宋_GB2312"/>
          <w:sz w:val="32"/>
          <w:lang w:eastAsia="zh-Hans"/>
        </w:rPr>
      </w:pPr>
      <w:r>
        <w:rPr>
          <w:rFonts w:hint="eastAsia" w:ascii="宋体" w:hAnsi="宋体" w:eastAsia="仿宋_GB2312"/>
          <w:sz w:val="32"/>
          <w:lang w:eastAsia="zh-Hans"/>
        </w:rPr>
        <w:t>在照明区域划分的基础上，根据建筑所在照明分区及单体位置、体量、性质，通过查表读取规划控制的技术指标。通过限定单体的亮度、光色、动态，实现对照明单体的量化控制，用于规划管理。</w:t>
      </w:r>
      <w:bookmarkStart w:id="681" w:name="_Hlk87456905"/>
    </w:p>
    <w:p>
      <w:pPr>
        <w:pStyle w:val="204"/>
        <w:spacing w:after="0" w:afterLines="0"/>
        <w:ind w:firstLine="480"/>
        <w:jc w:val="center"/>
        <w:rPr>
          <w:rFonts w:ascii="宋体" w:hAnsi="宋体" w:eastAsia="仿宋_GB2312" w:cs="仿宋_GB2312"/>
          <w:sz w:val="24"/>
          <w:szCs w:val="28"/>
        </w:rPr>
        <w:sectPr>
          <w:pgSz w:w="16838" w:h="11906" w:orient="landscape"/>
          <w:pgMar w:top="1800" w:right="1440" w:bottom="1800" w:left="1440" w:header="850" w:footer="1587" w:gutter="0"/>
          <w:cols w:space="425" w:num="1"/>
          <w:titlePg/>
          <w:docGrid w:type="lines" w:linePitch="312" w:charSpace="0"/>
        </w:sectPr>
      </w:pPr>
    </w:p>
    <w:p>
      <w:pPr>
        <w:pStyle w:val="204"/>
        <w:spacing w:after="0" w:afterLines="0"/>
        <w:ind w:firstLine="480"/>
        <w:jc w:val="center"/>
        <w:rPr>
          <w:rFonts w:ascii="宋体" w:hAnsi="宋体" w:eastAsia="仿宋_GB2312" w:cs="仿宋_GB2312"/>
          <w:sz w:val="24"/>
          <w:szCs w:val="28"/>
        </w:rPr>
      </w:pPr>
      <w:r>
        <w:rPr>
          <w:rFonts w:hint="eastAsia" w:ascii="宋体" w:hAnsi="宋体" w:eastAsia="仿宋_GB2312" w:cs="仿宋_GB2312"/>
          <w:sz w:val="24"/>
          <w:szCs w:val="28"/>
        </w:rPr>
        <w:t>表13—6</w:t>
      </w:r>
      <w:r>
        <w:rPr>
          <w:rFonts w:ascii="宋体" w:hAnsi="宋体" w:eastAsia="仿宋_GB2312" w:cs="仿宋_GB2312"/>
          <w:sz w:val="24"/>
          <w:szCs w:val="28"/>
        </w:rPr>
        <w:t xml:space="preserve"> </w:t>
      </w:r>
      <w:r>
        <w:rPr>
          <w:rFonts w:hint="eastAsia" w:ascii="宋体" w:hAnsi="宋体" w:eastAsia="仿宋_GB2312" w:cs="仿宋_GB2312"/>
          <w:sz w:val="24"/>
          <w:szCs w:val="28"/>
        </w:rPr>
        <w:t>建（构）筑物泛光照明亮度规划表（单位：cd/㎡）</w:t>
      </w:r>
    </w:p>
    <w:tbl>
      <w:tblPr>
        <w:tblStyle w:val="89"/>
        <w:tblpPr w:leftFromText="181" w:rightFromText="181" w:vertAnchor="text" w:horzAnchor="page" w:tblpX="1481" w:tblpY="114"/>
        <w:tblOverlap w:val="never"/>
        <w:tblW w:w="14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549"/>
        <w:gridCol w:w="1569"/>
        <w:gridCol w:w="495"/>
        <w:gridCol w:w="495"/>
        <w:gridCol w:w="495"/>
        <w:gridCol w:w="484"/>
        <w:gridCol w:w="497"/>
        <w:gridCol w:w="489"/>
        <w:gridCol w:w="483"/>
        <w:gridCol w:w="489"/>
        <w:gridCol w:w="514"/>
        <w:gridCol w:w="495"/>
        <w:gridCol w:w="499"/>
        <w:gridCol w:w="495"/>
        <w:gridCol w:w="495"/>
        <w:gridCol w:w="486"/>
        <w:gridCol w:w="512"/>
        <w:gridCol w:w="478"/>
        <w:gridCol w:w="497"/>
        <w:gridCol w:w="500"/>
        <w:gridCol w:w="489"/>
        <w:gridCol w:w="495"/>
        <w:gridCol w:w="503"/>
        <w:gridCol w:w="488"/>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4" w:type="dxa"/>
            <w:vMerge w:val="restart"/>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照明分区</w:t>
            </w:r>
          </w:p>
        </w:tc>
        <w:tc>
          <w:tcPr>
            <w:tcW w:w="2118" w:type="dxa"/>
            <w:gridSpan w:val="2"/>
            <w:vMerge w:val="restart"/>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所属区域</w:t>
            </w:r>
          </w:p>
        </w:tc>
        <w:tc>
          <w:tcPr>
            <w:tcW w:w="2466" w:type="dxa"/>
            <w:gridSpan w:val="5"/>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特殊重要性标志性建筑</w:t>
            </w:r>
          </w:p>
        </w:tc>
        <w:tc>
          <w:tcPr>
            <w:tcW w:w="2969" w:type="dxa"/>
            <w:gridSpan w:val="6"/>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高度较高、体量较大、形成天际轮廓线</w:t>
            </w:r>
          </w:p>
        </w:tc>
        <w:tc>
          <w:tcPr>
            <w:tcW w:w="2963" w:type="dxa"/>
            <w:gridSpan w:val="6"/>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体量较大、形成城市空间连续界面</w:t>
            </w:r>
          </w:p>
        </w:tc>
        <w:tc>
          <w:tcPr>
            <w:tcW w:w="3005" w:type="dxa"/>
            <w:gridSpan w:val="6"/>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体量不突出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4" w:type="dxa"/>
            <w:vMerge w:val="continue"/>
            <w:shd w:val="clear" w:color="auto" w:fill="auto"/>
            <w:vAlign w:val="center"/>
          </w:tcPr>
          <w:p>
            <w:pPr>
              <w:pStyle w:val="190"/>
              <w:kinsoku w:val="0"/>
              <w:overflowPunct w:val="0"/>
              <w:jc w:val="center"/>
              <w:rPr>
                <w:rFonts w:ascii="宋体" w:hAnsi="宋体" w:eastAsia="仿宋_GB2312" w:cs="仿宋"/>
                <w:szCs w:val="21"/>
              </w:rPr>
            </w:pPr>
          </w:p>
        </w:tc>
        <w:tc>
          <w:tcPr>
            <w:tcW w:w="2118" w:type="dxa"/>
            <w:gridSpan w:val="2"/>
            <w:vMerge w:val="continue"/>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p>
        </w:tc>
        <w:tc>
          <w:tcPr>
            <w:tcW w:w="1485" w:type="dxa"/>
            <w:gridSpan w:val="3"/>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84" w:type="dxa"/>
            <w:vMerge w:val="restart"/>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497" w:type="dxa"/>
            <w:vMerge w:val="restart"/>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c>
          <w:tcPr>
            <w:tcW w:w="1975" w:type="dxa"/>
            <w:gridSpan w:val="4"/>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95" w:type="dxa"/>
            <w:vMerge w:val="restart"/>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499" w:type="dxa"/>
            <w:vMerge w:val="restart"/>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c>
          <w:tcPr>
            <w:tcW w:w="1988" w:type="dxa"/>
            <w:gridSpan w:val="4"/>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78" w:type="dxa"/>
            <w:vMerge w:val="restart"/>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497" w:type="dxa"/>
            <w:vMerge w:val="restart"/>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c>
          <w:tcPr>
            <w:tcW w:w="1987" w:type="dxa"/>
            <w:gridSpan w:val="4"/>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88" w:type="dxa"/>
            <w:vMerge w:val="restart"/>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530" w:type="dxa"/>
            <w:vMerge w:val="restart"/>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4" w:type="dxa"/>
            <w:vMerge w:val="continue"/>
            <w:shd w:val="clear" w:color="auto" w:fill="auto"/>
            <w:vAlign w:val="center"/>
          </w:tcPr>
          <w:p>
            <w:pPr>
              <w:pStyle w:val="210"/>
              <w:widowControl/>
              <w:adjustRightInd w:val="0"/>
              <w:snapToGrid w:val="0"/>
              <w:spacing w:line="240" w:lineRule="auto"/>
              <w:textAlignment w:val="baseline"/>
              <w:rPr>
                <w:rFonts w:ascii="宋体" w:hAnsi="宋体" w:eastAsia="仿宋_GB2312"/>
                <w:sz w:val="24"/>
              </w:rPr>
            </w:pPr>
          </w:p>
        </w:tc>
        <w:tc>
          <w:tcPr>
            <w:tcW w:w="2118" w:type="dxa"/>
            <w:gridSpan w:val="2"/>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sz w:val="24"/>
              </w:rPr>
            </w:pPr>
          </w:p>
        </w:tc>
        <w:tc>
          <w:tcPr>
            <w:tcW w:w="495"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低层</w:t>
            </w:r>
          </w:p>
        </w:tc>
        <w:tc>
          <w:tcPr>
            <w:tcW w:w="495"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中层</w:t>
            </w:r>
          </w:p>
        </w:tc>
        <w:tc>
          <w:tcPr>
            <w:tcW w:w="495"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高层</w:t>
            </w:r>
          </w:p>
        </w:tc>
        <w:tc>
          <w:tcPr>
            <w:tcW w:w="484" w:type="dxa"/>
            <w:vMerge w:val="continue"/>
            <w:shd w:val="clear" w:color="auto" w:fill="auto"/>
            <w:vAlign w:val="center"/>
          </w:tcPr>
          <w:p>
            <w:pPr>
              <w:pStyle w:val="190"/>
              <w:kinsoku w:val="0"/>
              <w:overflowPunct w:val="0"/>
              <w:jc w:val="center"/>
              <w:rPr>
                <w:rFonts w:ascii="宋体" w:hAnsi="宋体" w:eastAsia="仿宋_GB2312" w:cs="仿宋"/>
                <w:szCs w:val="21"/>
              </w:rPr>
            </w:pPr>
          </w:p>
        </w:tc>
        <w:tc>
          <w:tcPr>
            <w:tcW w:w="497" w:type="dxa"/>
            <w:vMerge w:val="continue"/>
            <w:shd w:val="clear" w:color="auto" w:fill="auto"/>
            <w:vAlign w:val="center"/>
          </w:tcPr>
          <w:p>
            <w:pPr>
              <w:pStyle w:val="190"/>
              <w:kinsoku w:val="0"/>
              <w:overflowPunct w:val="0"/>
              <w:jc w:val="center"/>
              <w:rPr>
                <w:rFonts w:ascii="宋体" w:hAnsi="宋体" w:eastAsia="仿宋_GB2312" w:cs="仿宋"/>
                <w:szCs w:val="21"/>
              </w:rPr>
            </w:pPr>
          </w:p>
        </w:tc>
        <w:tc>
          <w:tcPr>
            <w:tcW w:w="489"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政务</w:t>
            </w:r>
          </w:p>
        </w:tc>
        <w:tc>
          <w:tcPr>
            <w:tcW w:w="483"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文化</w:t>
            </w:r>
          </w:p>
        </w:tc>
        <w:tc>
          <w:tcPr>
            <w:tcW w:w="489"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商业</w:t>
            </w:r>
          </w:p>
        </w:tc>
        <w:tc>
          <w:tcPr>
            <w:tcW w:w="514"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商务</w:t>
            </w:r>
          </w:p>
        </w:tc>
        <w:tc>
          <w:tcPr>
            <w:tcW w:w="495" w:type="dxa"/>
            <w:vMerge w:val="continue"/>
            <w:shd w:val="clear" w:color="auto" w:fill="auto"/>
            <w:vAlign w:val="center"/>
          </w:tcPr>
          <w:p>
            <w:pPr>
              <w:pStyle w:val="190"/>
              <w:kinsoku w:val="0"/>
              <w:overflowPunct w:val="0"/>
              <w:jc w:val="center"/>
              <w:rPr>
                <w:rFonts w:ascii="宋体" w:hAnsi="宋体" w:eastAsia="仿宋_GB2312" w:cs="仿宋"/>
                <w:szCs w:val="21"/>
              </w:rPr>
            </w:pPr>
          </w:p>
        </w:tc>
        <w:tc>
          <w:tcPr>
            <w:tcW w:w="499" w:type="dxa"/>
            <w:vMerge w:val="continue"/>
            <w:shd w:val="clear" w:color="auto" w:fill="auto"/>
            <w:vAlign w:val="center"/>
          </w:tcPr>
          <w:p>
            <w:pPr>
              <w:pStyle w:val="190"/>
              <w:kinsoku w:val="0"/>
              <w:overflowPunct w:val="0"/>
              <w:jc w:val="center"/>
              <w:rPr>
                <w:rFonts w:ascii="宋体" w:hAnsi="宋体" w:eastAsia="仿宋_GB2312" w:cs="仿宋"/>
                <w:szCs w:val="21"/>
              </w:rPr>
            </w:pPr>
          </w:p>
        </w:tc>
        <w:tc>
          <w:tcPr>
            <w:tcW w:w="495"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政务</w:t>
            </w:r>
          </w:p>
        </w:tc>
        <w:tc>
          <w:tcPr>
            <w:tcW w:w="495"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文化</w:t>
            </w:r>
          </w:p>
        </w:tc>
        <w:tc>
          <w:tcPr>
            <w:tcW w:w="486"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商业</w:t>
            </w:r>
          </w:p>
        </w:tc>
        <w:tc>
          <w:tcPr>
            <w:tcW w:w="512"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商务</w:t>
            </w:r>
          </w:p>
        </w:tc>
        <w:tc>
          <w:tcPr>
            <w:tcW w:w="478" w:type="dxa"/>
            <w:vMerge w:val="continue"/>
            <w:shd w:val="clear" w:color="auto" w:fill="auto"/>
            <w:vAlign w:val="center"/>
          </w:tcPr>
          <w:p>
            <w:pPr>
              <w:pStyle w:val="190"/>
              <w:kinsoku w:val="0"/>
              <w:overflowPunct w:val="0"/>
              <w:jc w:val="center"/>
              <w:rPr>
                <w:rFonts w:ascii="宋体" w:hAnsi="宋体" w:eastAsia="仿宋_GB2312" w:cs="仿宋"/>
                <w:szCs w:val="21"/>
              </w:rPr>
            </w:pPr>
          </w:p>
        </w:tc>
        <w:tc>
          <w:tcPr>
            <w:tcW w:w="497" w:type="dxa"/>
            <w:vMerge w:val="continue"/>
            <w:shd w:val="clear" w:color="auto" w:fill="auto"/>
            <w:vAlign w:val="center"/>
          </w:tcPr>
          <w:p>
            <w:pPr>
              <w:pStyle w:val="190"/>
              <w:kinsoku w:val="0"/>
              <w:overflowPunct w:val="0"/>
              <w:jc w:val="center"/>
              <w:rPr>
                <w:rFonts w:ascii="宋体" w:hAnsi="宋体" w:eastAsia="仿宋_GB2312" w:cs="仿宋"/>
                <w:szCs w:val="21"/>
              </w:rPr>
            </w:pPr>
          </w:p>
        </w:tc>
        <w:tc>
          <w:tcPr>
            <w:tcW w:w="500"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政务</w:t>
            </w:r>
          </w:p>
        </w:tc>
        <w:tc>
          <w:tcPr>
            <w:tcW w:w="489"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文化</w:t>
            </w:r>
          </w:p>
        </w:tc>
        <w:tc>
          <w:tcPr>
            <w:tcW w:w="495"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商业</w:t>
            </w:r>
          </w:p>
        </w:tc>
        <w:tc>
          <w:tcPr>
            <w:tcW w:w="503" w:type="dxa"/>
            <w:shd w:val="clear" w:color="auto" w:fill="auto"/>
            <w:tcMar>
              <w:top w:w="89" w:type="dxa"/>
              <w:left w:w="89" w:type="dxa"/>
              <w:bottom w:w="89" w:type="dxa"/>
              <w:right w:w="89"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商务</w:t>
            </w:r>
          </w:p>
        </w:tc>
        <w:tc>
          <w:tcPr>
            <w:tcW w:w="488" w:type="dxa"/>
            <w:vMerge w:val="continue"/>
            <w:shd w:val="clear" w:color="auto" w:fill="auto"/>
            <w:vAlign w:val="center"/>
          </w:tcPr>
          <w:p>
            <w:pPr>
              <w:pStyle w:val="210"/>
              <w:widowControl/>
              <w:adjustRightInd w:val="0"/>
              <w:snapToGrid w:val="0"/>
              <w:spacing w:line="240" w:lineRule="auto"/>
              <w:textAlignment w:val="baseline"/>
              <w:rPr>
                <w:rFonts w:ascii="宋体" w:hAnsi="宋体" w:eastAsia="仿宋_GB2312"/>
                <w:sz w:val="24"/>
              </w:rPr>
            </w:pPr>
          </w:p>
        </w:tc>
        <w:tc>
          <w:tcPr>
            <w:tcW w:w="530" w:type="dxa"/>
            <w:vMerge w:val="continue"/>
            <w:shd w:val="clear" w:color="auto" w:fill="auto"/>
            <w:vAlign w:val="center"/>
          </w:tcPr>
          <w:p>
            <w:pPr>
              <w:pStyle w:val="210"/>
              <w:widowControl/>
              <w:adjustRightInd w:val="0"/>
              <w:snapToGrid w:val="0"/>
              <w:spacing w:line="240" w:lineRule="auto"/>
              <w:textAlignment w:val="baseline"/>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62" w:type="dxa"/>
            <w:gridSpan w:val="3"/>
            <w:shd w:val="clear" w:color="auto" w:fill="auto"/>
            <w:vAlign w:val="center"/>
          </w:tcPr>
          <w:p>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（重大节日模式）</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484"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95"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9" w:type="dxa"/>
            <w:shd w:val="clear" w:color="auto" w:fill="auto"/>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78"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8"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30"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62" w:type="dxa"/>
            <w:gridSpan w:val="3"/>
            <w:shd w:val="clear" w:color="auto" w:fill="auto"/>
            <w:vAlign w:val="center"/>
          </w:tcPr>
          <w:p>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（节日—平日模式）</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4"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9" w:type="dxa"/>
            <w:shd w:val="clear" w:color="auto" w:fill="auto"/>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78"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8"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30" w:type="dxa"/>
            <w:shd w:val="clear" w:color="auto" w:fill="auto"/>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宋体"/>
                <w:sz w:val="24"/>
              </w:rPr>
            </w:pPr>
            <w:r>
              <w:rPr>
                <w:rFonts w:hint="eastAsia" w:ascii="宋体" w:hAnsi="宋体" w:eastAsia="仿宋_GB2312" w:cs="宋体"/>
                <w:sz w:val="24"/>
              </w:rPr>
              <w:t>一类照</w:t>
            </w:r>
          </w:p>
        </w:tc>
        <w:tc>
          <w:tcPr>
            <w:tcW w:w="549"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中心地区</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22</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22</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宋体"/>
                <w:sz w:val="24"/>
              </w:rPr>
            </w:pPr>
          </w:p>
        </w:tc>
        <w:tc>
          <w:tcPr>
            <w:tcW w:w="549"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副中心</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宋体"/>
                <w:sz w:val="24"/>
              </w:rPr>
            </w:pPr>
          </w:p>
        </w:tc>
        <w:tc>
          <w:tcPr>
            <w:tcW w:w="549" w:type="dxa"/>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边缘集团</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宋体"/>
                <w:sz w:val="24"/>
              </w:rPr>
            </w:pPr>
          </w:p>
        </w:tc>
        <w:tc>
          <w:tcPr>
            <w:tcW w:w="2118" w:type="dxa"/>
            <w:gridSpan w:val="2"/>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宋体"/>
                <w:sz w:val="24"/>
              </w:rPr>
            </w:pPr>
          </w:p>
        </w:tc>
        <w:tc>
          <w:tcPr>
            <w:tcW w:w="2118" w:type="dxa"/>
            <w:gridSpan w:val="2"/>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宋体"/>
                <w:sz w:val="24"/>
              </w:rPr>
            </w:pPr>
          </w:p>
        </w:tc>
        <w:tc>
          <w:tcPr>
            <w:tcW w:w="2118" w:type="dxa"/>
            <w:gridSpan w:val="2"/>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44"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二类照明区</w:t>
            </w:r>
          </w:p>
        </w:tc>
        <w:tc>
          <w:tcPr>
            <w:tcW w:w="549"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三类照明区</w:t>
            </w:r>
          </w:p>
        </w:tc>
        <w:tc>
          <w:tcPr>
            <w:tcW w:w="549"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62" w:type="dxa"/>
            <w:gridSpan w:val="3"/>
            <w:shd w:val="clear" w:color="auto" w:fill="auto"/>
            <w:tcMar>
              <w:top w:w="89" w:type="dxa"/>
              <w:left w:w="89" w:type="dxa"/>
              <w:bottom w:w="89" w:type="dxa"/>
              <w:right w:w="89" w:type="dxa"/>
            </w:tcMar>
            <w:vAlign w:val="center"/>
          </w:tcPr>
          <w:p>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四类照明区</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w:t>
            </w:r>
          </w:p>
        </w:tc>
        <w:tc>
          <w:tcPr>
            <w:tcW w:w="48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14"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6"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12"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7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7"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0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9"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03"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8"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30" w:type="dxa"/>
            <w:shd w:val="clear" w:color="auto" w:fill="auto"/>
            <w:tcMar>
              <w:top w:w="89" w:type="dxa"/>
              <w:left w:w="89" w:type="dxa"/>
              <w:bottom w:w="89" w:type="dxa"/>
              <w:right w:w="89" w:type="dxa"/>
            </w:tcMar>
            <w:vAlign w:val="center"/>
          </w:tcPr>
          <w:p>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r>
      <w:bookmarkEnd w:id="681"/>
    </w:tbl>
    <w:p>
      <w:pPr>
        <w:pStyle w:val="205"/>
        <w:spacing w:before="156" w:after="156"/>
        <w:rPr>
          <w:rFonts w:ascii="宋体" w:hAnsi="宋体"/>
          <w:bCs w:val="0"/>
          <w:sz w:val="24"/>
        </w:rPr>
      </w:pPr>
      <w:bookmarkStart w:id="682" w:name="_Hlk87456922"/>
    </w:p>
    <w:p>
      <w:pPr>
        <w:pStyle w:val="205"/>
        <w:spacing w:before="156" w:after="156"/>
        <w:rPr>
          <w:rFonts w:ascii="宋体" w:hAnsi="宋体"/>
          <w:bCs w:val="0"/>
          <w:sz w:val="24"/>
        </w:rPr>
      </w:pPr>
    </w:p>
    <w:p>
      <w:pPr>
        <w:pStyle w:val="205"/>
        <w:spacing w:before="156" w:after="156"/>
        <w:rPr>
          <w:rFonts w:ascii="宋体" w:hAnsi="宋体"/>
          <w:bCs w:val="0"/>
          <w:sz w:val="24"/>
        </w:rPr>
      </w:pPr>
    </w:p>
    <w:p>
      <w:pPr>
        <w:pStyle w:val="205"/>
        <w:spacing w:before="156" w:after="156"/>
        <w:rPr>
          <w:rFonts w:ascii="宋体" w:hAnsi="宋体"/>
          <w:bCs w:val="0"/>
          <w:sz w:val="24"/>
        </w:rPr>
      </w:pPr>
    </w:p>
    <w:p>
      <w:pPr>
        <w:pStyle w:val="205"/>
        <w:spacing w:before="156" w:after="156"/>
        <w:rPr>
          <w:rFonts w:ascii="宋体" w:hAnsi="宋体"/>
          <w:bCs w:val="0"/>
          <w:sz w:val="24"/>
        </w:rPr>
      </w:pPr>
      <w:r>
        <w:rPr>
          <w:rFonts w:hint="eastAsia" w:ascii="宋体" w:hAnsi="宋体"/>
          <w:bCs w:val="0"/>
          <w:sz w:val="24"/>
        </w:rPr>
        <w:t>表13—7</w:t>
      </w:r>
      <w:r>
        <w:rPr>
          <w:rFonts w:ascii="宋体" w:hAnsi="宋体"/>
          <w:bCs w:val="0"/>
          <w:sz w:val="24"/>
        </w:rPr>
        <w:t xml:space="preserve"> </w:t>
      </w:r>
      <w:r>
        <w:rPr>
          <w:rFonts w:hint="eastAsia" w:ascii="宋体" w:hAnsi="宋体"/>
          <w:bCs w:val="0"/>
          <w:sz w:val="24"/>
        </w:rPr>
        <w:t>建（构）筑物媒体立面照明亮度规划表（单位：cd/㎡）</w:t>
      </w: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3046"/>
        <w:gridCol w:w="3049"/>
        <w:gridCol w:w="3049"/>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58" w:type="dxa"/>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照明色彩模式</w:t>
            </w:r>
          </w:p>
        </w:tc>
        <w:tc>
          <w:tcPr>
            <w:tcW w:w="3046" w:type="dxa"/>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白色模式</w:t>
            </w:r>
          </w:p>
        </w:tc>
        <w:tc>
          <w:tcPr>
            <w:tcW w:w="3049" w:type="dxa"/>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红色模式</w:t>
            </w:r>
          </w:p>
        </w:tc>
        <w:tc>
          <w:tcPr>
            <w:tcW w:w="3049" w:type="dxa"/>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绿色模式</w:t>
            </w:r>
          </w:p>
        </w:tc>
        <w:tc>
          <w:tcPr>
            <w:tcW w:w="3046" w:type="dxa"/>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蓝色模式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758" w:type="dxa"/>
            <w:vAlign w:val="center"/>
          </w:tcPr>
          <w:p>
            <w:pPr>
              <w:pStyle w:val="82"/>
              <w:jc w:val="center"/>
              <w:rPr>
                <w:rFonts w:eastAsia="仿宋_GB2312" w:cs="仿宋"/>
                <w:kern w:val="2"/>
                <w:szCs w:val="21"/>
              </w:rPr>
            </w:pPr>
            <w:r>
              <w:rPr>
                <w:rFonts w:hint="eastAsia" w:eastAsia="仿宋_GB2312" w:cs="仿宋"/>
                <w:kern w:val="2"/>
                <w:szCs w:val="21"/>
              </w:rPr>
              <w:t>一类照明区</w:t>
            </w:r>
          </w:p>
        </w:tc>
        <w:tc>
          <w:tcPr>
            <w:tcW w:w="3046" w:type="dxa"/>
            <w:vAlign w:val="center"/>
          </w:tcPr>
          <w:p>
            <w:pPr>
              <w:pStyle w:val="82"/>
              <w:jc w:val="center"/>
              <w:rPr>
                <w:rFonts w:eastAsia="仿宋_GB2312" w:cs="仿宋"/>
                <w:kern w:val="2"/>
                <w:szCs w:val="21"/>
              </w:rPr>
            </w:pPr>
            <w:r>
              <w:rPr>
                <w:rFonts w:hint="eastAsia" w:eastAsia="仿宋_GB2312" w:cs="仿宋"/>
                <w:kern w:val="2"/>
                <w:szCs w:val="21"/>
              </w:rPr>
              <w:t>15</w:t>
            </w:r>
          </w:p>
        </w:tc>
        <w:tc>
          <w:tcPr>
            <w:tcW w:w="3049" w:type="dxa"/>
            <w:vAlign w:val="center"/>
          </w:tcPr>
          <w:p>
            <w:pPr>
              <w:pStyle w:val="82"/>
              <w:jc w:val="center"/>
              <w:rPr>
                <w:rFonts w:eastAsia="仿宋_GB2312" w:cs="仿宋"/>
                <w:kern w:val="2"/>
                <w:szCs w:val="21"/>
              </w:rPr>
            </w:pPr>
            <w:r>
              <w:rPr>
                <w:rFonts w:hint="eastAsia" w:eastAsia="仿宋_GB2312" w:cs="仿宋"/>
                <w:kern w:val="2"/>
                <w:szCs w:val="21"/>
              </w:rPr>
              <w:t>8</w:t>
            </w:r>
          </w:p>
        </w:tc>
        <w:tc>
          <w:tcPr>
            <w:tcW w:w="3049" w:type="dxa"/>
            <w:vAlign w:val="center"/>
          </w:tcPr>
          <w:p>
            <w:pPr>
              <w:pStyle w:val="82"/>
              <w:jc w:val="center"/>
              <w:rPr>
                <w:rFonts w:eastAsia="仿宋_GB2312" w:cs="仿宋"/>
                <w:kern w:val="2"/>
                <w:szCs w:val="21"/>
              </w:rPr>
            </w:pPr>
            <w:r>
              <w:rPr>
                <w:rFonts w:hint="eastAsia" w:eastAsia="仿宋_GB2312" w:cs="仿宋"/>
                <w:kern w:val="2"/>
                <w:szCs w:val="21"/>
              </w:rPr>
              <w:t>12</w:t>
            </w:r>
          </w:p>
        </w:tc>
        <w:tc>
          <w:tcPr>
            <w:tcW w:w="3046" w:type="dxa"/>
            <w:vAlign w:val="center"/>
          </w:tcPr>
          <w:p>
            <w:pPr>
              <w:pStyle w:val="82"/>
              <w:jc w:val="center"/>
              <w:rPr>
                <w:rFonts w:eastAsia="仿宋_GB2312" w:cs="仿宋"/>
                <w:kern w:val="2"/>
                <w:szCs w:val="21"/>
              </w:rPr>
            </w:pPr>
            <w:r>
              <w:rPr>
                <w:rFonts w:hint="eastAsia" w:eastAsia="仿宋_GB2312" w:cs="仿宋"/>
                <w:kern w:val="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58" w:type="dxa"/>
            <w:vAlign w:val="center"/>
          </w:tcPr>
          <w:p>
            <w:pPr>
              <w:pStyle w:val="82"/>
              <w:jc w:val="center"/>
              <w:rPr>
                <w:rFonts w:eastAsia="仿宋_GB2312" w:cs="仿宋"/>
                <w:kern w:val="2"/>
                <w:szCs w:val="21"/>
              </w:rPr>
            </w:pPr>
            <w:r>
              <w:rPr>
                <w:rFonts w:hint="eastAsia" w:eastAsia="仿宋_GB2312" w:cs="仿宋"/>
                <w:kern w:val="2"/>
                <w:szCs w:val="21"/>
              </w:rPr>
              <w:t>二类照明区</w:t>
            </w:r>
          </w:p>
        </w:tc>
        <w:tc>
          <w:tcPr>
            <w:tcW w:w="3046" w:type="dxa"/>
            <w:vAlign w:val="center"/>
          </w:tcPr>
          <w:p>
            <w:pPr>
              <w:pStyle w:val="82"/>
              <w:jc w:val="center"/>
              <w:rPr>
                <w:rFonts w:eastAsia="仿宋_GB2312" w:cs="仿宋"/>
                <w:kern w:val="2"/>
                <w:szCs w:val="21"/>
              </w:rPr>
            </w:pPr>
            <w:r>
              <w:rPr>
                <w:rFonts w:hint="eastAsia" w:eastAsia="仿宋_GB2312" w:cs="仿宋"/>
                <w:kern w:val="2"/>
                <w:szCs w:val="21"/>
              </w:rPr>
              <w:t>12</w:t>
            </w:r>
          </w:p>
        </w:tc>
        <w:tc>
          <w:tcPr>
            <w:tcW w:w="3049" w:type="dxa"/>
            <w:vAlign w:val="center"/>
          </w:tcPr>
          <w:p>
            <w:pPr>
              <w:pStyle w:val="82"/>
              <w:jc w:val="center"/>
              <w:rPr>
                <w:rFonts w:eastAsia="仿宋_GB2312" w:cs="仿宋"/>
                <w:kern w:val="2"/>
                <w:szCs w:val="21"/>
              </w:rPr>
            </w:pPr>
            <w:r>
              <w:rPr>
                <w:rFonts w:hint="eastAsia" w:eastAsia="仿宋_GB2312" w:cs="仿宋"/>
                <w:kern w:val="2"/>
                <w:szCs w:val="21"/>
              </w:rPr>
              <w:t>6</w:t>
            </w:r>
          </w:p>
        </w:tc>
        <w:tc>
          <w:tcPr>
            <w:tcW w:w="3049" w:type="dxa"/>
            <w:vAlign w:val="center"/>
          </w:tcPr>
          <w:p>
            <w:pPr>
              <w:pStyle w:val="82"/>
              <w:jc w:val="center"/>
              <w:rPr>
                <w:rFonts w:eastAsia="仿宋_GB2312" w:cs="仿宋"/>
                <w:kern w:val="2"/>
                <w:szCs w:val="21"/>
              </w:rPr>
            </w:pPr>
            <w:r>
              <w:rPr>
                <w:rFonts w:hint="eastAsia" w:eastAsia="仿宋_GB2312" w:cs="仿宋"/>
                <w:kern w:val="2"/>
                <w:szCs w:val="21"/>
              </w:rPr>
              <w:t>8</w:t>
            </w:r>
          </w:p>
        </w:tc>
        <w:tc>
          <w:tcPr>
            <w:tcW w:w="3046" w:type="dxa"/>
            <w:vAlign w:val="center"/>
          </w:tcPr>
          <w:p>
            <w:pPr>
              <w:pStyle w:val="82"/>
              <w:jc w:val="center"/>
              <w:rPr>
                <w:rFonts w:eastAsia="仿宋_GB2312" w:cs="仿宋"/>
                <w:kern w:val="2"/>
                <w:szCs w:val="21"/>
              </w:rPr>
            </w:pPr>
            <w:r>
              <w:rPr>
                <w:rFonts w:hint="eastAsia" w:eastAsia="仿宋_GB2312" w:cs="仿宋"/>
                <w:kern w:val="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58" w:type="dxa"/>
            <w:vAlign w:val="center"/>
          </w:tcPr>
          <w:p>
            <w:pPr>
              <w:pStyle w:val="82"/>
              <w:jc w:val="center"/>
              <w:rPr>
                <w:rFonts w:eastAsia="仿宋_GB2312" w:cs="仿宋"/>
                <w:kern w:val="2"/>
                <w:szCs w:val="21"/>
              </w:rPr>
            </w:pPr>
            <w:r>
              <w:rPr>
                <w:rFonts w:hint="eastAsia" w:eastAsia="仿宋_GB2312" w:cs="仿宋"/>
                <w:kern w:val="2"/>
                <w:szCs w:val="21"/>
              </w:rPr>
              <w:t>三类照明区</w:t>
            </w:r>
          </w:p>
        </w:tc>
        <w:tc>
          <w:tcPr>
            <w:tcW w:w="3046" w:type="dxa"/>
            <w:vAlign w:val="center"/>
          </w:tcPr>
          <w:p>
            <w:pPr>
              <w:pStyle w:val="82"/>
              <w:jc w:val="center"/>
              <w:rPr>
                <w:rFonts w:eastAsia="仿宋_GB2312" w:cs="仿宋"/>
                <w:kern w:val="2"/>
                <w:szCs w:val="21"/>
              </w:rPr>
            </w:pPr>
            <w:r>
              <w:rPr>
                <w:rFonts w:hint="eastAsia" w:eastAsia="仿宋_GB2312" w:cs="仿宋"/>
                <w:kern w:val="2"/>
                <w:szCs w:val="21"/>
              </w:rPr>
              <w:t>8</w:t>
            </w:r>
          </w:p>
        </w:tc>
        <w:tc>
          <w:tcPr>
            <w:tcW w:w="3049" w:type="dxa"/>
            <w:vAlign w:val="center"/>
          </w:tcPr>
          <w:p>
            <w:pPr>
              <w:pStyle w:val="82"/>
              <w:jc w:val="center"/>
              <w:rPr>
                <w:rFonts w:eastAsia="仿宋_GB2312" w:cs="仿宋"/>
                <w:kern w:val="2"/>
                <w:szCs w:val="21"/>
              </w:rPr>
            </w:pPr>
            <w:r>
              <w:rPr>
                <w:rFonts w:hint="eastAsia" w:eastAsia="仿宋_GB2312" w:cs="仿宋"/>
                <w:kern w:val="2"/>
                <w:szCs w:val="21"/>
              </w:rPr>
              <w:t>4</w:t>
            </w:r>
          </w:p>
        </w:tc>
        <w:tc>
          <w:tcPr>
            <w:tcW w:w="3049" w:type="dxa"/>
            <w:vAlign w:val="center"/>
          </w:tcPr>
          <w:p>
            <w:pPr>
              <w:pStyle w:val="82"/>
              <w:jc w:val="center"/>
              <w:rPr>
                <w:rFonts w:eastAsia="仿宋_GB2312" w:cs="仿宋"/>
                <w:kern w:val="2"/>
                <w:szCs w:val="21"/>
              </w:rPr>
            </w:pPr>
            <w:r>
              <w:rPr>
                <w:rFonts w:hint="eastAsia" w:eastAsia="仿宋_GB2312" w:cs="仿宋"/>
                <w:kern w:val="2"/>
                <w:szCs w:val="21"/>
              </w:rPr>
              <w:t>6</w:t>
            </w:r>
          </w:p>
        </w:tc>
        <w:tc>
          <w:tcPr>
            <w:tcW w:w="3046" w:type="dxa"/>
            <w:vAlign w:val="center"/>
          </w:tcPr>
          <w:p>
            <w:pPr>
              <w:pStyle w:val="82"/>
              <w:jc w:val="center"/>
              <w:rPr>
                <w:rFonts w:eastAsia="仿宋_GB2312" w:cs="仿宋"/>
                <w:kern w:val="2"/>
                <w:szCs w:val="21"/>
              </w:rPr>
            </w:pPr>
            <w:r>
              <w:rPr>
                <w:rFonts w:hint="eastAsia" w:eastAsia="仿宋_GB2312" w:cs="仿宋"/>
                <w:kern w:val="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758" w:type="dxa"/>
            <w:vAlign w:val="center"/>
          </w:tcPr>
          <w:p>
            <w:pPr>
              <w:pStyle w:val="82"/>
              <w:jc w:val="center"/>
              <w:rPr>
                <w:rFonts w:eastAsia="仿宋_GB2312" w:cs="仿宋"/>
                <w:kern w:val="2"/>
                <w:szCs w:val="21"/>
              </w:rPr>
            </w:pPr>
            <w:r>
              <w:rPr>
                <w:rFonts w:hint="eastAsia" w:eastAsia="仿宋_GB2312" w:cs="仿宋"/>
                <w:kern w:val="2"/>
                <w:szCs w:val="21"/>
              </w:rPr>
              <w:t>四类照明区</w:t>
            </w:r>
          </w:p>
        </w:tc>
        <w:tc>
          <w:tcPr>
            <w:tcW w:w="3046" w:type="dxa"/>
            <w:vAlign w:val="center"/>
          </w:tcPr>
          <w:p>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c>
          <w:tcPr>
            <w:tcW w:w="3049" w:type="dxa"/>
            <w:vAlign w:val="center"/>
          </w:tcPr>
          <w:p>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c>
          <w:tcPr>
            <w:tcW w:w="3049" w:type="dxa"/>
            <w:vAlign w:val="center"/>
          </w:tcPr>
          <w:p>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c>
          <w:tcPr>
            <w:tcW w:w="3046" w:type="dxa"/>
            <w:vAlign w:val="center"/>
          </w:tcPr>
          <w:p>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r>
    </w:tbl>
    <w:p>
      <w:pPr>
        <w:pStyle w:val="205"/>
        <w:spacing w:before="156" w:after="156"/>
        <w:rPr>
          <w:rFonts w:ascii="宋体" w:hAnsi="宋体"/>
          <w:bCs w:val="0"/>
          <w:sz w:val="24"/>
        </w:rPr>
      </w:pPr>
      <w:r>
        <w:rPr>
          <w:rFonts w:hint="eastAsia" w:ascii="宋体" w:hAnsi="宋体"/>
          <w:bCs w:val="0"/>
          <w:sz w:val="24"/>
        </w:rPr>
        <w:t>表13—8</w:t>
      </w:r>
      <w:r>
        <w:rPr>
          <w:rFonts w:ascii="宋体" w:hAnsi="宋体"/>
          <w:bCs w:val="0"/>
          <w:sz w:val="24"/>
        </w:rPr>
        <w:t xml:space="preserve"> </w:t>
      </w:r>
      <w:r>
        <w:rPr>
          <w:rFonts w:hint="eastAsia" w:ascii="宋体" w:hAnsi="宋体"/>
          <w:bCs w:val="0"/>
          <w:sz w:val="24"/>
        </w:rPr>
        <w:t>建（构）筑物最大亮度、亮度对比度规划表</w:t>
      </w: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6090"/>
        <w:gridCol w:w="6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照明分区</w:t>
            </w:r>
          </w:p>
        </w:tc>
        <w:tc>
          <w:tcPr>
            <w:tcW w:w="6090" w:type="dxa"/>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建筑间亮度对比度</w:t>
            </w:r>
          </w:p>
        </w:tc>
        <w:tc>
          <w:tcPr>
            <w:tcW w:w="6090" w:type="dxa"/>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建筑内局部最高亮度（cd/㎡）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pPr>
              <w:pStyle w:val="82"/>
              <w:jc w:val="center"/>
              <w:rPr>
                <w:rFonts w:eastAsia="仿宋_GB2312" w:cs="仿宋"/>
                <w:kern w:val="2"/>
                <w:szCs w:val="21"/>
              </w:rPr>
            </w:pPr>
            <w:r>
              <w:rPr>
                <w:rFonts w:hint="eastAsia" w:eastAsia="仿宋_GB2312" w:cs="仿宋"/>
                <w:kern w:val="2"/>
                <w:szCs w:val="21"/>
              </w:rPr>
              <w:t>特级照明区</w:t>
            </w:r>
          </w:p>
        </w:tc>
        <w:tc>
          <w:tcPr>
            <w:tcW w:w="6090" w:type="dxa"/>
            <w:vAlign w:val="center"/>
          </w:tcPr>
          <w:p>
            <w:pPr>
              <w:pStyle w:val="82"/>
              <w:jc w:val="center"/>
              <w:rPr>
                <w:rFonts w:eastAsia="仿宋_GB2312"/>
                <w:szCs w:val="21"/>
              </w:rPr>
            </w:pPr>
            <w:r>
              <w:rPr>
                <w:rFonts w:hint="eastAsia" w:eastAsia="仿宋_GB2312"/>
                <w:szCs w:val="21"/>
              </w:rPr>
              <w:t>1:10</w:t>
            </w:r>
          </w:p>
        </w:tc>
        <w:tc>
          <w:tcPr>
            <w:tcW w:w="6090" w:type="dxa"/>
            <w:vAlign w:val="center"/>
          </w:tcPr>
          <w:p>
            <w:pPr>
              <w:pStyle w:val="82"/>
              <w:jc w:val="center"/>
              <w:rPr>
                <w:rFonts w:eastAsia="仿宋_GB2312"/>
                <w:szCs w:val="21"/>
              </w:rPr>
            </w:pPr>
            <w:r>
              <w:rPr>
                <w:rFonts w:hint="eastAsia" w:eastAsia="仿宋_GB2312"/>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pPr>
              <w:pStyle w:val="82"/>
              <w:jc w:val="center"/>
              <w:rPr>
                <w:rFonts w:eastAsia="仿宋_GB2312" w:cs="仿宋"/>
                <w:kern w:val="2"/>
                <w:szCs w:val="21"/>
              </w:rPr>
            </w:pPr>
            <w:r>
              <w:rPr>
                <w:rFonts w:hint="eastAsia" w:eastAsia="仿宋_GB2312" w:cs="仿宋"/>
                <w:kern w:val="2"/>
                <w:szCs w:val="21"/>
              </w:rPr>
              <w:t>一类照明区</w:t>
            </w:r>
          </w:p>
        </w:tc>
        <w:tc>
          <w:tcPr>
            <w:tcW w:w="6090" w:type="dxa"/>
            <w:vAlign w:val="center"/>
          </w:tcPr>
          <w:p>
            <w:pPr>
              <w:pStyle w:val="82"/>
              <w:jc w:val="center"/>
              <w:rPr>
                <w:rFonts w:eastAsia="仿宋_GB2312"/>
                <w:szCs w:val="21"/>
              </w:rPr>
            </w:pPr>
            <w:r>
              <w:rPr>
                <w:rFonts w:hint="eastAsia" w:eastAsia="仿宋_GB2312"/>
                <w:szCs w:val="21"/>
              </w:rPr>
              <w:t>1:10</w:t>
            </w:r>
          </w:p>
        </w:tc>
        <w:tc>
          <w:tcPr>
            <w:tcW w:w="6090" w:type="dxa"/>
            <w:vAlign w:val="center"/>
          </w:tcPr>
          <w:p>
            <w:pPr>
              <w:pStyle w:val="82"/>
              <w:jc w:val="center"/>
              <w:rPr>
                <w:rFonts w:eastAsia="仿宋_GB2312"/>
                <w:szCs w:val="21"/>
              </w:rPr>
            </w:pPr>
            <w:r>
              <w:rPr>
                <w:rFonts w:hint="eastAsia" w:eastAsia="仿宋_GB2312"/>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pPr>
              <w:pStyle w:val="82"/>
              <w:jc w:val="center"/>
              <w:rPr>
                <w:rFonts w:eastAsia="仿宋_GB2312" w:cs="仿宋"/>
                <w:kern w:val="2"/>
                <w:szCs w:val="21"/>
              </w:rPr>
            </w:pPr>
            <w:r>
              <w:rPr>
                <w:rFonts w:hint="eastAsia" w:eastAsia="仿宋_GB2312" w:cs="仿宋"/>
                <w:kern w:val="2"/>
                <w:szCs w:val="21"/>
              </w:rPr>
              <w:t>二类照明区</w:t>
            </w:r>
          </w:p>
        </w:tc>
        <w:tc>
          <w:tcPr>
            <w:tcW w:w="6090" w:type="dxa"/>
            <w:vAlign w:val="center"/>
          </w:tcPr>
          <w:p>
            <w:pPr>
              <w:pStyle w:val="82"/>
              <w:jc w:val="center"/>
              <w:rPr>
                <w:rFonts w:eastAsia="仿宋_GB2312" w:cs="仿宋_GB2312"/>
                <w:szCs w:val="21"/>
              </w:rPr>
            </w:pPr>
            <w:r>
              <w:rPr>
                <w:rFonts w:hint="eastAsia" w:eastAsia="仿宋_GB2312"/>
                <w:szCs w:val="21"/>
              </w:rPr>
              <w:t>1:5</w:t>
            </w:r>
          </w:p>
        </w:tc>
        <w:tc>
          <w:tcPr>
            <w:tcW w:w="6090" w:type="dxa"/>
            <w:vAlign w:val="center"/>
          </w:tcPr>
          <w:p>
            <w:pPr>
              <w:pStyle w:val="82"/>
              <w:jc w:val="center"/>
              <w:rPr>
                <w:rFonts w:eastAsia="仿宋_GB2312"/>
                <w:szCs w:val="21"/>
              </w:rPr>
            </w:pPr>
            <w:r>
              <w:rPr>
                <w:rFonts w:hint="eastAsia" w:eastAsia="仿宋_GB2312"/>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pPr>
              <w:pStyle w:val="82"/>
              <w:jc w:val="center"/>
              <w:rPr>
                <w:rFonts w:eastAsia="仿宋_GB2312" w:cs="仿宋"/>
                <w:kern w:val="2"/>
                <w:szCs w:val="21"/>
              </w:rPr>
            </w:pPr>
            <w:r>
              <w:rPr>
                <w:rFonts w:hint="eastAsia" w:eastAsia="仿宋_GB2312" w:cs="仿宋"/>
                <w:kern w:val="2"/>
                <w:szCs w:val="21"/>
              </w:rPr>
              <w:t>三类照明区</w:t>
            </w:r>
          </w:p>
        </w:tc>
        <w:tc>
          <w:tcPr>
            <w:tcW w:w="6090" w:type="dxa"/>
            <w:vAlign w:val="center"/>
          </w:tcPr>
          <w:p>
            <w:pPr>
              <w:pStyle w:val="82"/>
              <w:jc w:val="center"/>
              <w:rPr>
                <w:rFonts w:eastAsia="仿宋_GB2312" w:cs="仿宋_GB2312"/>
                <w:szCs w:val="21"/>
              </w:rPr>
            </w:pPr>
            <w:r>
              <w:rPr>
                <w:rFonts w:hint="eastAsia" w:eastAsia="仿宋_GB2312"/>
                <w:szCs w:val="21"/>
              </w:rPr>
              <w:t>1:3</w:t>
            </w:r>
          </w:p>
        </w:tc>
        <w:tc>
          <w:tcPr>
            <w:tcW w:w="6090" w:type="dxa"/>
            <w:vAlign w:val="center"/>
          </w:tcPr>
          <w:p>
            <w:pPr>
              <w:pStyle w:val="82"/>
              <w:jc w:val="center"/>
              <w:rPr>
                <w:rFonts w:eastAsia="仿宋_GB2312"/>
                <w:szCs w:val="21"/>
              </w:rPr>
            </w:pPr>
            <w:r>
              <w:rPr>
                <w:rFonts w:hint="eastAsia" w:eastAsia="仿宋_GB2312"/>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pPr>
              <w:pStyle w:val="82"/>
              <w:jc w:val="center"/>
              <w:rPr>
                <w:rFonts w:eastAsia="仿宋_GB2312" w:cs="仿宋"/>
                <w:kern w:val="2"/>
                <w:szCs w:val="21"/>
              </w:rPr>
            </w:pPr>
            <w:r>
              <w:rPr>
                <w:rFonts w:hint="eastAsia" w:eastAsia="仿宋_GB2312" w:cs="仿宋"/>
                <w:kern w:val="2"/>
                <w:szCs w:val="21"/>
              </w:rPr>
              <w:t>四类照明区</w:t>
            </w:r>
          </w:p>
        </w:tc>
        <w:tc>
          <w:tcPr>
            <w:tcW w:w="6090" w:type="dxa"/>
            <w:vAlign w:val="center"/>
          </w:tcPr>
          <w:p>
            <w:pPr>
              <w:pStyle w:val="82"/>
              <w:jc w:val="center"/>
              <w:rPr>
                <w:rFonts w:eastAsia="仿宋_GB2312"/>
                <w:szCs w:val="21"/>
              </w:rPr>
            </w:pPr>
            <w:r>
              <w:rPr>
                <w:rFonts w:hint="eastAsia" w:eastAsia="仿宋_GB2312"/>
                <w:szCs w:val="21"/>
              </w:rPr>
              <w:t>1:2</w:t>
            </w:r>
          </w:p>
        </w:tc>
        <w:tc>
          <w:tcPr>
            <w:tcW w:w="6090" w:type="dxa"/>
            <w:vAlign w:val="center"/>
          </w:tcPr>
          <w:p>
            <w:pPr>
              <w:pStyle w:val="82"/>
              <w:jc w:val="center"/>
              <w:rPr>
                <w:rFonts w:eastAsia="仿宋_GB2312"/>
                <w:szCs w:val="21"/>
              </w:rPr>
            </w:pPr>
            <w:r>
              <w:rPr>
                <w:rFonts w:hint="eastAsia" w:eastAsia="仿宋_GB2312"/>
                <w:szCs w:val="21"/>
              </w:rPr>
              <w:t>25</w:t>
            </w:r>
          </w:p>
        </w:tc>
      </w:tr>
      <w:bookmarkEnd w:id="682"/>
    </w:tbl>
    <w:p>
      <w:pPr>
        <w:pStyle w:val="205"/>
        <w:spacing w:before="0" w:beforeLines="0" w:after="0" w:afterLines="0"/>
        <w:rPr>
          <w:rFonts w:ascii="宋体" w:hAnsi="宋体"/>
          <w:bCs w:val="0"/>
          <w:sz w:val="24"/>
        </w:rPr>
      </w:pPr>
      <w:bookmarkStart w:id="683" w:name="_Hlk87456941"/>
      <w:r>
        <w:rPr>
          <w:rFonts w:hint="eastAsia" w:ascii="宋体" w:hAnsi="宋体"/>
          <w:bCs w:val="0"/>
          <w:sz w:val="24"/>
        </w:rPr>
        <w:t>表13—9建（构）筑物景观照明色温及彩光比例控制指引</w:t>
      </w:r>
    </w:p>
    <w:tbl>
      <w:tblPr>
        <w:tblStyle w:val="89"/>
        <w:tblpPr w:leftFromText="181" w:rightFromText="181" w:vertAnchor="text" w:horzAnchor="page" w:tblpX="1486" w:tblpY="114"/>
        <w:tblOverlap w:val="never"/>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537"/>
        <w:gridCol w:w="1797"/>
        <w:gridCol w:w="410"/>
        <w:gridCol w:w="389"/>
        <w:gridCol w:w="485"/>
        <w:gridCol w:w="474"/>
        <w:gridCol w:w="491"/>
        <w:gridCol w:w="480"/>
        <w:gridCol w:w="474"/>
        <w:gridCol w:w="480"/>
        <w:gridCol w:w="502"/>
        <w:gridCol w:w="234"/>
        <w:gridCol w:w="248"/>
        <w:gridCol w:w="488"/>
        <w:gridCol w:w="483"/>
        <w:gridCol w:w="483"/>
        <w:gridCol w:w="477"/>
        <w:gridCol w:w="505"/>
        <w:gridCol w:w="469"/>
        <w:gridCol w:w="488"/>
        <w:gridCol w:w="494"/>
        <w:gridCol w:w="480"/>
        <w:gridCol w:w="483"/>
        <w:gridCol w:w="494"/>
        <w:gridCol w:w="480"/>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38"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bookmarkStart w:id="684" w:name="_Hlk86308306"/>
            <w:r>
              <w:rPr>
                <w:rFonts w:hint="eastAsia" w:ascii="宋体" w:hAnsi="宋体" w:eastAsia="仿宋_GB2312" w:cs="仿宋"/>
                <w:szCs w:val="21"/>
              </w:rPr>
              <w:t>照明分区</w:t>
            </w:r>
          </w:p>
        </w:tc>
        <w:tc>
          <w:tcPr>
            <w:tcW w:w="2334" w:type="dxa"/>
            <w:gridSpan w:val="2"/>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所属区域</w:t>
            </w:r>
          </w:p>
        </w:tc>
        <w:tc>
          <w:tcPr>
            <w:tcW w:w="2249" w:type="dxa"/>
            <w:gridSpan w:val="5"/>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特殊重要性标志性建筑</w:t>
            </w:r>
          </w:p>
        </w:tc>
        <w:tc>
          <w:tcPr>
            <w:tcW w:w="2906" w:type="dxa"/>
            <w:gridSpan w:val="7"/>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高度较高、体量较大、形成天际轮廓线</w:t>
            </w:r>
          </w:p>
        </w:tc>
        <w:tc>
          <w:tcPr>
            <w:tcW w:w="2905" w:type="dxa"/>
            <w:gridSpan w:val="6"/>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体量较大、形成城市空间连续界面</w:t>
            </w:r>
          </w:p>
        </w:tc>
        <w:tc>
          <w:tcPr>
            <w:tcW w:w="2916" w:type="dxa"/>
            <w:gridSpan w:val="6"/>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体量不突出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38" w:type="dxa"/>
            <w:vMerge w:val="continue"/>
            <w:shd w:val="clear" w:color="auto" w:fill="auto"/>
            <w:vAlign w:val="center"/>
          </w:tcPr>
          <w:p>
            <w:pPr>
              <w:pStyle w:val="190"/>
              <w:kinsoku w:val="0"/>
              <w:overflowPunct w:val="0"/>
              <w:spacing w:line="260" w:lineRule="exact"/>
              <w:jc w:val="center"/>
              <w:rPr>
                <w:rFonts w:ascii="宋体" w:hAnsi="宋体" w:eastAsia="仿宋_GB2312" w:cs="仿宋"/>
                <w:szCs w:val="21"/>
              </w:rPr>
            </w:pPr>
          </w:p>
        </w:tc>
        <w:tc>
          <w:tcPr>
            <w:tcW w:w="2334" w:type="dxa"/>
            <w:gridSpan w:val="2"/>
            <w:vMerge w:val="continue"/>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p>
        </w:tc>
        <w:tc>
          <w:tcPr>
            <w:tcW w:w="1284" w:type="dxa"/>
            <w:gridSpan w:val="3"/>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74"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1"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36" w:type="dxa"/>
            <w:gridSpan w:val="4"/>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2" w:type="dxa"/>
            <w:gridSpan w:val="2"/>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88"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48" w:type="dxa"/>
            <w:gridSpan w:val="4"/>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69"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88"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51" w:type="dxa"/>
            <w:gridSpan w:val="4"/>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0"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85"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tblHeader/>
        </w:trPr>
        <w:tc>
          <w:tcPr>
            <w:tcW w:w="638"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c>
          <w:tcPr>
            <w:tcW w:w="2334" w:type="dxa"/>
            <w:gridSpan w:val="2"/>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sz w:val="24"/>
              </w:rPr>
            </w:pPr>
          </w:p>
        </w:tc>
        <w:tc>
          <w:tcPr>
            <w:tcW w:w="410"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低层</w:t>
            </w:r>
          </w:p>
        </w:tc>
        <w:tc>
          <w:tcPr>
            <w:tcW w:w="389"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中层</w:t>
            </w:r>
          </w:p>
        </w:tc>
        <w:tc>
          <w:tcPr>
            <w:tcW w:w="485"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高层</w:t>
            </w:r>
          </w:p>
        </w:tc>
        <w:tc>
          <w:tcPr>
            <w:tcW w:w="474" w:type="dxa"/>
            <w:vMerge w:val="continue"/>
            <w:shd w:val="clear" w:color="auto" w:fill="auto"/>
            <w:vAlign w:val="center"/>
          </w:tcPr>
          <w:p>
            <w:pPr>
              <w:pStyle w:val="190"/>
              <w:kinsoku w:val="0"/>
              <w:overflowPunct w:val="0"/>
              <w:spacing w:line="240" w:lineRule="exact"/>
              <w:jc w:val="center"/>
              <w:rPr>
                <w:rFonts w:ascii="宋体" w:hAnsi="宋体" w:eastAsia="仿宋_GB2312" w:cs="仿宋"/>
                <w:szCs w:val="21"/>
              </w:rPr>
            </w:pPr>
          </w:p>
        </w:tc>
        <w:tc>
          <w:tcPr>
            <w:tcW w:w="491" w:type="dxa"/>
            <w:vMerge w:val="continue"/>
            <w:shd w:val="clear" w:color="auto" w:fill="auto"/>
            <w:vAlign w:val="center"/>
          </w:tcPr>
          <w:p>
            <w:pPr>
              <w:pStyle w:val="190"/>
              <w:kinsoku w:val="0"/>
              <w:overflowPunct w:val="0"/>
              <w:spacing w:line="240" w:lineRule="exact"/>
              <w:jc w:val="center"/>
              <w:rPr>
                <w:rFonts w:ascii="宋体" w:hAnsi="宋体" w:eastAsia="仿宋_GB2312" w:cs="仿宋"/>
                <w:szCs w:val="21"/>
              </w:rPr>
            </w:pPr>
          </w:p>
        </w:tc>
        <w:tc>
          <w:tcPr>
            <w:tcW w:w="480"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政务</w:t>
            </w:r>
          </w:p>
        </w:tc>
        <w:tc>
          <w:tcPr>
            <w:tcW w:w="474"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文化</w:t>
            </w:r>
          </w:p>
        </w:tc>
        <w:tc>
          <w:tcPr>
            <w:tcW w:w="480"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商业</w:t>
            </w:r>
          </w:p>
        </w:tc>
        <w:tc>
          <w:tcPr>
            <w:tcW w:w="502"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商务</w:t>
            </w:r>
          </w:p>
        </w:tc>
        <w:tc>
          <w:tcPr>
            <w:tcW w:w="482" w:type="dxa"/>
            <w:gridSpan w:val="2"/>
            <w:vMerge w:val="continue"/>
            <w:shd w:val="clear" w:color="auto" w:fill="auto"/>
            <w:vAlign w:val="center"/>
          </w:tcPr>
          <w:p>
            <w:pPr>
              <w:pStyle w:val="190"/>
              <w:kinsoku w:val="0"/>
              <w:overflowPunct w:val="0"/>
              <w:spacing w:line="240" w:lineRule="exact"/>
              <w:jc w:val="center"/>
              <w:rPr>
                <w:rFonts w:ascii="宋体" w:hAnsi="宋体" w:eastAsia="仿宋_GB2312" w:cs="仿宋"/>
                <w:szCs w:val="21"/>
              </w:rPr>
            </w:pPr>
          </w:p>
        </w:tc>
        <w:tc>
          <w:tcPr>
            <w:tcW w:w="488" w:type="dxa"/>
            <w:vMerge w:val="continue"/>
            <w:shd w:val="clear" w:color="auto" w:fill="auto"/>
            <w:vAlign w:val="center"/>
          </w:tcPr>
          <w:p>
            <w:pPr>
              <w:pStyle w:val="190"/>
              <w:kinsoku w:val="0"/>
              <w:overflowPunct w:val="0"/>
              <w:spacing w:line="240" w:lineRule="exact"/>
              <w:jc w:val="center"/>
              <w:rPr>
                <w:rFonts w:ascii="宋体" w:hAnsi="宋体" w:eastAsia="仿宋_GB2312" w:cs="仿宋"/>
                <w:szCs w:val="21"/>
              </w:rPr>
            </w:pPr>
          </w:p>
        </w:tc>
        <w:tc>
          <w:tcPr>
            <w:tcW w:w="483"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政务</w:t>
            </w:r>
          </w:p>
        </w:tc>
        <w:tc>
          <w:tcPr>
            <w:tcW w:w="483"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文化</w:t>
            </w:r>
          </w:p>
        </w:tc>
        <w:tc>
          <w:tcPr>
            <w:tcW w:w="477"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商业</w:t>
            </w:r>
          </w:p>
        </w:tc>
        <w:tc>
          <w:tcPr>
            <w:tcW w:w="505"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商务</w:t>
            </w:r>
          </w:p>
        </w:tc>
        <w:tc>
          <w:tcPr>
            <w:tcW w:w="469" w:type="dxa"/>
            <w:vMerge w:val="continue"/>
            <w:shd w:val="clear" w:color="auto" w:fill="auto"/>
            <w:vAlign w:val="center"/>
          </w:tcPr>
          <w:p>
            <w:pPr>
              <w:pStyle w:val="190"/>
              <w:kinsoku w:val="0"/>
              <w:overflowPunct w:val="0"/>
              <w:spacing w:line="240" w:lineRule="exact"/>
              <w:jc w:val="center"/>
              <w:rPr>
                <w:rFonts w:ascii="宋体" w:hAnsi="宋体" w:eastAsia="仿宋_GB2312" w:cs="仿宋"/>
                <w:szCs w:val="21"/>
              </w:rPr>
            </w:pPr>
          </w:p>
        </w:tc>
        <w:tc>
          <w:tcPr>
            <w:tcW w:w="488" w:type="dxa"/>
            <w:vMerge w:val="continue"/>
            <w:shd w:val="clear" w:color="auto" w:fill="auto"/>
            <w:vAlign w:val="center"/>
          </w:tcPr>
          <w:p>
            <w:pPr>
              <w:pStyle w:val="190"/>
              <w:kinsoku w:val="0"/>
              <w:overflowPunct w:val="0"/>
              <w:spacing w:line="240" w:lineRule="exact"/>
              <w:jc w:val="center"/>
              <w:rPr>
                <w:rFonts w:ascii="宋体" w:hAnsi="宋体" w:eastAsia="仿宋_GB2312" w:cs="仿宋"/>
                <w:szCs w:val="21"/>
              </w:rPr>
            </w:pPr>
          </w:p>
        </w:tc>
        <w:tc>
          <w:tcPr>
            <w:tcW w:w="494"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政务</w:t>
            </w:r>
          </w:p>
        </w:tc>
        <w:tc>
          <w:tcPr>
            <w:tcW w:w="480"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文化</w:t>
            </w:r>
          </w:p>
        </w:tc>
        <w:tc>
          <w:tcPr>
            <w:tcW w:w="483"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商业</w:t>
            </w:r>
          </w:p>
        </w:tc>
        <w:tc>
          <w:tcPr>
            <w:tcW w:w="494" w:type="dxa"/>
            <w:shd w:val="clear" w:color="auto" w:fill="auto"/>
            <w:tcMar>
              <w:top w:w="89" w:type="dxa"/>
              <w:left w:w="89" w:type="dxa"/>
              <w:bottom w:w="89" w:type="dxa"/>
              <w:right w:w="89" w:type="dxa"/>
            </w:tcMar>
            <w:vAlign w:val="center"/>
          </w:tcPr>
          <w:p>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商务</w:t>
            </w:r>
          </w:p>
        </w:tc>
        <w:tc>
          <w:tcPr>
            <w:tcW w:w="480"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c>
          <w:tcPr>
            <w:tcW w:w="485"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blHeader/>
        </w:trPr>
        <w:tc>
          <w:tcPr>
            <w:tcW w:w="2972" w:type="dxa"/>
            <w:gridSpan w:val="3"/>
            <w:shd w:val="clear" w:color="auto" w:fill="auto"/>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特级照明区（重大节日模式）</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1" w:type="dxa"/>
            <w:shd w:val="clear" w:color="auto" w:fill="auto"/>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2"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2" w:type="dxa"/>
            <w:gridSpan w:val="2"/>
            <w:shd w:val="clear" w:color="auto" w:fill="auto"/>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69" w:type="dxa"/>
            <w:shd w:val="clear" w:color="auto" w:fill="auto"/>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5" w:type="dxa"/>
            <w:shd w:val="clear" w:color="auto" w:fill="auto"/>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972" w:type="dxa"/>
            <w:gridSpan w:val="3"/>
            <w:shd w:val="clear" w:color="auto" w:fill="auto"/>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特级照明区（节日—平日模式）</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1" w:type="dxa"/>
            <w:shd w:val="clear" w:color="auto" w:fill="auto"/>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2"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2" w:type="dxa"/>
            <w:gridSpan w:val="2"/>
            <w:shd w:val="clear" w:color="auto" w:fill="auto"/>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69" w:type="dxa"/>
            <w:shd w:val="clear" w:color="auto" w:fill="auto"/>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5" w:type="dxa"/>
            <w:shd w:val="clear" w:color="auto" w:fill="auto"/>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cs="宋体"/>
                <w:sz w:val="24"/>
              </w:rPr>
            </w:pPr>
            <w:r>
              <w:rPr>
                <w:rFonts w:hint="eastAsia" w:ascii="宋体" w:hAnsi="宋体" w:eastAsia="仿宋_GB2312" w:cs="宋体"/>
                <w:sz w:val="24"/>
              </w:rPr>
              <w:t>一类照明区</w:t>
            </w:r>
          </w:p>
        </w:tc>
        <w:tc>
          <w:tcPr>
            <w:tcW w:w="537"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7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中心地区</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502"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KP</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6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cs="宋体"/>
                <w:sz w:val="24"/>
              </w:rPr>
            </w:pPr>
          </w:p>
        </w:tc>
        <w:tc>
          <w:tcPr>
            <w:tcW w:w="537"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副中心</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KP</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6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cs="宋体"/>
                <w:sz w:val="24"/>
              </w:rPr>
            </w:pPr>
          </w:p>
        </w:tc>
        <w:tc>
          <w:tcPr>
            <w:tcW w:w="537"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边缘集团</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cs="宋体"/>
                <w:sz w:val="24"/>
              </w:rPr>
            </w:pPr>
          </w:p>
        </w:tc>
        <w:tc>
          <w:tcPr>
            <w:tcW w:w="2334" w:type="dxa"/>
            <w:gridSpan w:val="2"/>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WP</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WP</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WP</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WP</w:t>
            </w:r>
          </w:p>
        </w:tc>
        <w:tc>
          <w:tcPr>
            <w:tcW w:w="502"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WP</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6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cs="宋体"/>
                <w:sz w:val="24"/>
              </w:rPr>
            </w:pPr>
          </w:p>
        </w:tc>
        <w:tc>
          <w:tcPr>
            <w:tcW w:w="2334" w:type="dxa"/>
            <w:gridSpan w:val="2"/>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pacing w:val="-2"/>
                <w:sz w:val="24"/>
                <w:szCs w:val="21"/>
              </w:rPr>
            </w:pPr>
            <w:r>
              <w:rPr>
                <w:rFonts w:hint="eastAsia" w:ascii="宋体" w:hAnsi="宋体" w:eastAsia="仿宋_GB2312" w:cs="宋体"/>
                <w:spacing w:val="-2"/>
                <w:sz w:val="24"/>
                <w:szCs w:val="21"/>
              </w:rPr>
              <w:t>WH</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6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cs="宋体"/>
                <w:sz w:val="24"/>
              </w:rPr>
            </w:pPr>
          </w:p>
        </w:tc>
        <w:tc>
          <w:tcPr>
            <w:tcW w:w="2334" w:type="dxa"/>
            <w:gridSpan w:val="2"/>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MT</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MT</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MT</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MX</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MT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MT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trPr>
        <w:tc>
          <w:tcPr>
            <w:tcW w:w="638"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二类照明区</w:t>
            </w:r>
          </w:p>
        </w:tc>
        <w:tc>
          <w:tcPr>
            <w:tcW w:w="537"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797" w:type="dxa"/>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KP</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6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1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KT</w:t>
            </w:r>
          </w:p>
        </w:tc>
        <w:tc>
          <w:tcPr>
            <w:tcW w:w="38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KT</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KT</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1"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2" w:type="dxa"/>
            <w:gridSpan w:val="2"/>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pacing w:val="-2"/>
                <w:sz w:val="24"/>
                <w:szCs w:val="21"/>
              </w:rPr>
              <w:t>WH</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6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1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38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1"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2" w:type="dxa"/>
            <w:gridSpan w:val="2"/>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三类照明区</w:t>
            </w:r>
          </w:p>
        </w:tc>
        <w:tc>
          <w:tcPr>
            <w:tcW w:w="537"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797" w:type="dxa"/>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1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38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2" w:type="dxa"/>
            <w:gridSpan w:val="2"/>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1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38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91"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2" w:type="dxa"/>
            <w:gridSpan w:val="2"/>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389"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2" w:type="dxa"/>
            <w:gridSpan w:val="2"/>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1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sz w:val="24"/>
                <w:szCs w:val="21"/>
              </w:rPr>
              <w:t>WX</w:t>
            </w:r>
          </w:p>
        </w:tc>
        <w:tc>
          <w:tcPr>
            <w:tcW w:w="38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sz w:val="24"/>
                <w:szCs w:val="21"/>
              </w:rPr>
              <w:t>WX</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1"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2" w:type="dxa"/>
            <w:gridSpan w:val="2"/>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638"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1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38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91"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7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502"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2" w:type="dxa"/>
            <w:gridSpan w:val="2"/>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7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50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9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972" w:type="dxa"/>
            <w:gridSpan w:val="3"/>
            <w:tcBorders>
              <w:bottom w:val="single" w:color="auto" w:sz="4" w:space="0"/>
            </w:tcBorders>
            <w:shd w:val="clear" w:color="auto" w:fill="FFFFFF" w:themeFill="background1"/>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四类照明区</w:t>
            </w:r>
          </w:p>
        </w:tc>
        <w:tc>
          <w:tcPr>
            <w:tcW w:w="410" w:type="dxa"/>
            <w:tcBorders>
              <w:bottom w:val="single" w:color="auto" w:sz="4" w:space="0"/>
            </w:tcBorders>
            <w:shd w:val="clear" w:color="auto" w:fill="FFFFFF" w:themeFill="background1"/>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highlight w:val="yellow"/>
                <w:lang w:bidi="ar"/>
              </w:rPr>
            </w:pPr>
            <w:r>
              <w:rPr>
                <w:rFonts w:hint="eastAsia" w:ascii="宋体" w:hAnsi="宋体" w:eastAsia="仿宋_GB2312" w:cs="宋体"/>
                <w:kern w:val="0"/>
                <w:sz w:val="24"/>
                <w:szCs w:val="21"/>
                <w:lang w:bidi="ar"/>
              </w:rPr>
              <w:t>LX</w:t>
            </w:r>
          </w:p>
        </w:tc>
        <w:tc>
          <w:tcPr>
            <w:tcW w:w="389" w:type="dxa"/>
            <w:tcBorders>
              <w:bottom w:val="single" w:color="auto" w:sz="4" w:space="0"/>
            </w:tcBorders>
            <w:shd w:val="clear" w:color="auto" w:fill="FFFFFF" w:themeFill="background1"/>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highlight w:val="yellow"/>
                <w:lang w:bidi="ar"/>
              </w:rPr>
            </w:pPr>
            <w:r>
              <w:rPr>
                <w:rFonts w:hint="eastAsia" w:ascii="宋体" w:hAnsi="宋体" w:eastAsia="仿宋_GB2312" w:cs="宋体"/>
                <w:kern w:val="0"/>
                <w:sz w:val="24"/>
                <w:szCs w:val="21"/>
                <w:lang w:bidi="ar"/>
              </w:rPr>
              <w:t>LX</w:t>
            </w:r>
          </w:p>
        </w:tc>
        <w:tc>
          <w:tcPr>
            <w:tcW w:w="485" w:type="dxa"/>
            <w:tcBorders>
              <w:bottom w:val="single" w:color="auto" w:sz="4" w:space="0"/>
            </w:tcBorders>
            <w:shd w:val="clear" w:color="auto" w:fill="FFFFFF" w:themeFill="background1"/>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kern w:val="0"/>
                <w:sz w:val="24"/>
                <w:szCs w:val="21"/>
                <w:highlight w:val="yellow"/>
                <w:lang w:bidi="ar"/>
              </w:rPr>
            </w:pPr>
            <w:r>
              <w:rPr>
                <w:rFonts w:hint="eastAsia" w:ascii="宋体" w:hAnsi="宋体" w:eastAsia="仿宋_GB2312" w:cs="宋体"/>
                <w:kern w:val="0"/>
                <w:sz w:val="24"/>
                <w:szCs w:val="21"/>
                <w:lang w:bidi="ar"/>
              </w:rPr>
              <w:t>LX</w:t>
            </w:r>
          </w:p>
        </w:tc>
        <w:tc>
          <w:tcPr>
            <w:tcW w:w="474" w:type="dxa"/>
            <w:tcBorders>
              <w:bottom w:val="single" w:color="auto" w:sz="4" w:space="0"/>
            </w:tcBorders>
            <w:shd w:val="clear" w:color="auto" w:fill="FFFFFF" w:themeFill="background1"/>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0"/>
                <w:highlight w:val="yellow"/>
              </w:rPr>
            </w:pPr>
            <w:r>
              <w:rPr>
                <w:rFonts w:hint="eastAsia" w:ascii="宋体" w:hAnsi="宋体" w:eastAsia="仿宋_GB2312" w:cs="宋体"/>
                <w:kern w:val="0"/>
                <w:sz w:val="24"/>
                <w:szCs w:val="21"/>
                <w:lang w:bidi="ar"/>
              </w:rPr>
              <w:t>LX</w:t>
            </w:r>
          </w:p>
        </w:tc>
        <w:tc>
          <w:tcPr>
            <w:tcW w:w="491" w:type="dxa"/>
            <w:tcBorders>
              <w:bottom w:val="single" w:color="auto" w:sz="4" w:space="0"/>
            </w:tcBorders>
            <w:shd w:val="clear" w:color="auto" w:fill="FFFFFF" w:themeFill="background1"/>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0"/>
                <w:highlight w:val="yellow"/>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LX</w:t>
            </w:r>
          </w:p>
        </w:tc>
        <w:tc>
          <w:tcPr>
            <w:tcW w:w="474"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502"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2" w:type="dxa"/>
            <w:gridSpan w:val="2"/>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8"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3"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3"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77"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505"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69"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8"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94"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3"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94"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5" w:type="dxa"/>
            <w:tcBorders>
              <w:bottom w:val="single" w:color="auto" w:sz="4" w:space="0"/>
            </w:tcBorders>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948" w:type="dxa"/>
            <w:gridSpan w:val="27"/>
            <w:tcBorders>
              <w:top w:val="single" w:color="auto" w:sz="4" w:space="0"/>
              <w:left w:val="single" w:color="auto" w:sz="4" w:space="0"/>
              <w:bottom w:val="nil"/>
              <w:right w:val="single" w:color="auto" w:sz="4" w:space="0"/>
            </w:tcBorders>
            <w:shd w:val="clear" w:color="auto" w:fill="auto"/>
            <w:tcMar>
              <w:top w:w="89" w:type="dxa"/>
              <w:left w:w="89" w:type="dxa"/>
              <w:bottom w:w="89" w:type="dxa"/>
              <w:right w:w="89" w:type="dxa"/>
            </w:tcMar>
            <w:vAlign w:val="center"/>
          </w:tcPr>
          <w:p>
            <w:pPr>
              <w:pStyle w:val="190"/>
              <w:kinsoku w:val="0"/>
              <w:overflowPunct w:val="0"/>
              <w:snapToGrid w:val="0"/>
              <w:spacing w:line="260" w:lineRule="exact"/>
              <w:jc w:val="both"/>
              <w:rPr>
                <w:rFonts w:ascii="宋体" w:hAnsi="宋体" w:eastAsia="仿宋_GB2312" w:cs="仿宋"/>
                <w:kern w:val="2"/>
                <w:szCs w:val="21"/>
              </w:rPr>
            </w:pPr>
            <w:r>
              <w:rPr>
                <w:rFonts w:hint="eastAsia" w:ascii="宋体" w:hAnsi="宋体" w:eastAsia="仿宋_GB2312" w:cs="仿宋"/>
                <w:kern w:val="2"/>
                <w:szCs w:val="21"/>
              </w:rPr>
              <w:t>注：字母中第一个代表照明基础光色，第二个代表照明彩光比例。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391" w:type="dxa"/>
            <w:gridSpan w:val="13"/>
            <w:tcBorders>
              <w:top w:val="nil"/>
              <w:left w:val="single" w:color="auto" w:sz="4" w:space="0"/>
              <w:bottom w:val="single" w:color="auto" w:sz="4" w:space="0"/>
              <w:right w:val="nil"/>
            </w:tcBorders>
            <w:shd w:val="clear" w:color="auto" w:fill="auto"/>
            <w:tcMar>
              <w:top w:w="89" w:type="dxa"/>
              <w:left w:w="89" w:type="dxa"/>
              <w:bottom w:w="89" w:type="dxa"/>
              <w:right w:w="89" w:type="dxa"/>
            </w:tcMar>
            <w:vAlign w:val="center"/>
          </w:tcPr>
          <w:p>
            <w:pPr>
              <w:pStyle w:val="210"/>
              <w:widowControl/>
              <w:adjustRightInd w:val="0"/>
              <w:snapToGrid w:val="0"/>
              <w:spacing w:line="260" w:lineRule="exact"/>
              <w:jc w:val="both"/>
              <w:rPr>
                <w:rFonts w:ascii="宋体" w:hAnsi="宋体" w:eastAsia="仿宋_GB2312" w:cs="仿宋"/>
                <w:sz w:val="24"/>
                <w:szCs w:val="21"/>
              </w:rPr>
            </w:pPr>
            <w:r>
              <w:rPr>
                <w:rFonts w:hint="eastAsia" w:ascii="宋体" w:hAnsi="宋体" w:eastAsia="仿宋_GB2312" w:cs="仿宋"/>
                <w:sz w:val="24"/>
                <w:szCs w:val="21"/>
              </w:rPr>
              <w:t xml:space="preserve">基础光色：   </w:t>
            </w:r>
          </w:p>
          <w:tbl>
            <w:tblPr>
              <w:tblStyle w:val="89"/>
              <w:tblW w:w="3664" w:type="dxa"/>
              <w:jc w:val="center"/>
              <w:tblLayout w:type="fixed"/>
              <w:tblCellMar>
                <w:top w:w="0" w:type="dxa"/>
                <w:left w:w="0" w:type="dxa"/>
                <w:bottom w:w="0" w:type="dxa"/>
                <w:right w:w="0" w:type="dxa"/>
              </w:tblCellMar>
            </w:tblPr>
            <w:tblGrid>
              <w:gridCol w:w="1066"/>
              <w:gridCol w:w="1269"/>
              <w:gridCol w:w="707"/>
              <w:gridCol w:w="622"/>
            </w:tblGrid>
            <w:tr>
              <w:tblPrEx>
                <w:tblCellMar>
                  <w:top w:w="0" w:type="dxa"/>
                  <w:left w:w="0" w:type="dxa"/>
                  <w:bottom w:w="0" w:type="dxa"/>
                  <w:right w:w="0" w:type="dxa"/>
                </w:tblCellMar>
              </w:tblPrEx>
              <w:trPr>
                <w:trHeight w:val="603" w:hRule="exact"/>
                <w:jc w:val="center"/>
              </w:trPr>
              <w:tc>
                <w:tcPr>
                  <w:tcW w:w="1066" w:type="dxa"/>
                  <w:tcBorders>
                    <w:top w:val="single" w:color="000000" w:sz="4" w:space="0"/>
                    <w:left w:val="single" w:color="000000" w:sz="4" w:space="0"/>
                    <w:bottom w:val="single" w:color="000000" w:sz="4" w:space="0"/>
                    <w:right w:val="single" w:color="000000" w:sz="4" w:space="0"/>
                  </w:tcBorders>
                  <w:vAlign w:val="center"/>
                </w:tcPr>
                <w:p>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暖色表</w:t>
                  </w:r>
                </w:p>
              </w:tc>
              <w:tc>
                <w:tcPr>
                  <w:tcW w:w="1269" w:type="dxa"/>
                  <w:tcBorders>
                    <w:top w:val="single" w:color="000000" w:sz="4" w:space="0"/>
                    <w:left w:val="single" w:color="000000" w:sz="4" w:space="0"/>
                    <w:bottom w:val="single" w:color="000000" w:sz="4" w:space="0"/>
                    <w:right w:val="single" w:color="000000" w:sz="4" w:space="0"/>
                  </w:tcBorders>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2200</w:t>
                  </w:r>
                  <w:r>
                    <w:rPr>
                      <w:rFonts w:hint="eastAsia" w:ascii="宋体" w:hAnsi="宋体" w:eastAsia="仿宋_GB2312" w:cs="仿宋"/>
                      <w:kern w:val="2"/>
                      <w:szCs w:val="21"/>
                    </w:rPr>
                    <w:t>～</w:t>
                  </w:r>
                  <w:r>
                    <w:rPr>
                      <w:rFonts w:ascii="宋体" w:hAnsi="宋体" w:eastAsia="仿宋_GB2312" w:cs="仿宋"/>
                      <w:kern w:val="2"/>
                      <w:szCs w:val="21"/>
                    </w:rPr>
                    <w:t>3300K</w:t>
                  </w:r>
                </w:p>
              </w:tc>
              <w:tc>
                <w:tcPr>
                  <w:tcW w:w="707" w:type="dxa"/>
                  <w:tcBorders>
                    <w:top w:val="single" w:color="000000" w:sz="4" w:space="0"/>
                    <w:left w:val="single" w:color="000000" w:sz="4" w:space="0"/>
                    <w:bottom w:val="single" w:color="000000" w:sz="4" w:space="0"/>
                    <w:right w:val="single" w:color="000000" w:sz="4" w:space="0"/>
                  </w:tcBorders>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W</w:t>
                  </w:r>
                </w:p>
              </w:tc>
              <w:tc>
                <w:tcPr>
                  <w:tcW w:w="622" w:type="dxa"/>
                  <w:vMerge w:val="restart"/>
                  <w:tcBorders>
                    <w:top w:val="single" w:color="000000" w:sz="4" w:space="0"/>
                    <w:left w:val="single" w:color="000000" w:sz="4" w:space="0"/>
                    <w:bottom w:val="single" w:color="000000" w:sz="4" w:space="0"/>
                    <w:right w:val="single" w:color="000000" w:sz="4" w:space="0"/>
                  </w:tcBorders>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K</w:t>
                  </w:r>
                </w:p>
              </w:tc>
            </w:tr>
            <w:tr>
              <w:tblPrEx>
                <w:tblCellMar>
                  <w:top w:w="0" w:type="dxa"/>
                  <w:left w:w="0" w:type="dxa"/>
                  <w:bottom w:w="0" w:type="dxa"/>
                  <w:right w:w="0" w:type="dxa"/>
                </w:tblCellMar>
              </w:tblPrEx>
              <w:trPr>
                <w:trHeight w:val="605" w:hRule="exact"/>
                <w:jc w:val="center"/>
              </w:trPr>
              <w:tc>
                <w:tcPr>
                  <w:tcW w:w="1066" w:type="dxa"/>
                  <w:tcBorders>
                    <w:top w:val="single" w:color="000000" w:sz="4" w:space="0"/>
                    <w:left w:val="single" w:color="000000" w:sz="4" w:space="0"/>
                    <w:bottom w:val="single" w:color="000000" w:sz="4" w:space="0"/>
                    <w:right w:val="single" w:color="000000" w:sz="4" w:space="0"/>
                  </w:tcBorders>
                  <w:vAlign w:val="center"/>
                </w:tcPr>
                <w:p>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中间色表</w:t>
                  </w:r>
                </w:p>
              </w:tc>
              <w:tc>
                <w:tcPr>
                  <w:tcW w:w="1269" w:type="dxa"/>
                  <w:tcBorders>
                    <w:top w:val="single" w:color="000000" w:sz="4" w:space="0"/>
                    <w:left w:val="single" w:color="000000" w:sz="4" w:space="0"/>
                    <w:bottom w:val="single" w:color="000000" w:sz="4" w:space="0"/>
                    <w:right w:val="single" w:color="000000" w:sz="4" w:space="0"/>
                  </w:tcBorders>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3300</w:t>
                  </w:r>
                  <w:r>
                    <w:rPr>
                      <w:rFonts w:hint="eastAsia" w:ascii="宋体" w:hAnsi="宋体" w:eastAsia="仿宋_GB2312" w:cs="仿宋"/>
                      <w:kern w:val="2"/>
                      <w:szCs w:val="21"/>
                    </w:rPr>
                    <w:t>～</w:t>
                  </w:r>
                  <w:r>
                    <w:rPr>
                      <w:rFonts w:ascii="宋体" w:hAnsi="宋体" w:eastAsia="仿宋_GB2312" w:cs="仿宋"/>
                      <w:kern w:val="2"/>
                      <w:szCs w:val="21"/>
                    </w:rPr>
                    <w:t>4200K</w:t>
                  </w:r>
                </w:p>
              </w:tc>
              <w:tc>
                <w:tcPr>
                  <w:tcW w:w="707" w:type="dxa"/>
                  <w:tcBorders>
                    <w:top w:val="single" w:color="000000" w:sz="4" w:space="0"/>
                    <w:left w:val="single" w:color="000000" w:sz="4" w:space="0"/>
                    <w:bottom w:val="single" w:color="000000" w:sz="4" w:space="0"/>
                    <w:right w:val="single" w:color="000000" w:sz="4" w:space="0"/>
                  </w:tcBorders>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M</w:t>
                  </w: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pStyle w:val="190"/>
                    <w:kinsoku w:val="0"/>
                    <w:overflowPunct w:val="0"/>
                    <w:snapToGrid w:val="0"/>
                    <w:spacing w:line="260" w:lineRule="exact"/>
                    <w:jc w:val="center"/>
                    <w:rPr>
                      <w:rFonts w:ascii="宋体" w:hAnsi="宋体" w:eastAsia="仿宋_GB2312" w:cs="仿宋"/>
                      <w:kern w:val="2"/>
                      <w:szCs w:val="21"/>
                    </w:rPr>
                  </w:pPr>
                </w:p>
              </w:tc>
            </w:tr>
            <w:tr>
              <w:tblPrEx>
                <w:tblCellMar>
                  <w:top w:w="0" w:type="dxa"/>
                  <w:left w:w="0" w:type="dxa"/>
                  <w:bottom w:w="0" w:type="dxa"/>
                  <w:right w:w="0" w:type="dxa"/>
                </w:tblCellMar>
              </w:tblPrEx>
              <w:trPr>
                <w:trHeight w:val="633" w:hRule="exact"/>
                <w:jc w:val="center"/>
              </w:trPr>
              <w:tc>
                <w:tcPr>
                  <w:tcW w:w="1066" w:type="dxa"/>
                  <w:tcBorders>
                    <w:top w:val="single" w:color="000000" w:sz="4" w:space="0"/>
                    <w:left w:val="single" w:color="000000" w:sz="4" w:space="0"/>
                    <w:bottom w:val="single" w:color="000000" w:sz="4" w:space="0"/>
                    <w:right w:val="single" w:color="000000" w:sz="4" w:space="0"/>
                  </w:tcBorders>
                  <w:vAlign w:val="center"/>
                </w:tcPr>
                <w:p>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特殊色表</w:t>
                  </w:r>
                </w:p>
              </w:tc>
              <w:tc>
                <w:tcPr>
                  <w:tcW w:w="1269" w:type="dxa"/>
                  <w:tcBorders>
                    <w:top w:val="single" w:color="000000" w:sz="4" w:space="0"/>
                    <w:left w:val="single" w:color="000000" w:sz="4" w:space="0"/>
                    <w:bottom w:val="single" w:color="000000" w:sz="4" w:space="0"/>
                    <w:right w:val="single" w:color="000000" w:sz="4" w:space="0"/>
                  </w:tcBorders>
                  <w:vAlign w:val="center"/>
                </w:tcPr>
                <w:p>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w:t>
                  </w:r>
                  <w:r>
                    <w:rPr>
                      <w:rFonts w:ascii="宋体" w:hAnsi="宋体" w:eastAsia="仿宋_GB2312" w:cs="仿宋"/>
                      <w:kern w:val="2"/>
                      <w:szCs w:val="21"/>
                    </w:rPr>
                    <w:t>5500</w:t>
                  </w:r>
                </w:p>
              </w:tc>
              <w:tc>
                <w:tcPr>
                  <w:tcW w:w="1329" w:type="dxa"/>
                  <w:gridSpan w:val="2"/>
                  <w:tcBorders>
                    <w:top w:val="single" w:color="000000" w:sz="4" w:space="0"/>
                    <w:left w:val="single" w:color="000000" w:sz="4" w:space="0"/>
                    <w:bottom w:val="single" w:color="000000" w:sz="4" w:space="0"/>
                    <w:right w:val="single" w:color="000000" w:sz="4" w:space="0"/>
                  </w:tcBorders>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L</w:t>
                  </w:r>
                </w:p>
              </w:tc>
            </w:tr>
          </w:tbl>
          <w:p>
            <w:pPr>
              <w:pStyle w:val="210"/>
              <w:widowControl/>
              <w:adjustRightInd w:val="0"/>
              <w:snapToGrid w:val="0"/>
              <w:spacing w:line="260" w:lineRule="exact"/>
              <w:jc w:val="both"/>
              <w:rPr>
                <w:rFonts w:ascii="宋体" w:hAnsi="宋体" w:eastAsia="仿宋_GB2312" w:cs="仿宋"/>
                <w:sz w:val="24"/>
                <w:szCs w:val="21"/>
              </w:rPr>
            </w:pPr>
            <w:r>
              <w:rPr>
                <w:rFonts w:hint="eastAsia" w:ascii="宋体" w:hAnsi="宋体" w:eastAsia="仿宋_GB2312" w:cs="仿宋"/>
                <w:sz w:val="24"/>
                <w:szCs w:val="21"/>
              </w:rPr>
              <w:t xml:space="preserve">                                      </w:t>
            </w:r>
          </w:p>
          <w:p>
            <w:pPr>
              <w:pStyle w:val="210"/>
              <w:widowControl/>
              <w:adjustRightInd w:val="0"/>
              <w:snapToGrid w:val="0"/>
              <w:spacing w:line="260" w:lineRule="exact"/>
              <w:jc w:val="both"/>
              <w:rPr>
                <w:rFonts w:ascii="宋体" w:hAnsi="宋体" w:eastAsia="仿宋_GB2312" w:cs="仿宋"/>
                <w:sz w:val="24"/>
                <w:szCs w:val="21"/>
              </w:rPr>
            </w:pPr>
          </w:p>
        </w:tc>
        <w:tc>
          <w:tcPr>
            <w:tcW w:w="6557" w:type="dxa"/>
            <w:gridSpan w:val="14"/>
            <w:tcBorders>
              <w:top w:val="nil"/>
              <w:left w:val="nil"/>
              <w:bottom w:val="single" w:color="auto" w:sz="4" w:space="0"/>
              <w:right w:val="single" w:color="auto" w:sz="4" w:space="0"/>
            </w:tcBorders>
            <w:shd w:val="clear" w:color="auto" w:fill="auto"/>
            <w:tcMar>
              <w:top w:w="89" w:type="dxa"/>
              <w:left w:w="89" w:type="dxa"/>
              <w:bottom w:w="89" w:type="dxa"/>
              <w:right w:w="89" w:type="dxa"/>
            </w:tcMar>
          </w:tcPr>
          <w:p>
            <w:pPr>
              <w:pStyle w:val="210"/>
              <w:widowControl/>
              <w:adjustRightInd w:val="0"/>
              <w:snapToGrid w:val="0"/>
              <w:spacing w:line="260" w:lineRule="exact"/>
              <w:jc w:val="both"/>
              <w:rPr>
                <w:rFonts w:ascii="宋体" w:hAnsi="宋体" w:eastAsia="仿宋_GB2312" w:cs="仿宋"/>
                <w:sz w:val="24"/>
                <w:szCs w:val="21"/>
              </w:rPr>
            </w:pPr>
            <w:r>
              <w:rPr>
                <w:rFonts w:hint="eastAsia" w:ascii="宋体" w:hAnsi="宋体" w:eastAsia="仿宋_GB2312" w:cs="仿宋"/>
                <w:sz w:val="24"/>
                <w:szCs w:val="21"/>
              </w:rPr>
              <w:t>彩色光比例：</w:t>
            </w:r>
          </w:p>
          <w:tbl>
            <w:tblPr>
              <w:tblStyle w:val="90"/>
              <w:tblW w:w="3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光色不限</w:t>
                  </w:r>
                </w:p>
              </w:tc>
              <w:tc>
                <w:tcPr>
                  <w:tcW w:w="1425" w:type="dxa"/>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50%</w:t>
                  </w:r>
                  <w:r>
                    <w:rPr>
                      <w:rFonts w:hint="eastAsia" w:ascii="宋体" w:hAnsi="宋体" w:eastAsia="仿宋_GB2312" w:cs="仿宋"/>
                      <w:kern w:val="2"/>
                      <w:szCs w:val="21"/>
                    </w:rPr>
                    <w:t>局部彩光</w:t>
                  </w:r>
                </w:p>
              </w:tc>
              <w:tc>
                <w:tcPr>
                  <w:tcW w:w="1425" w:type="dxa"/>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30%</w:t>
                  </w:r>
                  <w:r>
                    <w:rPr>
                      <w:rFonts w:hint="eastAsia" w:ascii="宋体" w:hAnsi="宋体" w:eastAsia="仿宋_GB2312" w:cs="仿宋"/>
                      <w:kern w:val="2"/>
                      <w:szCs w:val="21"/>
                    </w:rPr>
                    <w:t>局部彩光</w:t>
                  </w:r>
                </w:p>
              </w:tc>
              <w:tc>
                <w:tcPr>
                  <w:tcW w:w="1425" w:type="dxa"/>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禁止彩光</w:t>
                  </w:r>
                </w:p>
              </w:tc>
              <w:tc>
                <w:tcPr>
                  <w:tcW w:w="1425" w:type="dxa"/>
                  <w:vAlign w:val="center"/>
                </w:tcPr>
                <w:p>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X</w:t>
                  </w:r>
                </w:p>
              </w:tc>
            </w:tr>
          </w:tbl>
          <w:p>
            <w:pPr>
              <w:pStyle w:val="210"/>
              <w:widowControl/>
              <w:adjustRightInd w:val="0"/>
              <w:snapToGrid w:val="0"/>
              <w:spacing w:line="260" w:lineRule="exact"/>
              <w:jc w:val="both"/>
              <w:rPr>
                <w:rFonts w:ascii="宋体" w:hAnsi="宋体" w:eastAsia="仿宋_GB2312" w:cs="仿宋"/>
                <w:sz w:val="24"/>
                <w:szCs w:val="21"/>
              </w:rPr>
            </w:pPr>
          </w:p>
        </w:tc>
      </w:tr>
      <w:bookmarkEnd w:id="684"/>
    </w:tbl>
    <w:p>
      <w:pPr>
        <w:rPr>
          <w:rFonts w:ascii="宋体" w:hAnsi="宋体" w:eastAsia="仿宋_GB2312"/>
          <w:sz w:val="24"/>
        </w:rPr>
        <w:sectPr>
          <w:pgSz w:w="16838" w:h="11906" w:orient="landscape"/>
          <w:pgMar w:top="1800" w:right="1440" w:bottom="1800" w:left="1440" w:header="850" w:footer="1587" w:gutter="0"/>
          <w:cols w:space="425" w:num="1"/>
          <w:titlePg/>
          <w:docGrid w:type="lines" w:linePitch="312" w:charSpace="0"/>
        </w:sectPr>
      </w:pPr>
    </w:p>
    <w:bookmarkEnd w:id="683"/>
    <w:p>
      <w:pPr>
        <w:pStyle w:val="205"/>
        <w:spacing w:before="0" w:beforeLines="0" w:after="0" w:afterLines="0"/>
        <w:rPr>
          <w:rFonts w:ascii="宋体" w:hAnsi="宋体"/>
          <w:bCs w:val="0"/>
          <w:sz w:val="24"/>
        </w:rPr>
      </w:pPr>
      <w:bookmarkStart w:id="685" w:name="_Hlk87456970"/>
      <w:r>
        <w:rPr>
          <w:rFonts w:hint="eastAsia" w:ascii="宋体" w:hAnsi="宋体"/>
          <w:bCs w:val="0"/>
          <w:sz w:val="24"/>
        </w:rPr>
        <w:t>表13—10建（构）筑物景观照明动态效果控制指引</w:t>
      </w:r>
    </w:p>
    <w:tbl>
      <w:tblPr>
        <w:tblStyle w:val="89"/>
        <w:tblpPr w:leftFromText="181" w:rightFromText="181" w:vertAnchor="text" w:horzAnchor="page" w:tblpX="1486" w:tblpY="114"/>
        <w:tblOverlap w:val="never"/>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22"/>
        <w:gridCol w:w="487"/>
        <w:gridCol w:w="488"/>
        <w:gridCol w:w="488"/>
        <w:gridCol w:w="480"/>
        <w:gridCol w:w="494"/>
        <w:gridCol w:w="483"/>
        <w:gridCol w:w="477"/>
        <w:gridCol w:w="483"/>
        <w:gridCol w:w="505"/>
        <w:gridCol w:w="485"/>
        <w:gridCol w:w="494"/>
        <w:gridCol w:w="485"/>
        <w:gridCol w:w="485"/>
        <w:gridCol w:w="480"/>
        <w:gridCol w:w="508"/>
        <w:gridCol w:w="471"/>
        <w:gridCol w:w="491"/>
        <w:gridCol w:w="497"/>
        <w:gridCol w:w="483"/>
        <w:gridCol w:w="485"/>
        <w:gridCol w:w="497"/>
        <w:gridCol w:w="483"/>
        <w:gridCol w:w="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照明分区</w:t>
            </w:r>
          </w:p>
        </w:tc>
        <w:tc>
          <w:tcPr>
            <w:tcW w:w="2437" w:type="dxa"/>
            <w:gridSpan w:val="5"/>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特殊重要性标志性建筑</w:t>
            </w:r>
          </w:p>
        </w:tc>
        <w:tc>
          <w:tcPr>
            <w:tcW w:w="2927" w:type="dxa"/>
            <w:gridSpan w:val="6"/>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高度较高、体量较大、形成天际轮廓线</w:t>
            </w:r>
          </w:p>
        </w:tc>
        <w:tc>
          <w:tcPr>
            <w:tcW w:w="2920" w:type="dxa"/>
            <w:gridSpan w:val="6"/>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体量较大、形成城市空间连续界面</w:t>
            </w:r>
          </w:p>
        </w:tc>
        <w:tc>
          <w:tcPr>
            <w:tcW w:w="2942" w:type="dxa"/>
            <w:gridSpan w:val="6"/>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体量不突出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vMerge w:val="continue"/>
            <w:shd w:val="clear" w:color="auto" w:fill="auto"/>
            <w:vAlign w:val="center"/>
          </w:tcPr>
          <w:p>
            <w:pPr>
              <w:pStyle w:val="190"/>
              <w:kinsoku w:val="0"/>
              <w:overflowPunct w:val="0"/>
              <w:spacing w:line="260" w:lineRule="exact"/>
              <w:jc w:val="center"/>
              <w:rPr>
                <w:rFonts w:ascii="宋体" w:hAnsi="宋体" w:eastAsia="仿宋_GB2312" w:cs="仿宋"/>
                <w:szCs w:val="21"/>
              </w:rPr>
            </w:pPr>
          </w:p>
        </w:tc>
        <w:tc>
          <w:tcPr>
            <w:tcW w:w="1463" w:type="dxa"/>
            <w:gridSpan w:val="3"/>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0"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4"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48" w:type="dxa"/>
            <w:gridSpan w:val="4"/>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5"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4"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58" w:type="dxa"/>
            <w:gridSpan w:val="4"/>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71"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1"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62" w:type="dxa"/>
            <w:gridSpan w:val="4"/>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3"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7" w:type="dxa"/>
            <w:vMerge w:val="restart"/>
            <w:shd w:val="clear" w:color="auto" w:fill="auto"/>
            <w:tcMar>
              <w:top w:w="89" w:type="dxa"/>
              <w:left w:w="89" w:type="dxa"/>
              <w:bottom w:w="89" w:type="dxa"/>
              <w:right w:w="89" w:type="dxa"/>
            </w:tcMar>
            <w:vAlign w:val="center"/>
          </w:tcPr>
          <w:p>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2722" w:type="dxa"/>
            <w:vMerge w:val="continue"/>
            <w:shd w:val="clear" w:color="auto" w:fill="auto"/>
            <w:vAlign w:val="center"/>
          </w:tcPr>
          <w:p>
            <w:pPr>
              <w:pStyle w:val="210"/>
              <w:widowControl/>
              <w:adjustRightInd w:val="0"/>
              <w:snapToGrid w:val="0"/>
              <w:spacing w:line="300" w:lineRule="exact"/>
              <w:textAlignment w:val="baseline"/>
              <w:rPr>
                <w:rFonts w:ascii="宋体" w:hAnsi="宋体" w:eastAsia="仿宋_GB2312"/>
                <w:sz w:val="24"/>
              </w:rPr>
            </w:pPr>
          </w:p>
        </w:tc>
        <w:tc>
          <w:tcPr>
            <w:tcW w:w="487"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低层</w:t>
            </w:r>
          </w:p>
        </w:tc>
        <w:tc>
          <w:tcPr>
            <w:tcW w:w="488"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中层</w:t>
            </w:r>
          </w:p>
        </w:tc>
        <w:tc>
          <w:tcPr>
            <w:tcW w:w="488"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高层</w:t>
            </w:r>
          </w:p>
        </w:tc>
        <w:tc>
          <w:tcPr>
            <w:tcW w:w="480" w:type="dxa"/>
            <w:vMerge w:val="continue"/>
            <w:shd w:val="clear" w:color="auto" w:fill="auto"/>
            <w:vAlign w:val="center"/>
          </w:tcPr>
          <w:p>
            <w:pPr>
              <w:pStyle w:val="190"/>
              <w:kinsoku w:val="0"/>
              <w:overflowPunct w:val="0"/>
              <w:spacing w:line="300" w:lineRule="exact"/>
              <w:jc w:val="center"/>
              <w:rPr>
                <w:rFonts w:ascii="宋体" w:hAnsi="宋体" w:eastAsia="仿宋_GB2312" w:cs="仿宋"/>
                <w:szCs w:val="21"/>
              </w:rPr>
            </w:pPr>
          </w:p>
        </w:tc>
        <w:tc>
          <w:tcPr>
            <w:tcW w:w="494" w:type="dxa"/>
            <w:vMerge w:val="continue"/>
            <w:shd w:val="clear" w:color="auto" w:fill="auto"/>
            <w:vAlign w:val="center"/>
          </w:tcPr>
          <w:p>
            <w:pPr>
              <w:pStyle w:val="190"/>
              <w:kinsoku w:val="0"/>
              <w:overflowPunct w:val="0"/>
              <w:spacing w:line="300" w:lineRule="exact"/>
              <w:jc w:val="center"/>
              <w:rPr>
                <w:rFonts w:ascii="宋体" w:hAnsi="宋体" w:eastAsia="仿宋_GB2312" w:cs="仿宋"/>
                <w:szCs w:val="21"/>
              </w:rPr>
            </w:pPr>
          </w:p>
        </w:tc>
        <w:tc>
          <w:tcPr>
            <w:tcW w:w="483"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政务</w:t>
            </w:r>
          </w:p>
        </w:tc>
        <w:tc>
          <w:tcPr>
            <w:tcW w:w="477"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文化</w:t>
            </w:r>
          </w:p>
        </w:tc>
        <w:tc>
          <w:tcPr>
            <w:tcW w:w="483"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商业</w:t>
            </w:r>
          </w:p>
        </w:tc>
        <w:tc>
          <w:tcPr>
            <w:tcW w:w="505"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商务</w:t>
            </w:r>
          </w:p>
        </w:tc>
        <w:tc>
          <w:tcPr>
            <w:tcW w:w="485" w:type="dxa"/>
            <w:vMerge w:val="continue"/>
            <w:shd w:val="clear" w:color="auto" w:fill="auto"/>
            <w:vAlign w:val="center"/>
          </w:tcPr>
          <w:p>
            <w:pPr>
              <w:pStyle w:val="190"/>
              <w:kinsoku w:val="0"/>
              <w:overflowPunct w:val="0"/>
              <w:spacing w:line="300" w:lineRule="exact"/>
              <w:jc w:val="center"/>
              <w:rPr>
                <w:rFonts w:ascii="宋体" w:hAnsi="宋体" w:eastAsia="仿宋_GB2312" w:cs="仿宋"/>
                <w:szCs w:val="21"/>
              </w:rPr>
            </w:pPr>
          </w:p>
        </w:tc>
        <w:tc>
          <w:tcPr>
            <w:tcW w:w="494" w:type="dxa"/>
            <w:vMerge w:val="continue"/>
            <w:shd w:val="clear" w:color="auto" w:fill="auto"/>
            <w:vAlign w:val="center"/>
          </w:tcPr>
          <w:p>
            <w:pPr>
              <w:pStyle w:val="190"/>
              <w:kinsoku w:val="0"/>
              <w:overflowPunct w:val="0"/>
              <w:spacing w:line="300" w:lineRule="exact"/>
              <w:jc w:val="center"/>
              <w:rPr>
                <w:rFonts w:ascii="宋体" w:hAnsi="宋体" w:eastAsia="仿宋_GB2312" w:cs="仿宋"/>
                <w:szCs w:val="21"/>
              </w:rPr>
            </w:pPr>
          </w:p>
        </w:tc>
        <w:tc>
          <w:tcPr>
            <w:tcW w:w="485"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政务</w:t>
            </w:r>
          </w:p>
        </w:tc>
        <w:tc>
          <w:tcPr>
            <w:tcW w:w="485"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文化</w:t>
            </w:r>
          </w:p>
        </w:tc>
        <w:tc>
          <w:tcPr>
            <w:tcW w:w="480"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商业</w:t>
            </w:r>
          </w:p>
        </w:tc>
        <w:tc>
          <w:tcPr>
            <w:tcW w:w="508"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商务</w:t>
            </w:r>
          </w:p>
        </w:tc>
        <w:tc>
          <w:tcPr>
            <w:tcW w:w="471" w:type="dxa"/>
            <w:vMerge w:val="continue"/>
            <w:shd w:val="clear" w:color="auto" w:fill="auto"/>
            <w:vAlign w:val="center"/>
          </w:tcPr>
          <w:p>
            <w:pPr>
              <w:pStyle w:val="190"/>
              <w:kinsoku w:val="0"/>
              <w:overflowPunct w:val="0"/>
              <w:spacing w:line="300" w:lineRule="exact"/>
              <w:jc w:val="center"/>
              <w:rPr>
                <w:rFonts w:ascii="宋体" w:hAnsi="宋体" w:eastAsia="仿宋_GB2312" w:cs="仿宋"/>
                <w:szCs w:val="21"/>
              </w:rPr>
            </w:pPr>
          </w:p>
        </w:tc>
        <w:tc>
          <w:tcPr>
            <w:tcW w:w="491" w:type="dxa"/>
            <w:vMerge w:val="continue"/>
            <w:shd w:val="clear" w:color="auto" w:fill="auto"/>
            <w:vAlign w:val="center"/>
          </w:tcPr>
          <w:p>
            <w:pPr>
              <w:pStyle w:val="190"/>
              <w:kinsoku w:val="0"/>
              <w:overflowPunct w:val="0"/>
              <w:spacing w:line="300" w:lineRule="exact"/>
              <w:jc w:val="center"/>
              <w:rPr>
                <w:rFonts w:ascii="宋体" w:hAnsi="宋体" w:eastAsia="仿宋_GB2312" w:cs="仿宋"/>
                <w:szCs w:val="21"/>
              </w:rPr>
            </w:pPr>
          </w:p>
        </w:tc>
        <w:tc>
          <w:tcPr>
            <w:tcW w:w="497"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政务</w:t>
            </w:r>
          </w:p>
        </w:tc>
        <w:tc>
          <w:tcPr>
            <w:tcW w:w="483"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文化</w:t>
            </w:r>
          </w:p>
        </w:tc>
        <w:tc>
          <w:tcPr>
            <w:tcW w:w="485"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商业</w:t>
            </w:r>
          </w:p>
        </w:tc>
        <w:tc>
          <w:tcPr>
            <w:tcW w:w="497" w:type="dxa"/>
            <w:shd w:val="clear" w:color="auto" w:fill="auto"/>
            <w:tcMar>
              <w:top w:w="89" w:type="dxa"/>
              <w:left w:w="89" w:type="dxa"/>
              <w:bottom w:w="89" w:type="dxa"/>
              <w:right w:w="89" w:type="dxa"/>
            </w:tcMar>
            <w:vAlign w:val="center"/>
          </w:tcPr>
          <w:p>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商务</w:t>
            </w:r>
          </w:p>
        </w:tc>
        <w:tc>
          <w:tcPr>
            <w:tcW w:w="483" w:type="dxa"/>
            <w:vMerge w:val="continue"/>
            <w:shd w:val="clear" w:color="auto" w:fill="auto"/>
            <w:vAlign w:val="center"/>
          </w:tcPr>
          <w:p>
            <w:pPr>
              <w:pStyle w:val="210"/>
              <w:widowControl/>
              <w:adjustRightInd w:val="0"/>
              <w:snapToGrid w:val="0"/>
              <w:spacing w:line="300" w:lineRule="exact"/>
              <w:textAlignment w:val="baseline"/>
              <w:rPr>
                <w:rFonts w:ascii="宋体" w:hAnsi="宋体" w:eastAsia="仿宋_GB2312"/>
                <w:sz w:val="24"/>
              </w:rPr>
            </w:pPr>
          </w:p>
        </w:tc>
        <w:tc>
          <w:tcPr>
            <w:tcW w:w="497" w:type="dxa"/>
            <w:vMerge w:val="continue"/>
            <w:shd w:val="clear" w:color="auto" w:fill="auto"/>
            <w:vAlign w:val="center"/>
          </w:tcPr>
          <w:p>
            <w:pPr>
              <w:pStyle w:val="210"/>
              <w:widowControl/>
              <w:adjustRightInd w:val="0"/>
              <w:snapToGrid w:val="0"/>
              <w:spacing w:line="300" w:lineRule="exact"/>
              <w:textAlignment w:val="baseline"/>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shd w:val="clear" w:color="auto" w:fill="auto"/>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（重大节日模式）</w:t>
            </w:r>
          </w:p>
        </w:tc>
        <w:tc>
          <w:tcPr>
            <w:tcW w:w="48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1"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1" w:type="dxa"/>
            <w:shd w:val="clear" w:color="auto" w:fill="auto"/>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shd w:val="clear" w:color="auto" w:fill="auto"/>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（节日—平日模式）</w:t>
            </w:r>
          </w:p>
        </w:tc>
        <w:tc>
          <w:tcPr>
            <w:tcW w:w="48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1"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1" w:type="dxa"/>
            <w:shd w:val="clear" w:color="auto" w:fill="auto"/>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一类照明区</w:t>
            </w:r>
          </w:p>
        </w:tc>
        <w:tc>
          <w:tcPr>
            <w:tcW w:w="48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9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9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S</w:t>
            </w:r>
          </w:p>
        </w:tc>
        <w:tc>
          <w:tcPr>
            <w:tcW w:w="50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S</w:t>
            </w:r>
          </w:p>
        </w:tc>
        <w:tc>
          <w:tcPr>
            <w:tcW w:w="47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二类照明区</w:t>
            </w:r>
          </w:p>
        </w:tc>
        <w:tc>
          <w:tcPr>
            <w:tcW w:w="48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7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50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50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7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三类照明区</w:t>
            </w:r>
          </w:p>
        </w:tc>
        <w:tc>
          <w:tcPr>
            <w:tcW w:w="48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7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50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50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7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四类照明区</w:t>
            </w:r>
          </w:p>
        </w:tc>
        <w:tc>
          <w:tcPr>
            <w:tcW w:w="48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7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50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50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7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948" w:type="dxa"/>
            <w:gridSpan w:val="24"/>
            <w:shd w:val="clear" w:color="auto" w:fill="auto"/>
            <w:tcMar>
              <w:top w:w="89" w:type="dxa"/>
              <w:left w:w="89" w:type="dxa"/>
              <w:bottom w:w="89" w:type="dxa"/>
              <w:right w:w="89" w:type="dxa"/>
            </w:tcMar>
            <w:vAlign w:val="center"/>
          </w:tcPr>
          <w:p>
            <w:pPr>
              <w:pStyle w:val="174"/>
              <w:snapToGrid w:val="0"/>
              <w:spacing w:line="260" w:lineRule="exact"/>
              <w:jc w:val="left"/>
              <w:rPr>
                <w:rFonts w:ascii="宋体" w:hAnsi="宋体" w:eastAsia="仿宋_GB2312" w:cs="仿宋"/>
                <w:sz w:val="24"/>
                <w:szCs w:val="21"/>
              </w:rPr>
            </w:pPr>
            <w:r>
              <w:rPr>
                <w:rFonts w:hint="eastAsia" w:ascii="宋体" w:hAnsi="宋体" w:eastAsia="仿宋_GB2312" w:cs="仿宋"/>
                <w:sz w:val="24"/>
                <w:szCs w:val="21"/>
              </w:rPr>
              <w:t>注：</w:t>
            </w:r>
            <w:r>
              <w:rPr>
                <w:rFonts w:ascii="宋体" w:hAnsi="宋体" w:eastAsia="仿宋_GB2312" w:cs="仿宋"/>
                <w:sz w:val="24"/>
                <w:szCs w:val="21"/>
              </w:rPr>
              <w:t>动态不限</w:t>
            </w:r>
            <w:r>
              <w:rPr>
                <w:rFonts w:hint="eastAsia" w:ascii="宋体" w:hAnsi="宋体" w:eastAsia="仿宋_GB2312" w:cs="仿宋"/>
                <w:sz w:val="24"/>
                <w:szCs w:val="21"/>
              </w:rPr>
              <w:t>—</w:t>
            </w:r>
            <w:r>
              <w:rPr>
                <w:rFonts w:ascii="宋体" w:hAnsi="宋体" w:eastAsia="仿宋_GB2312" w:cs="仿宋"/>
                <w:sz w:val="24"/>
                <w:szCs w:val="21"/>
              </w:rPr>
              <w:t xml:space="preserve">S   </w:t>
            </w:r>
            <w:r>
              <w:rPr>
                <w:rFonts w:hint="eastAsia" w:ascii="宋体" w:hAnsi="宋体" w:eastAsia="仿宋_GB2312" w:cs="仿宋"/>
                <w:sz w:val="24"/>
                <w:szCs w:val="21"/>
              </w:rPr>
              <w:t>禁止剧烈动态—</w:t>
            </w:r>
            <w:r>
              <w:rPr>
                <w:rFonts w:ascii="宋体" w:hAnsi="宋体" w:eastAsia="仿宋_GB2312" w:cs="仿宋"/>
                <w:sz w:val="24"/>
                <w:szCs w:val="21"/>
              </w:rPr>
              <w:t xml:space="preserve">R   </w:t>
            </w:r>
            <w:r>
              <w:rPr>
                <w:rFonts w:hint="eastAsia" w:ascii="宋体" w:hAnsi="宋体" w:eastAsia="仿宋_GB2312" w:cs="仿宋"/>
                <w:sz w:val="24"/>
                <w:szCs w:val="21"/>
              </w:rPr>
              <w:t>禁止动态F</w:t>
            </w:r>
            <w:r>
              <w:rPr>
                <w:rFonts w:ascii="宋体" w:hAnsi="宋体" w:eastAsia="仿宋_GB2312" w:cs="仿宋"/>
                <w:sz w:val="24"/>
                <w:szCs w:val="21"/>
              </w:rPr>
              <w:t xml:space="preserve">  </w:t>
            </w:r>
            <w:r>
              <w:rPr>
                <w:rFonts w:hint="eastAsia" w:ascii="宋体" w:hAnsi="宋体" w:eastAsia="仿宋_GB2312" w:cs="仿宋"/>
                <w:sz w:val="24"/>
                <w:szCs w:val="21"/>
              </w:rPr>
              <w:t>禁止照明—</w:t>
            </w:r>
            <w:r>
              <w:rPr>
                <w:rFonts w:ascii="宋体" w:hAnsi="宋体" w:eastAsia="仿宋_GB2312" w:cs="仿宋"/>
                <w:sz w:val="24"/>
                <w:szCs w:val="21"/>
              </w:rPr>
              <w:t>/</w:t>
            </w:r>
          </w:p>
          <w:p>
            <w:pPr>
              <w:widowControl/>
              <w:adjustRightInd w:val="0"/>
              <w:snapToGrid w:val="0"/>
              <w:spacing w:line="260" w:lineRule="exact"/>
              <w:jc w:val="left"/>
              <w:textAlignment w:val="baseline"/>
              <w:rPr>
                <w:rFonts w:ascii="宋体" w:hAnsi="宋体" w:eastAsia="仿宋_GB2312" w:cs="仿宋"/>
                <w:sz w:val="24"/>
                <w:szCs w:val="21"/>
              </w:rPr>
            </w:pPr>
            <w:r>
              <w:rPr>
                <w:rFonts w:hint="eastAsia" w:ascii="宋体" w:hAnsi="宋体" w:eastAsia="仿宋_GB2312" w:cs="仿宋"/>
                <w:sz w:val="24"/>
                <w:szCs w:val="21"/>
              </w:rPr>
              <w:t>建筑分类规则应符合</w:t>
            </w:r>
            <w:r>
              <w:rPr>
                <w:rFonts w:ascii="宋体" w:hAnsi="宋体" w:eastAsia="仿宋_GB2312" w:cs="仿宋"/>
                <w:sz w:val="24"/>
                <w:szCs w:val="21"/>
              </w:rPr>
              <w:t>《</w:t>
            </w:r>
            <w:r>
              <w:fldChar w:fldCharType="begin"/>
            </w:r>
            <w:r>
              <w:instrText xml:space="preserve"> HYPERLINK "https://baike.baidu.com/item/%E6%B0%91%E7%94%A8%E5%BB%BA%E7%AD%91%E8%AE%BE%E8%AE%A1%E9%80%9A%E5%88%99/6197758" \t "_blank" </w:instrText>
            </w:r>
            <w:r>
              <w:fldChar w:fldCharType="separate"/>
            </w:r>
            <w:r>
              <w:rPr>
                <w:rFonts w:ascii="宋体" w:hAnsi="宋体" w:eastAsia="仿宋_GB2312" w:cs="仿宋"/>
                <w:sz w:val="24"/>
                <w:szCs w:val="21"/>
              </w:rPr>
              <w:t>民用建筑设计通则</w:t>
            </w:r>
            <w:r>
              <w:rPr>
                <w:rFonts w:ascii="宋体" w:hAnsi="宋体" w:eastAsia="仿宋_GB2312" w:cs="仿宋"/>
                <w:sz w:val="24"/>
                <w:szCs w:val="21"/>
              </w:rPr>
              <w:fldChar w:fldCharType="end"/>
            </w:r>
            <w:r>
              <w:rPr>
                <w:rFonts w:ascii="宋体" w:hAnsi="宋体" w:eastAsia="仿宋_GB2312" w:cs="仿宋"/>
                <w:sz w:val="24"/>
                <w:szCs w:val="21"/>
              </w:rPr>
              <w:t>》GB50352—2005</w:t>
            </w:r>
            <w:r>
              <w:rPr>
                <w:rFonts w:hint="eastAsia" w:ascii="宋体" w:hAnsi="宋体" w:eastAsia="仿宋_GB2312" w:cs="仿宋"/>
                <w:sz w:val="24"/>
                <w:szCs w:val="21"/>
              </w:rPr>
              <w:t>中相关规定。</w:t>
            </w:r>
          </w:p>
        </w:tc>
      </w:tr>
    </w:tbl>
    <w:p>
      <w:pPr>
        <w:rPr>
          <w:rFonts w:ascii="宋体" w:hAnsi="宋体" w:eastAsia="仿宋_GB2312"/>
          <w:sz w:val="24"/>
        </w:rPr>
      </w:pPr>
    </w:p>
    <w:p>
      <w:pPr>
        <w:rPr>
          <w:rFonts w:ascii="宋体" w:hAnsi="宋体" w:eastAsia="仿宋_GB2312"/>
          <w:sz w:val="24"/>
        </w:rPr>
      </w:pPr>
    </w:p>
    <w:p>
      <w:pPr>
        <w:rPr>
          <w:rFonts w:ascii="宋体" w:hAnsi="宋体" w:eastAsia="仿宋_GB2312"/>
          <w:sz w:val="24"/>
        </w:rPr>
      </w:pPr>
    </w:p>
    <w:bookmarkEnd w:id="685"/>
    <w:p>
      <w:pPr>
        <w:rPr>
          <w:rFonts w:ascii="宋体" w:hAnsi="宋体" w:eastAsia="仿宋_GB2312"/>
          <w:sz w:val="24"/>
        </w:rPr>
      </w:pPr>
    </w:p>
    <w:p>
      <w:pPr>
        <w:rPr>
          <w:rFonts w:ascii="宋体" w:hAnsi="宋体" w:eastAsia="仿宋_GB2312"/>
          <w:sz w:val="24"/>
        </w:rPr>
        <w:sectPr>
          <w:pgSz w:w="16838" w:h="11906" w:orient="landscape"/>
          <w:pgMar w:top="1797" w:right="1440" w:bottom="1797" w:left="1440" w:header="851" w:footer="1587" w:gutter="0"/>
          <w:cols w:space="425" w:num="1"/>
          <w:titlePg/>
          <w:docGrid w:type="lines" w:linePitch="312" w:charSpace="0"/>
        </w:sectPr>
      </w:pPr>
    </w:p>
    <w:p>
      <w:pPr>
        <w:pStyle w:val="205"/>
        <w:spacing w:before="156" w:after="156" w:line="240" w:lineRule="atLeast"/>
        <w:rPr>
          <w:rFonts w:ascii="宋体" w:hAnsi="宋体"/>
          <w:bCs w:val="0"/>
          <w:sz w:val="24"/>
        </w:rPr>
      </w:pPr>
      <w:bookmarkStart w:id="686" w:name="_Hlk87456994"/>
      <w:r>
        <w:rPr>
          <w:rFonts w:hint="eastAsia" w:ascii="宋体" w:hAnsi="宋体"/>
          <w:bCs w:val="0"/>
          <w:sz w:val="24"/>
        </w:rPr>
        <w:t>表13—11</w:t>
      </w:r>
      <w:r>
        <w:rPr>
          <w:rFonts w:ascii="宋体" w:hAnsi="宋体"/>
          <w:bCs w:val="0"/>
          <w:sz w:val="24"/>
        </w:rPr>
        <w:t xml:space="preserve"> </w:t>
      </w:r>
      <w:r>
        <w:rPr>
          <w:rFonts w:hint="eastAsia" w:ascii="宋体" w:hAnsi="宋体"/>
          <w:bCs w:val="0"/>
          <w:sz w:val="24"/>
        </w:rPr>
        <w:t>建（构）筑物景观照明开启时段控制表</w:t>
      </w:r>
    </w:p>
    <w:tbl>
      <w:tblPr>
        <w:tblStyle w:val="89"/>
        <w:tblW w:w="13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4"/>
        <w:gridCol w:w="554"/>
        <w:gridCol w:w="554"/>
        <w:gridCol w:w="554"/>
        <w:gridCol w:w="554"/>
        <w:gridCol w:w="554"/>
        <w:gridCol w:w="557"/>
        <w:gridCol w:w="554"/>
        <w:gridCol w:w="554"/>
        <w:gridCol w:w="555"/>
        <w:gridCol w:w="569"/>
        <w:gridCol w:w="558"/>
        <w:gridCol w:w="558"/>
        <w:gridCol w:w="558"/>
        <w:gridCol w:w="558"/>
        <w:gridCol w:w="558"/>
        <w:gridCol w:w="569"/>
        <w:gridCol w:w="558"/>
        <w:gridCol w:w="558"/>
        <w:gridCol w:w="558"/>
        <w:gridCol w:w="558"/>
        <w:gridCol w:w="558"/>
        <w:gridCol w:w="569"/>
        <w:gridCol w:w="558"/>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54"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照明分区</w:t>
            </w:r>
          </w:p>
        </w:tc>
        <w:tc>
          <w:tcPr>
            <w:tcW w:w="554"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所属区域</w:t>
            </w:r>
          </w:p>
        </w:tc>
        <w:tc>
          <w:tcPr>
            <w:tcW w:w="2773" w:type="dxa"/>
            <w:gridSpan w:val="5"/>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特殊重要性标志性建筑</w:t>
            </w:r>
          </w:p>
        </w:tc>
        <w:tc>
          <w:tcPr>
            <w:tcW w:w="3348" w:type="dxa"/>
            <w:gridSpan w:val="6"/>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高度较高、体量较大、形成天际轮廓线</w:t>
            </w:r>
          </w:p>
        </w:tc>
        <w:tc>
          <w:tcPr>
            <w:tcW w:w="3359" w:type="dxa"/>
            <w:gridSpan w:val="6"/>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体量较大、形成城市空间连续界面</w:t>
            </w:r>
          </w:p>
        </w:tc>
        <w:tc>
          <w:tcPr>
            <w:tcW w:w="3350" w:type="dxa"/>
            <w:gridSpan w:val="6"/>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体量不突出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54" w:type="dxa"/>
            <w:vMerge w:val="continue"/>
            <w:shd w:val="clear" w:color="auto" w:fill="auto"/>
            <w:vAlign w:val="center"/>
          </w:tcPr>
          <w:p>
            <w:pPr>
              <w:pStyle w:val="210"/>
              <w:widowControl/>
              <w:adjustRightInd w:val="0"/>
              <w:snapToGrid w:val="0"/>
              <w:spacing w:line="260" w:lineRule="exact"/>
              <w:textAlignment w:val="baseline"/>
              <w:rPr>
                <w:rFonts w:ascii="宋体" w:hAnsi="宋体" w:eastAsia="仿宋_GB2312"/>
                <w:sz w:val="24"/>
              </w:rPr>
            </w:pPr>
          </w:p>
        </w:tc>
        <w:tc>
          <w:tcPr>
            <w:tcW w:w="55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p>
        </w:tc>
        <w:tc>
          <w:tcPr>
            <w:tcW w:w="1662" w:type="dxa"/>
            <w:gridSpan w:val="3"/>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4"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57"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c>
          <w:tcPr>
            <w:tcW w:w="2232" w:type="dxa"/>
            <w:gridSpan w:val="4"/>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8"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58"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c>
          <w:tcPr>
            <w:tcW w:w="2243" w:type="dxa"/>
            <w:gridSpan w:val="4"/>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8"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58"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c>
          <w:tcPr>
            <w:tcW w:w="2243" w:type="dxa"/>
            <w:gridSpan w:val="4"/>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8"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49" w:type="dxa"/>
            <w:vMerge w:val="restart"/>
            <w:shd w:val="clear" w:color="auto" w:fill="auto"/>
            <w:tcMar>
              <w:top w:w="89" w:type="dxa"/>
              <w:left w:w="89" w:type="dxa"/>
              <w:bottom w:w="89" w:type="dxa"/>
              <w:right w:w="89" w:type="dxa"/>
            </w:tcMar>
            <w:vAlign w:val="center"/>
          </w:tcPr>
          <w:p>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54"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c>
          <w:tcPr>
            <w:tcW w:w="554" w:type="dxa"/>
            <w:vMerge w:val="continue"/>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sz w:val="24"/>
              </w:rPr>
            </w:pPr>
          </w:p>
        </w:tc>
        <w:tc>
          <w:tcPr>
            <w:tcW w:w="554" w:type="dxa"/>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sz w:val="24"/>
              </w:rPr>
            </w:pPr>
            <w:r>
              <w:rPr>
                <w:rFonts w:hint="eastAsia" w:ascii="宋体" w:hAnsi="宋体" w:eastAsia="仿宋_GB2312"/>
                <w:sz w:val="24"/>
              </w:rPr>
              <w:t>低层</w:t>
            </w:r>
          </w:p>
        </w:tc>
        <w:tc>
          <w:tcPr>
            <w:tcW w:w="554" w:type="dxa"/>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sz w:val="24"/>
              </w:rPr>
            </w:pPr>
            <w:r>
              <w:rPr>
                <w:rFonts w:hint="eastAsia" w:ascii="宋体" w:hAnsi="宋体" w:eastAsia="仿宋_GB2312"/>
                <w:sz w:val="24"/>
              </w:rPr>
              <w:t>中层</w:t>
            </w:r>
          </w:p>
        </w:tc>
        <w:tc>
          <w:tcPr>
            <w:tcW w:w="554" w:type="dxa"/>
            <w:shd w:val="clear" w:color="auto" w:fill="auto"/>
            <w:tcMar>
              <w:top w:w="89" w:type="dxa"/>
              <w:left w:w="89" w:type="dxa"/>
              <w:bottom w:w="89" w:type="dxa"/>
              <w:right w:w="89" w:type="dxa"/>
            </w:tcMar>
            <w:vAlign w:val="center"/>
          </w:tcPr>
          <w:p>
            <w:pPr>
              <w:pStyle w:val="210"/>
              <w:widowControl/>
              <w:adjustRightInd w:val="0"/>
              <w:snapToGrid w:val="0"/>
              <w:spacing w:line="240" w:lineRule="exact"/>
              <w:textAlignment w:val="baseline"/>
              <w:rPr>
                <w:rFonts w:ascii="宋体" w:hAnsi="宋体" w:eastAsia="仿宋_GB2312"/>
                <w:sz w:val="24"/>
              </w:rPr>
            </w:pPr>
            <w:r>
              <w:rPr>
                <w:rFonts w:hint="eastAsia" w:ascii="宋体" w:hAnsi="宋体" w:eastAsia="仿宋_GB2312"/>
                <w:sz w:val="24"/>
              </w:rPr>
              <w:t>高层</w:t>
            </w:r>
          </w:p>
        </w:tc>
        <w:tc>
          <w:tcPr>
            <w:tcW w:w="554"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c>
          <w:tcPr>
            <w:tcW w:w="557"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政务</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文化</w:t>
            </w:r>
          </w:p>
        </w:tc>
        <w:tc>
          <w:tcPr>
            <w:tcW w:w="55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商业</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lang w:bidi="ar"/>
              </w:rPr>
              <w:t>商务</w:t>
            </w:r>
          </w:p>
        </w:tc>
        <w:tc>
          <w:tcPr>
            <w:tcW w:w="558"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c>
          <w:tcPr>
            <w:tcW w:w="558"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政务</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文化</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商业</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lang w:bidi="ar"/>
              </w:rPr>
              <w:t>商务</w:t>
            </w:r>
          </w:p>
        </w:tc>
        <w:tc>
          <w:tcPr>
            <w:tcW w:w="558"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c>
          <w:tcPr>
            <w:tcW w:w="558"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政务</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文化</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商业</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lang w:bidi="ar"/>
              </w:rPr>
              <w:t>商务</w:t>
            </w:r>
          </w:p>
        </w:tc>
        <w:tc>
          <w:tcPr>
            <w:tcW w:w="558"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c>
          <w:tcPr>
            <w:tcW w:w="549" w:type="dxa"/>
            <w:vMerge w:val="continue"/>
            <w:shd w:val="clear" w:color="auto" w:fill="auto"/>
            <w:vAlign w:val="center"/>
          </w:tcPr>
          <w:p>
            <w:pPr>
              <w:pStyle w:val="210"/>
              <w:widowControl/>
              <w:adjustRightInd w:val="0"/>
              <w:snapToGrid w:val="0"/>
              <w:spacing w:line="240" w:lineRule="exact"/>
              <w:textAlignment w:val="baseline"/>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主要管控范围</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7"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49"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7"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49"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vAlign w:val="center"/>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一类照明区</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7"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49"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二类照明区</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7"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49"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三类照明区</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7"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49"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tcPr>
          <w:p>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四类照明区</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7"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5"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69" w:type="dxa"/>
            <w:shd w:val="clear" w:color="auto" w:fill="auto"/>
            <w:tcMar>
              <w:top w:w="89" w:type="dxa"/>
              <w:left w:w="89" w:type="dxa"/>
              <w:bottom w:w="89" w:type="dxa"/>
              <w:right w:w="89" w:type="dxa"/>
            </w:tcMar>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49" w:type="dxa"/>
            <w:shd w:val="clear" w:color="auto" w:fill="auto"/>
            <w:vAlign w:val="center"/>
          </w:tcPr>
          <w:p>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0" w:hRule="atLeast"/>
          <w:jc w:val="center"/>
        </w:trPr>
        <w:tc>
          <w:tcPr>
            <w:tcW w:w="13938" w:type="dxa"/>
            <w:gridSpan w:val="25"/>
            <w:shd w:val="clear" w:color="auto" w:fill="auto"/>
          </w:tcPr>
          <w:p>
            <w:pPr>
              <w:widowControl/>
              <w:spacing w:line="360" w:lineRule="exact"/>
              <w:jc w:val="left"/>
              <w:textAlignment w:val="center"/>
              <w:rPr>
                <w:rFonts w:ascii="宋体" w:hAnsi="宋体" w:eastAsia="仿宋_GB2312" w:cs="仿宋"/>
                <w:sz w:val="24"/>
                <w:szCs w:val="21"/>
              </w:rPr>
            </w:pPr>
            <w:r>
              <w:rPr>
                <w:rFonts w:hint="eastAsia" w:ascii="宋体" w:hAnsi="宋体" w:eastAsia="仿宋_GB2312" w:cs="仿宋"/>
                <w:sz w:val="24"/>
                <w:szCs w:val="21"/>
              </w:rPr>
              <w:t>四类照明区：对夜间环境亮度控制严格，保持城市暗环境。</w:t>
            </w:r>
          </w:p>
          <w:p>
            <w:pPr>
              <w:widowControl/>
              <w:spacing w:line="360" w:lineRule="exact"/>
              <w:jc w:val="left"/>
              <w:textAlignment w:val="center"/>
              <w:rPr>
                <w:rFonts w:ascii="宋体" w:hAnsi="宋体" w:eastAsia="仿宋_GB2312" w:cs="仿宋"/>
                <w:sz w:val="24"/>
                <w:szCs w:val="21"/>
              </w:rPr>
            </w:pPr>
            <w:r>
              <w:rPr>
                <w:rFonts w:hint="eastAsia" w:ascii="宋体" w:hAnsi="宋体" w:eastAsia="仿宋_GB2312" w:cs="仿宋"/>
                <w:sz w:val="24"/>
                <w:szCs w:val="21"/>
              </w:rPr>
              <w:t>主要管控范围：长安街及其延长线、二环路、北三环路、北四环路、前三门大街、平安大街、王府井大街、北京站前街、金融街、西单北大街、崇雍大街、大栅栏商业街、中关村大街、羊坊店路、两广路、故宫博物院、景山公园、钟鼓楼、天坛祈年殿、北海公园、西客站地区、明城墙遗址公园、皇城根遗址公园等道路沿线和地区的夜景景观照明设施。</w:t>
            </w:r>
          </w:p>
        </w:tc>
      </w:tr>
    </w:tbl>
    <w:p>
      <w:pPr>
        <w:pStyle w:val="205"/>
        <w:spacing w:before="0" w:beforeLines="0" w:after="0" w:afterLines="0" w:line="20" w:lineRule="exact"/>
        <w:jc w:val="both"/>
        <w:rPr>
          <w:rFonts w:ascii="宋体" w:hAnsi="宋体"/>
          <w:bCs w:val="0"/>
          <w:sz w:val="24"/>
        </w:rPr>
      </w:pP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2614"/>
        <w:gridCol w:w="3325"/>
        <w:gridCol w:w="3325"/>
        <w:gridCol w:w="3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157" w:type="dxa"/>
            <w:gridSpan w:val="2"/>
            <w:vAlign w:val="center"/>
          </w:tcPr>
          <w:p>
            <w:pPr>
              <w:snapToGrid w:val="0"/>
              <w:jc w:val="center"/>
              <w:rPr>
                <w:rFonts w:ascii="宋体" w:hAnsi="宋体" w:eastAsia="仿宋_GB2312" w:cs="仿宋_GB2312"/>
                <w:kern w:val="0"/>
                <w:sz w:val="24"/>
                <w:szCs w:val="21"/>
              </w:rPr>
            </w:pPr>
          </w:p>
        </w:tc>
        <w:tc>
          <w:tcPr>
            <w:tcW w:w="3325" w:type="dxa"/>
            <w:vAlign w:val="center"/>
          </w:tcPr>
          <w:p>
            <w:pPr>
              <w:pStyle w:val="210"/>
              <w:widowControl/>
              <w:adjustRightInd w:val="0"/>
              <w:snapToGrid w:val="0"/>
              <w:spacing w:line="240" w:lineRule="auto"/>
              <w:textAlignment w:val="baseline"/>
              <w:rPr>
                <w:rFonts w:ascii="宋体" w:hAnsi="宋体" w:eastAsia="仿宋_GB2312" w:cs="宋体"/>
                <w:sz w:val="24"/>
                <w:szCs w:val="21"/>
              </w:rPr>
            </w:pPr>
            <w:r>
              <w:rPr>
                <w:rFonts w:hint="eastAsia" w:ascii="宋体" w:hAnsi="宋体" w:eastAsia="仿宋_GB2312" w:cs="宋体"/>
                <w:sz w:val="24"/>
                <w:szCs w:val="21"/>
              </w:rPr>
              <w:t>平日模式</w:t>
            </w:r>
          </w:p>
        </w:tc>
        <w:tc>
          <w:tcPr>
            <w:tcW w:w="3325" w:type="dxa"/>
            <w:vAlign w:val="center"/>
          </w:tcPr>
          <w:p>
            <w:pPr>
              <w:pStyle w:val="210"/>
              <w:widowControl/>
              <w:adjustRightInd w:val="0"/>
              <w:snapToGrid w:val="0"/>
              <w:spacing w:line="240" w:lineRule="auto"/>
              <w:textAlignment w:val="baseline"/>
              <w:rPr>
                <w:rFonts w:ascii="宋体" w:hAnsi="宋体" w:eastAsia="仿宋_GB2312" w:cs="宋体"/>
                <w:sz w:val="24"/>
                <w:szCs w:val="21"/>
              </w:rPr>
            </w:pPr>
            <w:r>
              <w:rPr>
                <w:rFonts w:hint="eastAsia" w:ascii="宋体" w:hAnsi="宋体" w:eastAsia="仿宋_GB2312" w:cs="宋体"/>
                <w:sz w:val="24"/>
                <w:szCs w:val="21"/>
              </w:rPr>
              <w:t>一般节日</w:t>
            </w:r>
          </w:p>
        </w:tc>
        <w:tc>
          <w:tcPr>
            <w:tcW w:w="3141" w:type="dxa"/>
            <w:vAlign w:val="center"/>
          </w:tcPr>
          <w:p>
            <w:pPr>
              <w:pStyle w:val="210"/>
              <w:widowControl/>
              <w:adjustRightInd w:val="0"/>
              <w:snapToGrid w:val="0"/>
              <w:spacing w:line="240" w:lineRule="auto"/>
              <w:textAlignment w:val="baseline"/>
              <w:rPr>
                <w:rFonts w:ascii="宋体" w:hAnsi="宋体" w:eastAsia="仿宋_GB2312" w:cs="宋体"/>
                <w:sz w:val="24"/>
                <w:szCs w:val="21"/>
              </w:rPr>
            </w:pPr>
            <w:r>
              <w:rPr>
                <w:rFonts w:hint="eastAsia" w:ascii="宋体" w:hAnsi="宋体" w:eastAsia="仿宋_GB2312" w:cs="宋体"/>
                <w:sz w:val="24"/>
                <w:szCs w:val="21"/>
              </w:rPr>
              <w:t>重大节日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运营时段A</w:t>
            </w:r>
          </w:p>
        </w:tc>
        <w:tc>
          <w:tcPr>
            <w:tcW w:w="2614" w:type="dxa"/>
            <w:vAlign w:val="center"/>
          </w:tcPr>
          <w:p>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路灯开启–22：00</w:t>
            </w:r>
          </w:p>
        </w:tc>
        <w:tc>
          <w:tcPr>
            <w:tcW w:w="3325" w:type="dxa"/>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路灯开启–22：30</w:t>
            </w:r>
          </w:p>
        </w:tc>
        <w:tc>
          <w:tcPr>
            <w:tcW w:w="3141" w:type="dxa"/>
            <w:vMerge w:val="restart"/>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vAlign w:val="center"/>
          </w:tcPr>
          <w:p>
            <w:pPr>
              <w:snapToGrid w:val="0"/>
              <w:jc w:val="center"/>
              <w:rPr>
                <w:rFonts w:ascii="宋体" w:hAnsi="宋体" w:eastAsia="仿宋_GB2312" w:cs="仿宋"/>
                <w:sz w:val="24"/>
                <w:szCs w:val="21"/>
              </w:rPr>
            </w:pPr>
          </w:p>
        </w:tc>
        <w:tc>
          <w:tcPr>
            <w:tcW w:w="2614" w:type="dxa"/>
            <w:vAlign w:val="center"/>
          </w:tcPr>
          <w:p>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路灯开启–21：30</w:t>
            </w:r>
          </w:p>
        </w:tc>
        <w:tc>
          <w:tcPr>
            <w:tcW w:w="3325" w:type="dxa"/>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路灯开启–22：00</w:t>
            </w:r>
          </w:p>
        </w:tc>
        <w:tc>
          <w:tcPr>
            <w:tcW w:w="3141" w:type="dxa"/>
            <w:vMerge w:val="continue"/>
            <w:vAlign w:val="center"/>
          </w:tcPr>
          <w:p>
            <w:pPr>
              <w:snapToGrid w:val="0"/>
              <w:jc w:val="center"/>
              <w:rPr>
                <w:rFonts w:ascii="宋体" w:hAnsi="宋体" w:eastAsia="仿宋_GB2312" w:cs="仿宋"/>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运营时段</w:t>
            </w:r>
            <w:r>
              <w:rPr>
                <w:rFonts w:ascii="宋体" w:hAnsi="宋体" w:eastAsia="仿宋_GB2312" w:cs="仿宋"/>
                <w:sz w:val="24"/>
                <w:szCs w:val="21"/>
              </w:rPr>
              <w:t>B</w:t>
            </w:r>
          </w:p>
        </w:tc>
        <w:tc>
          <w:tcPr>
            <w:tcW w:w="2614" w:type="dxa"/>
            <w:vAlign w:val="center"/>
          </w:tcPr>
          <w:p>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Merge w:val="restart"/>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3325" w:type="dxa"/>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路灯开启–22：00</w:t>
            </w:r>
          </w:p>
        </w:tc>
        <w:tc>
          <w:tcPr>
            <w:tcW w:w="3141" w:type="dxa"/>
            <w:vMerge w:val="restart"/>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w:t>
            </w:r>
            <w:r>
              <w:rPr>
                <w:rFonts w:ascii="宋体" w:hAnsi="宋体" w:eastAsia="仿宋_GB2312" w:cs="仿宋"/>
                <w:sz w:val="24"/>
                <w:szCs w:val="21"/>
              </w:rPr>
              <w:t>3</w:t>
            </w:r>
            <w:r>
              <w:rPr>
                <w:rFonts w:hint="eastAsia" w:ascii="宋体" w:hAnsi="宋体" w:eastAsia="仿宋_GB2312" w:cs="仿宋"/>
                <w:sz w:val="24"/>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vAlign w:val="center"/>
          </w:tcPr>
          <w:p>
            <w:pPr>
              <w:snapToGrid w:val="0"/>
              <w:jc w:val="center"/>
              <w:rPr>
                <w:rFonts w:ascii="宋体" w:hAnsi="宋体" w:eastAsia="仿宋_GB2312" w:cs="仿宋"/>
                <w:sz w:val="24"/>
                <w:szCs w:val="21"/>
              </w:rPr>
            </w:pPr>
          </w:p>
        </w:tc>
        <w:tc>
          <w:tcPr>
            <w:tcW w:w="2614" w:type="dxa"/>
            <w:vAlign w:val="center"/>
          </w:tcPr>
          <w:p>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Merge w:val="continue"/>
            <w:vAlign w:val="center"/>
          </w:tcPr>
          <w:p>
            <w:pPr>
              <w:widowControl/>
              <w:jc w:val="center"/>
              <w:textAlignment w:val="center"/>
              <w:rPr>
                <w:rFonts w:ascii="宋体" w:hAnsi="宋体" w:eastAsia="仿宋_GB2312" w:cs="仿宋"/>
                <w:sz w:val="24"/>
                <w:szCs w:val="21"/>
              </w:rPr>
            </w:pPr>
          </w:p>
        </w:tc>
        <w:tc>
          <w:tcPr>
            <w:tcW w:w="3325" w:type="dxa"/>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路灯开启–21：</w:t>
            </w:r>
            <w:r>
              <w:rPr>
                <w:rFonts w:ascii="宋体" w:hAnsi="宋体" w:eastAsia="仿宋_GB2312" w:cs="仿宋"/>
                <w:sz w:val="24"/>
                <w:szCs w:val="21"/>
              </w:rPr>
              <w:t>3</w:t>
            </w:r>
            <w:r>
              <w:rPr>
                <w:rFonts w:hint="eastAsia" w:ascii="宋体" w:hAnsi="宋体" w:eastAsia="仿宋_GB2312" w:cs="仿宋"/>
                <w:sz w:val="24"/>
                <w:szCs w:val="21"/>
              </w:rPr>
              <w:t>0</w:t>
            </w:r>
          </w:p>
        </w:tc>
        <w:tc>
          <w:tcPr>
            <w:tcW w:w="3141" w:type="dxa"/>
            <w:vMerge w:val="continue"/>
            <w:vAlign w:val="center"/>
          </w:tcPr>
          <w:p>
            <w:pPr>
              <w:snapToGrid w:val="0"/>
              <w:jc w:val="center"/>
              <w:rPr>
                <w:rFonts w:ascii="宋体" w:hAnsi="宋体" w:eastAsia="仿宋_GB2312" w:cs="仿宋"/>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运营时段</w:t>
            </w:r>
            <w:r>
              <w:rPr>
                <w:rFonts w:ascii="宋体" w:hAnsi="宋体" w:eastAsia="仿宋_GB2312" w:cs="仿宋"/>
                <w:sz w:val="24"/>
                <w:szCs w:val="21"/>
              </w:rPr>
              <w:t>C</w:t>
            </w:r>
          </w:p>
        </w:tc>
        <w:tc>
          <w:tcPr>
            <w:tcW w:w="2614" w:type="dxa"/>
            <w:vAlign w:val="center"/>
          </w:tcPr>
          <w:p>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Merge w:val="restart"/>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3325" w:type="dxa"/>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路灯开启–21：</w:t>
            </w:r>
            <w:r>
              <w:rPr>
                <w:rFonts w:ascii="宋体" w:hAnsi="宋体" w:eastAsia="仿宋_GB2312" w:cs="仿宋"/>
                <w:sz w:val="24"/>
                <w:szCs w:val="21"/>
              </w:rPr>
              <w:t>3</w:t>
            </w:r>
            <w:r>
              <w:rPr>
                <w:rFonts w:hint="eastAsia" w:ascii="宋体" w:hAnsi="宋体" w:eastAsia="仿宋_GB2312" w:cs="仿宋"/>
                <w:sz w:val="24"/>
                <w:szCs w:val="21"/>
              </w:rPr>
              <w:t>0</w:t>
            </w:r>
          </w:p>
        </w:tc>
        <w:tc>
          <w:tcPr>
            <w:tcW w:w="3141" w:type="dxa"/>
            <w:vMerge w:val="restart"/>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w:t>
            </w:r>
            <w:r>
              <w:rPr>
                <w:rFonts w:ascii="宋体" w:hAnsi="宋体" w:eastAsia="仿宋_GB2312" w:cs="仿宋"/>
                <w:sz w:val="24"/>
                <w:szCs w:val="21"/>
              </w:rPr>
              <w:t>2</w:t>
            </w:r>
            <w:r>
              <w:rPr>
                <w:rFonts w:hint="eastAsia" w:ascii="宋体" w:hAnsi="宋体" w:eastAsia="仿宋_GB2312" w:cs="仿宋"/>
                <w:sz w:val="24"/>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vAlign w:val="center"/>
          </w:tcPr>
          <w:p>
            <w:pPr>
              <w:snapToGrid w:val="0"/>
              <w:jc w:val="center"/>
              <w:rPr>
                <w:rFonts w:ascii="宋体" w:hAnsi="宋体" w:eastAsia="仿宋_GB2312" w:cs="仿宋"/>
                <w:sz w:val="24"/>
                <w:szCs w:val="21"/>
              </w:rPr>
            </w:pPr>
          </w:p>
        </w:tc>
        <w:tc>
          <w:tcPr>
            <w:tcW w:w="2614" w:type="dxa"/>
            <w:vAlign w:val="center"/>
          </w:tcPr>
          <w:p>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Merge w:val="continue"/>
            <w:vAlign w:val="center"/>
          </w:tcPr>
          <w:p>
            <w:pPr>
              <w:widowControl/>
              <w:jc w:val="center"/>
              <w:textAlignment w:val="center"/>
              <w:rPr>
                <w:rFonts w:ascii="宋体" w:hAnsi="宋体" w:eastAsia="仿宋_GB2312" w:cs="仿宋"/>
                <w:sz w:val="24"/>
                <w:szCs w:val="21"/>
              </w:rPr>
            </w:pPr>
          </w:p>
        </w:tc>
        <w:tc>
          <w:tcPr>
            <w:tcW w:w="3325" w:type="dxa"/>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路灯开启–21：00</w:t>
            </w:r>
          </w:p>
        </w:tc>
        <w:tc>
          <w:tcPr>
            <w:tcW w:w="3141" w:type="dxa"/>
            <w:vMerge w:val="continue"/>
            <w:vAlign w:val="center"/>
          </w:tcPr>
          <w:p>
            <w:pPr>
              <w:snapToGrid w:val="0"/>
              <w:jc w:val="center"/>
              <w:rPr>
                <w:rFonts w:ascii="宋体" w:hAnsi="宋体" w:eastAsia="仿宋_GB2312" w:cs="仿宋"/>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运营时段</w:t>
            </w:r>
            <w:r>
              <w:rPr>
                <w:rFonts w:ascii="宋体" w:hAnsi="宋体" w:eastAsia="仿宋_GB2312" w:cs="仿宋"/>
                <w:sz w:val="24"/>
                <w:szCs w:val="21"/>
              </w:rPr>
              <w:t>D</w:t>
            </w:r>
          </w:p>
        </w:tc>
        <w:tc>
          <w:tcPr>
            <w:tcW w:w="2614" w:type="dxa"/>
            <w:vAlign w:val="center"/>
          </w:tcPr>
          <w:p>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Merge w:val="restart"/>
            <w:vAlign w:val="center"/>
          </w:tcPr>
          <w:p>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3325" w:type="dxa"/>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路灯开启–21：00</w:t>
            </w:r>
          </w:p>
        </w:tc>
        <w:tc>
          <w:tcPr>
            <w:tcW w:w="3141" w:type="dxa"/>
            <w:vMerge w:val="restart"/>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w:t>
            </w:r>
            <w:r>
              <w:rPr>
                <w:rFonts w:ascii="宋体" w:hAnsi="宋体" w:eastAsia="仿宋_GB2312" w:cs="仿宋"/>
                <w:sz w:val="24"/>
                <w:szCs w:val="21"/>
              </w:rPr>
              <w:t>1</w:t>
            </w:r>
            <w:r>
              <w:rPr>
                <w:rFonts w:hint="eastAsia" w:ascii="宋体" w:hAnsi="宋体" w:eastAsia="仿宋_GB2312" w:cs="仿宋"/>
                <w:sz w:val="24"/>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543" w:type="dxa"/>
            <w:vMerge w:val="continue"/>
            <w:vAlign w:val="center"/>
          </w:tcPr>
          <w:p>
            <w:pPr>
              <w:snapToGrid w:val="0"/>
              <w:jc w:val="center"/>
              <w:rPr>
                <w:rFonts w:ascii="宋体" w:hAnsi="宋体" w:eastAsia="仿宋_GB2312" w:cs="宋体"/>
                <w:sz w:val="24"/>
                <w:szCs w:val="21"/>
              </w:rPr>
            </w:pPr>
          </w:p>
        </w:tc>
        <w:tc>
          <w:tcPr>
            <w:tcW w:w="2614" w:type="dxa"/>
            <w:vAlign w:val="center"/>
          </w:tcPr>
          <w:p>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Merge w:val="continue"/>
            <w:vAlign w:val="center"/>
          </w:tcPr>
          <w:p>
            <w:pPr>
              <w:snapToGrid w:val="0"/>
              <w:jc w:val="center"/>
              <w:rPr>
                <w:rFonts w:ascii="宋体" w:hAnsi="宋体" w:eastAsia="仿宋_GB2312" w:cs="仿宋"/>
                <w:sz w:val="24"/>
                <w:szCs w:val="21"/>
              </w:rPr>
            </w:pPr>
          </w:p>
        </w:tc>
        <w:tc>
          <w:tcPr>
            <w:tcW w:w="3325" w:type="dxa"/>
            <w:vAlign w:val="center"/>
          </w:tcPr>
          <w:p>
            <w:pPr>
              <w:snapToGrid w:val="0"/>
              <w:jc w:val="center"/>
              <w:rPr>
                <w:rFonts w:ascii="宋体" w:hAnsi="宋体" w:eastAsia="仿宋_GB2312" w:cs="仿宋"/>
                <w:sz w:val="24"/>
                <w:szCs w:val="21"/>
              </w:rPr>
            </w:pPr>
            <w:r>
              <w:rPr>
                <w:rFonts w:hint="eastAsia" w:ascii="宋体" w:hAnsi="宋体" w:eastAsia="仿宋_GB2312" w:cs="仿宋"/>
                <w:sz w:val="24"/>
                <w:szCs w:val="21"/>
              </w:rPr>
              <w:t>路灯开启–20：30</w:t>
            </w:r>
          </w:p>
        </w:tc>
        <w:tc>
          <w:tcPr>
            <w:tcW w:w="3141" w:type="dxa"/>
            <w:vMerge w:val="continue"/>
          </w:tcPr>
          <w:p>
            <w:pPr>
              <w:snapToGrid w:val="0"/>
              <w:rPr>
                <w:rFonts w:ascii="宋体" w:hAnsi="宋体" w:eastAsia="仿宋_GB2312" w:cs="仿宋_GB2312"/>
                <w:kern w:val="0"/>
                <w:sz w:val="24"/>
                <w:szCs w:val="21"/>
              </w:rPr>
            </w:pPr>
          </w:p>
        </w:tc>
      </w:tr>
    </w:tbl>
    <w:p>
      <w:pPr>
        <w:pStyle w:val="205"/>
        <w:spacing w:before="156" w:after="156"/>
        <w:rPr>
          <w:rFonts w:ascii="宋体" w:hAnsi="宋体"/>
          <w:bCs w:val="0"/>
          <w:sz w:val="24"/>
        </w:rPr>
      </w:pPr>
    </w:p>
    <w:p>
      <w:pPr>
        <w:pStyle w:val="205"/>
        <w:spacing w:before="156" w:after="156"/>
        <w:rPr>
          <w:rFonts w:ascii="宋体" w:hAnsi="宋体"/>
          <w:bCs w:val="0"/>
          <w:sz w:val="24"/>
        </w:rPr>
      </w:pPr>
    </w:p>
    <w:p>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2 </w:t>
      </w:r>
      <w:r>
        <w:rPr>
          <w:rFonts w:hint="eastAsia" w:ascii="宋体" w:hAnsi="宋体"/>
          <w:bCs w:val="0"/>
          <w:sz w:val="24"/>
        </w:rPr>
        <w:t>建（构）筑物景观照明照度、功率密度（LPD）值</w:t>
      </w:r>
    </w:p>
    <w:tbl>
      <w:tblPr>
        <w:tblStyle w:val="89"/>
        <w:tblW w:w="13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3081"/>
        <w:gridCol w:w="1667"/>
        <w:gridCol w:w="716"/>
        <w:gridCol w:w="1413"/>
        <w:gridCol w:w="1413"/>
        <w:gridCol w:w="728"/>
        <w:gridCol w:w="686"/>
        <w:gridCol w:w="1413"/>
        <w:gridCol w:w="493"/>
        <w:gridCol w:w="920"/>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48" w:type="dxa"/>
            <w:gridSpan w:val="2"/>
            <w:shd w:val="clear" w:color="auto" w:fill="FFFFFF" w:themeFill="background1"/>
            <w:tcMar>
              <w:top w:w="15" w:type="dxa"/>
              <w:left w:w="108" w:type="dxa"/>
              <w:bottom w:w="0" w:type="dxa"/>
              <w:right w:w="108" w:type="dxa"/>
            </w:tcMar>
            <w:vAlign w:val="center"/>
          </w:tcPr>
          <w:p>
            <w:pPr>
              <w:pStyle w:val="104"/>
              <w:spacing w:line="260" w:lineRule="exact"/>
              <w:jc w:val="center"/>
              <w:rPr>
                <w:rFonts w:ascii="宋体" w:hAnsi="宋体" w:eastAsia="仿宋_GB2312"/>
                <w:bCs w:val="0"/>
                <w:color w:val="auto"/>
                <w:sz w:val="24"/>
                <w:szCs w:val="21"/>
              </w:rPr>
            </w:pPr>
            <w:r>
              <w:rPr>
                <w:rFonts w:hint="eastAsia" w:ascii="宋体" w:hAnsi="宋体" w:eastAsia="仿宋_GB2312"/>
                <w:bCs w:val="0"/>
                <w:color w:val="auto"/>
                <w:sz w:val="24"/>
                <w:szCs w:val="21"/>
              </w:rPr>
              <w:t>建筑物饰面材料</w:t>
            </w:r>
          </w:p>
        </w:tc>
        <w:tc>
          <w:tcPr>
            <w:tcW w:w="716" w:type="dxa"/>
            <w:vMerge w:val="restart"/>
            <w:shd w:val="clear" w:color="auto" w:fill="FFFFFF" w:themeFill="background1"/>
            <w:tcMar>
              <w:top w:w="15" w:type="dxa"/>
              <w:left w:w="108" w:type="dxa"/>
              <w:bottom w:w="0" w:type="dxa"/>
              <w:right w:w="108" w:type="dxa"/>
            </w:tcMar>
            <w:vAlign w:val="center"/>
          </w:tcPr>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城市规模</w:t>
            </w:r>
          </w:p>
        </w:tc>
        <w:tc>
          <w:tcPr>
            <w:tcW w:w="3554" w:type="dxa"/>
            <w:gridSpan w:val="3"/>
            <w:shd w:val="clear" w:color="auto" w:fill="FFFFFF" w:themeFill="background1"/>
            <w:tcMar>
              <w:top w:w="15" w:type="dxa"/>
              <w:left w:w="108" w:type="dxa"/>
              <w:bottom w:w="0" w:type="dxa"/>
              <w:right w:w="108" w:type="dxa"/>
            </w:tcMar>
            <w:vAlign w:val="center"/>
          </w:tcPr>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三类照明区</w:t>
            </w:r>
          </w:p>
        </w:tc>
        <w:tc>
          <w:tcPr>
            <w:tcW w:w="2592" w:type="dxa"/>
            <w:gridSpan w:val="3"/>
            <w:shd w:val="clear" w:color="auto" w:fill="FFFFFF" w:themeFill="background1"/>
            <w:tcMar>
              <w:top w:w="15" w:type="dxa"/>
              <w:left w:w="108" w:type="dxa"/>
              <w:bottom w:w="0" w:type="dxa"/>
              <w:right w:w="108" w:type="dxa"/>
            </w:tcMar>
            <w:vAlign w:val="center"/>
          </w:tcPr>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二类照明区</w:t>
            </w:r>
          </w:p>
        </w:tc>
        <w:tc>
          <w:tcPr>
            <w:tcW w:w="2328" w:type="dxa"/>
            <w:gridSpan w:val="2"/>
            <w:shd w:val="clear" w:color="auto" w:fill="FFFFFF" w:themeFill="background1"/>
            <w:tcMar>
              <w:top w:w="15" w:type="dxa"/>
              <w:left w:w="108" w:type="dxa"/>
              <w:bottom w:w="0" w:type="dxa"/>
              <w:right w:w="108" w:type="dxa"/>
            </w:tcMar>
            <w:vAlign w:val="center"/>
          </w:tcPr>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一类照明区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1029" w:hRule="atLeast"/>
        </w:trPr>
        <w:tc>
          <w:tcPr>
            <w:tcW w:w="3081" w:type="dxa"/>
            <w:shd w:val="clear" w:color="auto" w:fill="FFFFFF" w:themeFill="background1"/>
            <w:tcMar>
              <w:top w:w="15" w:type="dxa"/>
              <w:left w:w="108" w:type="dxa"/>
              <w:bottom w:w="0" w:type="dxa"/>
              <w:right w:w="108" w:type="dxa"/>
            </w:tcMar>
            <w:vAlign w:val="center"/>
          </w:tcPr>
          <w:p>
            <w:pPr>
              <w:pStyle w:val="104"/>
              <w:spacing w:line="260" w:lineRule="exact"/>
              <w:jc w:val="center"/>
              <w:rPr>
                <w:rFonts w:ascii="宋体" w:hAnsi="宋体" w:eastAsia="仿宋_GB2312"/>
                <w:bCs w:val="0"/>
                <w:color w:val="auto"/>
                <w:sz w:val="24"/>
                <w:szCs w:val="21"/>
              </w:rPr>
            </w:pPr>
            <w:r>
              <w:rPr>
                <w:rFonts w:hint="eastAsia" w:ascii="宋体" w:hAnsi="宋体" w:eastAsia="仿宋_GB2312"/>
                <w:bCs w:val="0"/>
                <w:color w:val="auto"/>
                <w:sz w:val="24"/>
                <w:szCs w:val="21"/>
              </w:rPr>
              <w:t>名城</w:t>
            </w:r>
          </w:p>
        </w:tc>
        <w:tc>
          <w:tcPr>
            <w:tcW w:w="1667" w:type="dxa"/>
            <w:shd w:val="clear" w:color="auto" w:fill="FFFFFF" w:themeFill="background1"/>
            <w:tcMar>
              <w:top w:w="15" w:type="dxa"/>
              <w:left w:w="108" w:type="dxa"/>
              <w:bottom w:w="0" w:type="dxa"/>
              <w:right w:w="108" w:type="dxa"/>
            </w:tcMar>
            <w:vAlign w:val="center"/>
          </w:tcPr>
          <w:p>
            <w:pPr>
              <w:pStyle w:val="104"/>
              <w:spacing w:line="260" w:lineRule="exact"/>
              <w:jc w:val="center"/>
              <w:rPr>
                <w:rFonts w:ascii="宋体" w:hAnsi="宋体" w:eastAsia="仿宋_GB2312"/>
                <w:bCs w:val="0"/>
                <w:color w:val="auto"/>
                <w:sz w:val="24"/>
                <w:szCs w:val="21"/>
              </w:rPr>
            </w:pPr>
            <w:r>
              <w:rPr>
                <w:rFonts w:hint="eastAsia" w:ascii="宋体" w:hAnsi="宋体" w:eastAsia="仿宋_GB2312"/>
                <w:bCs w:val="0"/>
                <w:color w:val="auto"/>
                <w:sz w:val="24"/>
                <w:szCs w:val="21"/>
              </w:rPr>
              <w:t>反射比 （p）</w:t>
            </w:r>
          </w:p>
        </w:tc>
        <w:tc>
          <w:tcPr>
            <w:tcW w:w="716" w:type="dxa"/>
            <w:vMerge w:val="continue"/>
            <w:shd w:val="clear" w:color="auto" w:fill="FFFFFF" w:themeFill="background1"/>
            <w:vAlign w:val="center"/>
          </w:tcPr>
          <w:p>
            <w:pPr>
              <w:pStyle w:val="104"/>
              <w:spacing w:line="260" w:lineRule="exact"/>
              <w:rPr>
                <w:rFonts w:ascii="宋体" w:hAnsi="宋体" w:eastAsia="仿宋_GB2312"/>
                <w:bCs w:val="0"/>
                <w:color w:val="auto"/>
                <w:sz w:val="24"/>
                <w:szCs w:val="21"/>
              </w:rPr>
            </w:pPr>
          </w:p>
        </w:tc>
        <w:tc>
          <w:tcPr>
            <w:tcW w:w="1413" w:type="dxa"/>
            <w:shd w:val="clear" w:color="auto" w:fill="FFFFFF" w:themeFill="background1"/>
            <w:tcMar>
              <w:top w:w="15" w:type="dxa"/>
              <w:left w:w="108" w:type="dxa"/>
              <w:bottom w:w="0" w:type="dxa"/>
              <w:right w:w="108" w:type="dxa"/>
            </w:tcMar>
            <w:vAlign w:val="center"/>
          </w:tcPr>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对应照度</w:t>
            </w:r>
          </w:p>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（lx）</w:t>
            </w:r>
          </w:p>
        </w:tc>
        <w:tc>
          <w:tcPr>
            <w:tcW w:w="1413" w:type="dxa"/>
            <w:shd w:val="clear" w:color="auto" w:fill="FFFFFF" w:themeFill="background1"/>
            <w:tcMar>
              <w:top w:w="15" w:type="dxa"/>
              <w:left w:w="108" w:type="dxa"/>
              <w:bottom w:w="0" w:type="dxa"/>
              <w:right w:w="108" w:type="dxa"/>
            </w:tcMar>
            <w:vAlign w:val="center"/>
          </w:tcPr>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功率</w:t>
            </w:r>
          </w:p>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密度</w:t>
            </w:r>
          </w:p>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pacing w:val="1"/>
                <w:w w:val="76"/>
                <w:kern w:val="0"/>
                <w:sz w:val="24"/>
                <w:szCs w:val="21"/>
                <w:fitText w:val="739" w:id="3"/>
              </w:rPr>
              <w:t>（W/㎡</w:t>
            </w:r>
            <w:r>
              <w:rPr>
                <w:rFonts w:hint="eastAsia" w:ascii="宋体" w:hAnsi="宋体" w:eastAsia="仿宋_GB2312"/>
                <w:bCs w:val="0"/>
                <w:color w:val="auto"/>
                <w:spacing w:val="2"/>
                <w:w w:val="76"/>
                <w:kern w:val="0"/>
                <w:sz w:val="24"/>
                <w:szCs w:val="21"/>
                <w:fitText w:val="739" w:id="3"/>
              </w:rPr>
              <w:t>）</w:t>
            </w:r>
          </w:p>
        </w:tc>
        <w:tc>
          <w:tcPr>
            <w:tcW w:w="1414" w:type="dxa"/>
            <w:gridSpan w:val="2"/>
            <w:shd w:val="clear" w:color="auto" w:fill="FFFFFF" w:themeFill="background1"/>
            <w:tcMar>
              <w:top w:w="15" w:type="dxa"/>
              <w:left w:w="108" w:type="dxa"/>
              <w:bottom w:w="0" w:type="dxa"/>
              <w:right w:w="108" w:type="dxa"/>
            </w:tcMar>
            <w:vAlign w:val="center"/>
          </w:tcPr>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对应照度</w:t>
            </w:r>
          </w:p>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（lx）</w:t>
            </w:r>
          </w:p>
        </w:tc>
        <w:tc>
          <w:tcPr>
            <w:tcW w:w="1413" w:type="dxa"/>
            <w:shd w:val="clear" w:color="auto" w:fill="FFFFFF" w:themeFill="background1"/>
            <w:tcMar>
              <w:top w:w="15" w:type="dxa"/>
              <w:left w:w="108" w:type="dxa"/>
              <w:bottom w:w="0" w:type="dxa"/>
              <w:right w:w="108" w:type="dxa"/>
            </w:tcMar>
            <w:vAlign w:val="center"/>
          </w:tcPr>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功率密度</w:t>
            </w:r>
          </w:p>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pacing w:val="1"/>
                <w:w w:val="76"/>
                <w:kern w:val="0"/>
                <w:sz w:val="24"/>
                <w:szCs w:val="21"/>
                <w:fitText w:val="739" w:id="4"/>
              </w:rPr>
              <w:t>（W/㎡</w:t>
            </w:r>
            <w:r>
              <w:rPr>
                <w:rFonts w:hint="eastAsia" w:ascii="宋体" w:hAnsi="宋体" w:eastAsia="仿宋_GB2312"/>
                <w:bCs w:val="0"/>
                <w:color w:val="auto"/>
                <w:spacing w:val="2"/>
                <w:w w:val="76"/>
                <w:kern w:val="0"/>
                <w:sz w:val="24"/>
                <w:szCs w:val="21"/>
                <w:fitText w:val="739" w:id="4"/>
              </w:rPr>
              <w:t>）</w:t>
            </w:r>
          </w:p>
        </w:tc>
        <w:tc>
          <w:tcPr>
            <w:tcW w:w="1413" w:type="dxa"/>
            <w:gridSpan w:val="2"/>
            <w:shd w:val="clear" w:color="auto" w:fill="FFFFFF" w:themeFill="background1"/>
            <w:tcMar>
              <w:top w:w="15" w:type="dxa"/>
              <w:left w:w="108" w:type="dxa"/>
              <w:bottom w:w="0" w:type="dxa"/>
              <w:right w:w="108" w:type="dxa"/>
            </w:tcMar>
            <w:vAlign w:val="center"/>
          </w:tcPr>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对应照度</w:t>
            </w:r>
          </w:p>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（lx）</w:t>
            </w:r>
          </w:p>
        </w:tc>
        <w:tc>
          <w:tcPr>
            <w:tcW w:w="1408" w:type="dxa"/>
            <w:shd w:val="clear" w:color="auto" w:fill="FFFFFF" w:themeFill="background1"/>
            <w:tcMar>
              <w:top w:w="15" w:type="dxa"/>
              <w:left w:w="108" w:type="dxa"/>
              <w:bottom w:w="0" w:type="dxa"/>
              <w:right w:w="108" w:type="dxa"/>
            </w:tcMar>
            <w:vAlign w:val="center"/>
          </w:tcPr>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功率密度</w:t>
            </w:r>
          </w:p>
          <w:p>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pacing w:val="1"/>
                <w:w w:val="76"/>
                <w:kern w:val="0"/>
                <w:sz w:val="24"/>
                <w:szCs w:val="21"/>
                <w:fitText w:val="739" w:id="5"/>
              </w:rPr>
              <w:t>（W/㎡</w:t>
            </w:r>
            <w:r>
              <w:rPr>
                <w:rFonts w:hint="eastAsia" w:ascii="宋体" w:hAnsi="宋体" w:eastAsia="仿宋_GB2312"/>
                <w:bCs w:val="0"/>
                <w:color w:val="auto"/>
                <w:spacing w:val="2"/>
                <w:w w:val="76"/>
                <w:kern w:val="0"/>
                <w:sz w:val="24"/>
                <w:szCs w:val="21"/>
                <w:fitText w:val="739" w:id="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restart"/>
            <w:shd w:val="clear" w:color="auto" w:fill="FFFFFF" w:themeFill="background1"/>
            <w:tcMar>
              <w:top w:w="15" w:type="dxa"/>
              <w:left w:w="108" w:type="dxa"/>
              <w:bottom w:w="0" w:type="dxa"/>
              <w:right w:w="108" w:type="dxa"/>
            </w:tcMar>
            <w:vAlign w:val="center"/>
          </w:tcPr>
          <w:p>
            <w:pPr>
              <w:pStyle w:val="104"/>
              <w:spacing w:line="260" w:lineRule="exact"/>
              <w:jc w:val="both"/>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白色外墙涂料，乳白色外墙釉面砖，浅冷、暖色外墙涂料，白色大理石</w:t>
            </w:r>
          </w:p>
        </w:tc>
        <w:tc>
          <w:tcPr>
            <w:tcW w:w="1667" w:type="dxa"/>
            <w:vMerge w:val="restart"/>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0.6~0.8</w:t>
            </w:r>
          </w:p>
        </w:tc>
        <w:tc>
          <w:tcPr>
            <w:tcW w:w="716"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大</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4"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3"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150</w:t>
            </w:r>
          </w:p>
        </w:tc>
        <w:tc>
          <w:tcPr>
            <w:tcW w:w="1408"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中</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w:t>
            </w:r>
          </w:p>
        </w:tc>
        <w:tc>
          <w:tcPr>
            <w:tcW w:w="1414"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3"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1408"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0.7</w:t>
            </w:r>
          </w:p>
        </w:tc>
        <w:tc>
          <w:tcPr>
            <w:tcW w:w="1414"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w:t>
            </w:r>
          </w:p>
        </w:tc>
        <w:tc>
          <w:tcPr>
            <w:tcW w:w="1413"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08"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restart"/>
            <w:shd w:val="clear" w:color="auto" w:fill="FFFFFF" w:themeFill="background1"/>
            <w:tcMar>
              <w:top w:w="15" w:type="dxa"/>
              <w:left w:w="108" w:type="dxa"/>
              <w:bottom w:w="0" w:type="dxa"/>
              <w:right w:w="108" w:type="dxa"/>
            </w:tcMar>
            <w:vAlign w:val="center"/>
          </w:tcPr>
          <w:p>
            <w:pPr>
              <w:pStyle w:val="104"/>
              <w:spacing w:line="260" w:lineRule="exact"/>
              <w:jc w:val="both"/>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银色或灰绿色铝塑板、浅色大理石、浅色瓷砖、灰色或土黄色釉面砖、中等浅色涂料、中等色铝塑板等</w:t>
            </w:r>
          </w:p>
        </w:tc>
        <w:tc>
          <w:tcPr>
            <w:tcW w:w="1667" w:type="dxa"/>
            <w:vMerge w:val="restart"/>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0.3~0.6</w:t>
            </w:r>
          </w:p>
        </w:tc>
        <w:tc>
          <w:tcPr>
            <w:tcW w:w="716"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大</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4"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c>
          <w:tcPr>
            <w:tcW w:w="1413"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200</w:t>
            </w:r>
          </w:p>
        </w:tc>
        <w:tc>
          <w:tcPr>
            <w:tcW w:w="1408"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中</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4"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3"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150</w:t>
            </w:r>
          </w:p>
        </w:tc>
        <w:tc>
          <w:tcPr>
            <w:tcW w:w="1408"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w:t>
            </w:r>
          </w:p>
        </w:tc>
        <w:tc>
          <w:tcPr>
            <w:tcW w:w="1414"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3"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1408"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restart"/>
            <w:shd w:val="clear" w:color="auto" w:fill="FFFFFF" w:themeFill="background1"/>
            <w:tcMar>
              <w:top w:w="15" w:type="dxa"/>
              <w:left w:w="108" w:type="dxa"/>
              <w:bottom w:w="0" w:type="dxa"/>
              <w:right w:w="108" w:type="dxa"/>
            </w:tcMar>
            <w:vAlign w:val="center"/>
          </w:tcPr>
          <w:p>
            <w:pPr>
              <w:pStyle w:val="104"/>
              <w:spacing w:line="260" w:lineRule="exact"/>
              <w:jc w:val="both"/>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神色天然花岗石、大理石、瓷砖、混凝土、褐色、暗红色釉面砖、人造花岗石、普通转等</w:t>
            </w:r>
          </w:p>
        </w:tc>
        <w:tc>
          <w:tcPr>
            <w:tcW w:w="1667" w:type="dxa"/>
            <w:vMerge w:val="restart"/>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0.2~0.3</w:t>
            </w:r>
          </w:p>
        </w:tc>
        <w:tc>
          <w:tcPr>
            <w:tcW w:w="716"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大</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c>
          <w:tcPr>
            <w:tcW w:w="1414"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6.7</w:t>
            </w:r>
          </w:p>
        </w:tc>
        <w:tc>
          <w:tcPr>
            <w:tcW w:w="1413"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300</w:t>
            </w:r>
          </w:p>
        </w:tc>
        <w:tc>
          <w:tcPr>
            <w:tcW w:w="1408"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pPr>
              <w:pStyle w:val="104"/>
              <w:spacing w:line="240" w:lineRule="exact"/>
              <w:jc w:val="center"/>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中</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4"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4.5</w:t>
            </w:r>
          </w:p>
        </w:tc>
        <w:tc>
          <w:tcPr>
            <w:tcW w:w="1413"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250</w:t>
            </w:r>
          </w:p>
        </w:tc>
        <w:tc>
          <w:tcPr>
            <w:tcW w:w="1408"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pPr>
              <w:pStyle w:val="104"/>
              <w:spacing w:line="240" w:lineRule="exact"/>
              <w:jc w:val="center"/>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4"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13"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c>
          <w:tcPr>
            <w:tcW w:w="1413" w:type="dxa"/>
            <w:gridSpan w:val="2"/>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200</w:t>
            </w:r>
          </w:p>
        </w:tc>
        <w:tc>
          <w:tcPr>
            <w:tcW w:w="1408" w:type="dxa"/>
            <w:shd w:val="clear" w:color="auto" w:fill="FFFFFF" w:themeFill="background1"/>
            <w:tcMar>
              <w:top w:w="15" w:type="dxa"/>
              <w:left w:w="108" w:type="dxa"/>
              <w:bottom w:w="0" w:type="dxa"/>
              <w:right w:w="108"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8.9</w:t>
            </w:r>
          </w:p>
        </w:tc>
      </w:tr>
    </w:tbl>
    <w:p>
      <w:pPr>
        <w:pStyle w:val="205"/>
        <w:spacing w:before="156" w:after="156"/>
        <w:rPr>
          <w:rFonts w:ascii="宋体" w:hAnsi="宋体"/>
          <w:bCs w:val="0"/>
          <w:sz w:val="24"/>
        </w:rPr>
      </w:pPr>
    </w:p>
    <w:p>
      <w:pPr>
        <w:pStyle w:val="205"/>
        <w:spacing w:before="156" w:after="156"/>
        <w:rPr>
          <w:rFonts w:hint="eastAsia" w:ascii="宋体" w:hAnsi="宋体"/>
          <w:bCs w:val="0"/>
          <w:sz w:val="24"/>
        </w:rPr>
      </w:pPr>
    </w:p>
    <w:p>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13</w:t>
      </w:r>
      <w:r>
        <w:rPr>
          <w:rFonts w:hint="eastAsia" w:ascii="宋体" w:hAnsi="宋体"/>
          <w:bCs w:val="0"/>
          <w:sz w:val="24"/>
        </w:rPr>
        <w:t>—1</w:t>
      </w:r>
      <w:r>
        <w:rPr>
          <w:rFonts w:ascii="宋体" w:hAnsi="宋体"/>
          <w:bCs w:val="0"/>
          <w:sz w:val="24"/>
        </w:rPr>
        <w:t xml:space="preserve">3 </w:t>
      </w:r>
      <w:r>
        <w:rPr>
          <w:rFonts w:hint="eastAsia" w:ascii="宋体" w:hAnsi="宋体"/>
          <w:bCs w:val="0"/>
          <w:sz w:val="24"/>
        </w:rPr>
        <w:t>建（构）筑物外部景观照明功率密度（LPD）值</w:t>
      </w: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8"/>
        <w:gridCol w:w="5554"/>
        <w:gridCol w:w="4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38" w:type="dxa"/>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空间类型</w:t>
            </w:r>
          </w:p>
        </w:tc>
        <w:tc>
          <w:tcPr>
            <w:tcW w:w="5554" w:type="dxa"/>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照明区域</w:t>
            </w:r>
          </w:p>
        </w:tc>
        <w:tc>
          <w:tcPr>
            <w:tcW w:w="4656" w:type="dxa"/>
            <w:vAlign w:val="center"/>
          </w:tcPr>
          <w:p>
            <w:pPr>
              <w:pStyle w:val="104"/>
              <w:jc w:val="center"/>
              <w:rPr>
                <w:rFonts w:ascii="宋体" w:hAnsi="宋体" w:eastAsia="仿宋_GB2312"/>
                <w:bCs w:val="0"/>
                <w:color w:val="auto"/>
                <w:sz w:val="24"/>
              </w:rPr>
            </w:pPr>
            <w:r>
              <w:rPr>
                <w:rFonts w:hint="eastAsia" w:ascii="宋体" w:hAnsi="宋体" w:eastAsia="仿宋_GB2312"/>
                <w:bCs w:val="0"/>
                <w:color w:val="auto"/>
                <w:sz w:val="24"/>
              </w:rPr>
              <w:t>功率密度值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无遮盖停车区域</w:t>
            </w:r>
          </w:p>
        </w:tc>
        <w:tc>
          <w:tcPr>
            <w:tcW w:w="5554"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停车区和车道</w:t>
            </w:r>
          </w:p>
        </w:tc>
        <w:tc>
          <w:tcPr>
            <w:tcW w:w="4656"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1.61 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restart"/>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建筑场地</w:t>
            </w:r>
          </w:p>
        </w:tc>
        <w:tc>
          <w:tcPr>
            <w:tcW w:w="5554"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小于3m宽的走道</w:t>
            </w:r>
          </w:p>
        </w:tc>
        <w:tc>
          <w:tcPr>
            <w:tcW w:w="4656"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3.28 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continue"/>
            <w:vAlign w:val="center"/>
          </w:tcPr>
          <w:p>
            <w:pPr>
              <w:pStyle w:val="104"/>
              <w:jc w:val="center"/>
              <w:rPr>
                <w:rFonts w:ascii="宋体" w:hAnsi="宋体" w:eastAsia="仿宋_GB2312" w:cs="仿宋"/>
                <w:bCs w:val="0"/>
                <w:color w:val="auto"/>
                <w:sz w:val="24"/>
                <w:szCs w:val="21"/>
              </w:rPr>
            </w:pPr>
          </w:p>
        </w:tc>
        <w:tc>
          <w:tcPr>
            <w:tcW w:w="5554"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等于、大于3m宽的走道、广场区域、特殊区域</w:t>
            </w:r>
          </w:p>
        </w:tc>
        <w:tc>
          <w:tcPr>
            <w:tcW w:w="4656"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2.15 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continue"/>
            <w:vAlign w:val="center"/>
          </w:tcPr>
          <w:p>
            <w:pPr>
              <w:pStyle w:val="104"/>
              <w:jc w:val="center"/>
              <w:rPr>
                <w:rFonts w:ascii="宋体" w:hAnsi="宋体" w:eastAsia="仿宋_GB2312" w:cs="仿宋"/>
                <w:bCs w:val="0"/>
                <w:color w:val="auto"/>
                <w:sz w:val="24"/>
                <w:szCs w:val="21"/>
              </w:rPr>
            </w:pPr>
          </w:p>
        </w:tc>
        <w:tc>
          <w:tcPr>
            <w:tcW w:w="5554"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楼梯</w:t>
            </w:r>
          </w:p>
        </w:tc>
        <w:tc>
          <w:tcPr>
            <w:tcW w:w="4656"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10.76 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restart"/>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建筑物外部</w:t>
            </w:r>
          </w:p>
        </w:tc>
        <w:tc>
          <w:tcPr>
            <w:tcW w:w="5554"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主入口</w:t>
            </w:r>
          </w:p>
        </w:tc>
        <w:tc>
          <w:tcPr>
            <w:tcW w:w="4656"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98.43 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continue"/>
            <w:vAlign w:val="center"/>
          </w:tcPr>
          <w:p>
            <w:pPr>
              <w:pStyle w:val="104"/>
              <w:jc w:val="center"/>
              <w:rPr>
                <w:rFonts w:ascii="宋体" w:hAnsi="宋体" w:eastAsia="仿宋_GB2312" w:cs="仿宋"/>
                <w:bCs w:val="0"/>
                <w:color w:val="auto"/>
                <w:sz w:val="24"/>
                <w:szCs w:val="21"/>
              </w:rPr>
            </w:pPr>
          </w:p>
        </w:tc>
        <w:tc>
          <w:tcPr>
            <w:tcW w:w="5554"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其他门</w:t>
            </w:r>
          </w:p>
        </w:tc>
        <w:tc>
          <w:tcPr>
            <w:tcW w:w="4656"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65.62 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顶棚或挑蓬</w:t>
            </w:r>
          </w:p>
        </w:tc>
        <w:tc>
          <w:tcPr>
            <w:tcW w:w="5554"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顶蓬（无固定、搭接或悬挑）</w:t>
            </w:r>
          </w:p>
        </w:tc>
        <w:tc>
          <w:tcPr>
            <w:tcW w:w="4656"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13.46 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户外销售</w:t>
            </w:r>
          </w:p>
        </w:tc>
        <w:tc>
          <w:tcPr>
            <w:tcW w:w="5554"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公共区域（包括汽车销售区）</w:t>
            </w:r>
          </w:p>
        </w:tc>
        <w:tc>
          <w:tcPr>
            <w:tcW w:w="4656"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5.38 W/㎡</w:t>
            </w:r>
          </w:p>
        </w:tc>
      </w:tr>
    </w:tbl>
    <w:p>
      <w:pPr>
        <w:pStyle w:val="205"/>
        <w:spacing w:before="156" w:after="156"/>
        <w:jc w:val="both"/>
        <w:rPr>
          <w:rFonts w:ascii="宋体" w:hAnsi="宋体"/>
          <w:bCs w:val="0"/>
          <w:sz w:val="24"/>
        </w:rPr>
      </w:pPr>
    </w:p>
    <w:p>
      <w:pPr>
        <w:pStyle w:val="205"/>
        <w:spacing w:before="156" w:after="156"/>
        <w:rPr>
          <w:rFonts w:ascii="宋体" w:hAnsi="宋体"/>
          <w:bCs w:val="0"/>
          <w:sz w:val="24"/>
        </w:rPr>
      </w:pPr>
    </w:p>
    <w:p>
      <w:pPr>
        <w:pStyle w:val="205"/>
        <w:spacing w:before="156" w:after="156"/>
        <w:rPr>
          <w:rFonts w:ascii="宋体" w:hAnsi="宋体"/>
          <w:bCs w:val="0"/>
          <w:sz w:val="24"/>
        </w:rPr>
      </w:pPr>
    </w:p>
    <w:p>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4 </w:t>
      </w:r>
      <w:r>
        <w:rPr>
          <w:rFonts w:hint="eastAsia" w:ascii="宋体" w:hAnsi="宋体"/>
          <w:bCs w:val="0"/>
          <w:sz w:val="24"/>
        </w:rPr>
        <w:t>功能照明功率密度（LPD）值</w:t>
      </w:r>
    </w:p>
    <w:tbl>
      <w:tblPr>
        <w:tblStyle w:val="89"/>
        <w:tblW w:w="13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35"/>
        <w:gridCol w:w="3451"/>
        <w:gridCol w:w="3473"/>
        <w:gridCol w:w="3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trPr>
        <w:tc>
          <w:tcPr>
            <w:tcW w:w="3535" w:type="dxa"/>
            <w:shd w:val="clear" w:color="auto" w:fill="FFFFFF" w:themeFill="background1"/>
            <w:tcMar>
              <w:top w:w="101" w:type="dxa"/>
              <w:left w:w="189" w:type="dxa"/>
              <w:bottom w:w="101" w:type="dxa"/>
              <w:right w:w="189" w:type="dxa"/>
            </w:tcMar>
            <w:vAlign w:val="center"/>
          </w:tcPr>
          <w:p>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道路级别</w:t>
            </w:r>
          </w:p>
        </w:tc>
        <w:tc>
          <w:tcPr>
            <w:tcW w:w="3451" w:type="dxa"/>
            <w:shd w:val="clear" w:color="auto" w:fill="FFFFFF" w:themeFill="background1"/>
            <w:tcMar>
              <w:top w:w="101" w:type="dxa"/>
              <w:left w:w="189" w:type="dxa"/>
              <w:bottom w:w="101" w:type="dxa"/>
              <w:right w:w="189" w:type="dxa"/>
            </w:tcMar>
            <w:vAlign w:val="center"/>
          </w:tcPr>
          <w:p>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车道数</w:t>
            </w:r>
          </w:p>
          <w:p>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(条)</w:t>
            </w:r>
          </w:p>
        </w:tc>
        <w:tc>
          <w:tcPr>
            <w:tcW w:w="3473" w:type="dxa"/>
            <w:shd w:val="clear" w:color="auto" w:fill="FFFFFF" w:themeFill="background1"/>
            <w:tcMar>
              <w:top w:w="101" w:type="dxa"/>
              <w:left w:w="189" w:type="dxa"/>
              <w:bottom w:w="101" w:type="dxa"/>
              <w:right w:w="189" w:type="dxa"/>
            </w:tcMar>
            <w:vAlign w:val="center"/>
          </w:tcPr>
          <w:p>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功率密度值</w:t>
            </w:r>
          </w:p>
          <w:p>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(w/㎡)</w:t>
            </w:r>
          </w:p>
        </w:tc>
        <w:tc>
          <w:tcPr>
            <w:tcW w:w="3479" w:type="dxa"/>
            <w:shd w:val="clear" w:color="auto" w:fill="FFFFFF" w:themeFill="background1"/>
            <w:tcMar>
              <w:top w:w="101" w:type="dxa"/>
              <w:left w:w="189" w:type="dxa"/>
              <w:bottom w:w="101" w:type="dxa"/>
              <w:right w:w="189" w:type="dxa"/>
            </w:tcMar>
            <w:vAlign w:val="center"/>
          </w:tcPr>
          <w:p>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对应照度</w:t>
            </w:r>
          </w:p>
          <w:p>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restart"/>
            <w:shd w:val="clear" w:color="auto" w:fill="auto"/>
            <w:tcMar>
              <w:top w:w="101" w:type="dxa"/>
              <w:left w:w="189" w:type="dxa"/>
              <w:bottom w:w="101" w:type="dxa"/>
              <w:right w:w="189" w:type="dxa"/>
            </w:tcMar>
            <w:vAlign w:val="center"/>
          </w:tcPr>
          <w:p>
            <w:pPr>
              <w:pStyle w:val="104"/>
              <w:spacing w:line="26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特殊景观重要性道路、高速公路、一级公路、城市快速路、 主干路</w:t>
            </w: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3479" w:type="dxa"/>
            <w:vMerge w:val="restart"/>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≤1.20</w:t>
            </w:r>
          </w:p>
        </w:tc>
        <w:tc>
          <w:tcPr>
            <w:tcW w:w="3479" w:type="dxa"/>
            <w:vMerge w:val="continue"/>
            <w:vAlign w:val="center"/>
          </w:tcPr>
          <w:p>
            <w:pPr>
              <w:pStyle w:val="104"/>
              <w:spacing w:line="240" w:lineRule="exact"/>
              <w:jc w:val="center"/>
              <w:rPr>
                <w:rFonts w:ascii="宋体" w:hAnsi="宋体" w:eastAsia="仿宋_GB2312" w:cs="仿宋"/>
                <w:bCs w:val="0"/>
                <w:color w:val="auto"/>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≤0.70</w:t>
            </w:r>
          </w:p>
        </w:tc>
        <w:tc>
          <w:tcPr>
            <w:tcW w:w="3479" w:type="dxa"/>
            <w:vMerge w:val="restart"/>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≤0.85</w:t>
            </w:r>
          </w:p>
        </w:tc>
        <w:tc>
          <w:tcPr>
            <w:tcW w:w="3479" w:type="dxa"/>
            <w:vMerge w:val="continue"/>
            <w:vAlign w:val="center"/>
          </w:tcPr>
          <w:p>
            <w:pPr>
              <w:pStyle w:val="104"/>
              <w:spacing w:line="240" w:lineRule="exact"/>
              <w:jc w:val="center"/>
              <w:rPr>
                <w:rFonts w:ascii="宋体" w:hAnsi="宋体" w:eastAsia="仿宋_GB2312" w:cs="仿宋"/>
                <w:bCs w:val="0"/>
                <w:color w:val="auto"/>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restart"/>
            <w:shd w:val="clear" w:color="auto" w:fill="auto"/>
            <w:tcMar>
              <w:top w:w="101" w:type="dxa"/>
              <w:left w:w="189" w:type="dxa"/>
              <w:bottom w:w="101" w:type="dxa"/>
              <w:right w:w="189" w:type="dxa"/>
            </w:tcMar>
            <w:vAlign w:val="center"/>
          </w:tcPr>
          <w:p>
            <w:pPr>
              <w:pStyle w:val="104"/>
              <w:spacing w:line="26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城市次干路</w:t>
            </w: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≤0.80</w:t>
            </w:r>
          </w:p>
        </w:tc>
        <w:tc>
          <w:tcPr>
            <w:tcW w:w="3479" w:type="dxa"/>
            <w:vMerge w:val="restart"/>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pPr>
              <w:pStyle w:val="104"/>
              <w:spacing w:line="26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≤0.90</w:t>
            </w:r>
          </w:p>
        </w:tc>
        <w:tc>
          <w:tcPr>
            <w:tcW w:w="3479" w:type="dxa"/>
            <w:vMerge w:val="continue"/>
            <w:vAlign w:val="center"/>
          </w:tcPr>
          <w:p>
            <w:pPr>
              <w:pStyle w:val="104"/>
              <w:spacing w:line="240" w:lineRule="exact"/>
              <w:jc w:val="center"/>
              <w:rPr>
                <w:rFonts w:ascii="宋体" w:hAnsi="宋体" w:eastAsia="仿宋_GB2312" w:cs="仿宋"/>
                <w:bCs w:val="0"/>
                <w:color w:val="auto"/>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pPr>
              <w:pStyle w:val="104"/>
              <w:spacing w:line="26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≤0.60</w:t>
            </w:r>
          </w:p>
        </w:tc>
        <w:tc>
          <w:tcPr>
            <w:tcW w:w="3479" w:type="dxa"/>
            <w:vMerge w:val="restart"/>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pPr>
              <w:pStyle w:val="104"/>
              <w:spacing w:line="26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≤0.70</w:t>
            </w:r>
          </w:p>
        </w:tc>
        <w:tc>
          <w:tcPr>
            <w:tcW w:w="3479" w:type="dxa"/>
            <w:vMerge w:val="continue"/>
            <w:vAlign w:val="center"/>
          </w:tcPr>
          <w:p>
            <w:pPr>
              <w:pStyle w:val="104"/>
              <w:spacing w:line="240" w:lineRule="exact"/>
              <w:jc w:val="center"/>
              <w:rPr>
                <w:rFonts w:ascii="宋体" w:hAnsi="宋体" w:eastAsia="仿宋_GB2312" w:cs="仿宋"/>
                <w:bCs w:val="0"/>
                <w:color w:val="auto"/>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restart"/>
            <w:shd w:val="clear" w:color="auto" w:fill="auto"/>
            <w:tcMar>
              <w:top w:w="101" w:type="dxa"/>
              <w:left w:w="189" w:type="dxa"/>
              <w:bottom w:w="101" w:type="dxa"/>
              <w:right w:w="189" w:type="dxa"/>
            </w:tcMar>
            <w:vAlign w:val="center"/>
          </w:tcPr>
          <w:p>
            <w:pPr>
              <w:pStyle w:val="104"/>
              <w:spacing w:line="26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城市支路</w:t>
            </w: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≤0.50</w:t>
            </w:r>
          </w:p>
        </w:tc>
        <w:tc>
          <w:tcPr>
            <w:tcW w:w="3479" w:type="dxa"/>
            <w:vMerge w:val="restart"/>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≤0.60</w:t>
            </w:r>
          </w:p>
        </w:tc>
        <w:tc>
          <w:tcPr>
            <w:tcW w:w="3479" w:type="dxa"/>
            <w:vMerge w:val="continue"/>
            <w:vAlign w:val="center"/>
          </w:tcPr>
          <w:p>
            <w:pPr>
              <w:pStyle w:val="104"/>
              <w:spacing w:line="240" w:lineRule="exact"/>
              <w:jc w:val="center"/>
              <w:rPr>
                <w:rFonts w:ascii="宋体" w:hAnsi="宋体" w:eastAsia="仿宋_GB2312" w:cs="仿宋"/>
                <w:bCs w:val="0"/>
                <w:color w:val="auto"/>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≤0.40</w:t>
            </w:r>
          </w:p>
        </w:tc>
        <w:tc>
          <w:tcPr>
            <w:tcW w:w="3479" w:type="dxa"/>
            <w:vMerge w:val="restart"/>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35" w:type="dxa"/>
            <w:vMerge w:val="continue"/>
            <w:vAlign w:val="center"/>
          </w:tcPr>
          <w:p>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≤0.45</w:t>
            </w:r>
          </w:p>
        </w:tc>
        <w:tc>
          <w:tcPr>
            <w:tcW w:w="3479" w:type="dxa"/>
            <w:vMerge w:val="continue"/>
            <w:vAlign w:val="center"/>
          </w:tcPr>
          <w:p>
            <w:pPr>
              <w:pStyle w:val="104"/>
              <w:rPr>
                <w:rFonts w:ascii="宋体" w:hAnsi="宋体" w:eastAsia="仿宋_GB2312"/>
                <w:bCs w:val="0"/>
                <w:color w:val="auto"/>
                <w:sz w:val="24"/>
              </w:rPr>
            </w:pPr>
          </w:p>
        </w:tc>
      </w:tr>
    </w:tbl>
    <w:p>
      <w:pPr>
        <w:pStyle w:val="6"/>
        <w:rPr>
          <w:rFonts w:ascii="宋体" w:hAnsi="宋体"/>
          <w:b w:val="0"/>
        </w:rPr>
        <w:sectPr>
          <w:pgSz w:w="16838" w:h="11906" w:orient="landscape"/>
          <w:pgMar w:top="1797" w:right="1440" w:bottom="1797" w:left="1440" w:header="851" w:footer="1587" w:gutter="0"/>
          <w:cols w:space="425" w:num="1"/>
          <w:titlePg/>
          <w:docGrid w:type="linesAndChars" w:linePitch="312" w:charSpace="0"/>
        </w:sectPr>
      </w:pPr>
    </w:p>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87" w:name="_Toc3128"/>
      <w:bookmarkStart w:id="688" w:name="_Toc26768"/>
      <w:bookmarkStart w:id="689" w:name="_Toc1933"/>
      <w:bookmarkStart w:id="690" w:name="_Toc30792"/>
      <w:bookmarkStart w:id="691" w:name="_Toc88656269"/>
      <w:bookmarkStart w:id="692" w:name="_Toc17510"/>
      <w:r>
        <w:rPr>
          <w:rFonts w:hint="eastAsia" w:ascii="宋体" w:hAnsi="宋体" w:eastAsia="黑体" w:cs="黑体"/>
          <w:b w:val="0"/>
          <w:sz w:val="32"/>
        </w:rPr>
        <w:t>三、开放空间照明控制指引</w:t>
      </w:r>
      <w:bookmarkEnd w:id="687"/>
      <w:bookmarkEnd w:id="688"/>
      <w:bookmarkEnd w:id="689"/>
      <w:bookmarkEnd w:id="690"/>
      <w:bookmarkEnd w:id="691"/>
      <w:bookmarkEnd w:id="692"/>
      <w:r>
        <w:rPr>
          <w:rFonts w:hint="eastAsia" w:ascii="宋体" w:hAnsi="宋体" w:eastAsia="黑体" w:cs="黑体"/>
          <w:b w:val="0"/>
          <w:sz w:val="32"/>
        </w:rPr>
        <w:t xml:space="preserve"> </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在照明区域划分的基础上，根据开放空间所在照明分区及位置、尺度、人流量，查表读取规划控制的技术指标（表3</w:t>
      </w:r>
      <w:r>
        <w:rPr>
          <w:rFonts w:hint="eastAsia" w:ascii="宋体" w:hAnsi="宋体" w:eastAsia="仿宋_GB2312"/>
          <w:sz w:val="32"/>
        </w:rPr>
        <w:t>—</w:t>
      </w:r>
      <w:r>
        <w:rPr>
          <w:rFonts w:hint="eastAsia" w:ascii="宋体" w:hAnsi="宋体" w:eastAsia="仿宋_GB2312"/>
          <w:sz w:val="32"/>
          <w:lang w:eastAsia="zh-Hans"/>
        </w:rPr>
        <w:t>15和3</w:t>
      </w:r>
      <w:r>
        <w:rPr>
          <w:rFonts w:hint="eastAsia" w:ascii="宋体" w:hAnsi="宋体" w:eastAsia="仿宋_GB2312"/>
          <w:sz w:val="32"/>
        </w:rPr>
        <w:t>—</w:t>
      </w:r>
      <w:r>
        <w:rPr>
          <w:rFonts w:hint="eastAsia" w:ascii="宋体" w:hAnsi="宋体" w:eastAsia="仿宋_GB2312"/>
          <w:sz w:val="32"/>
          <w:lang w:eastAsia="zh-Hans"/>
        </w:rPr>
        <w:t>16）。通过限定空间的照度、光色、动态，实现对照明空间的量化控制，用于规划管理。见图</w:t>
      </w:r>
      <w:r>
        <w:rPr>
          <w:rFonts w:hint="eastAsia" w:ascii="宋体" w:hAnsi="宋体" w:eastAsia="仿宋_GB2312"/>
          <w:sz w:val="32"/>
        </w:rPr>
        <w:t>1</w:t>
      </w:r>
      <w:r>
        <w:rPr>
          <w:rFonts w:hint="eastAsia" w:ascii="宋体" w:hAnsi="宋体" w:eastAsia="仿宋_GB2312"/>
          <w:sz w:val="32"/>
          <w:lang w:eastAsia="zh-Hans"/>
        </w:rPr>
        <w:t>3</w:t>
      </w:r>
      <w:r>
        <w:rPr>
          <w:rFonts w:hint="eastAsia" w:ascii="宋体" w:hAnsi="宋体" w:eastAsia="仿宋_GB2312"/>
          <w:sz w:val="32"/>
        </w:rPr>
        <w:t>—</w:t>
      </w:r>
      <w:r>
        <w:rPr>
          <w:rFonts w:hint="eastAsia" w:ascii="宋体" w:hAnsi="宋体" w:eastAsia="仿宋_GB2312"/>
          <w:sz w:val="32"/>
          <w:lang w:eastAsia="zh-Hans"/>
        </w:rPr>
        <w:t>3 中心城居民区周边夜间公众活动开放空间规划图。</w:t>
      </w:r>
    </w:p>
    <w:p>
      <w:pPr>
        <w:pStyle w:val="205"/>
        <w:spacing w:before="156" w:after="156"/>
        <w:rPr>
          <w:rFonts w:ascii="宋体" w:hAnsi="宋体"/>
          <w:bCs w:val="0"/>
          <w:sz w:val="24"/>
        </w:rPr>
      </w:pPr>
      <w:r>
        <w:rPr>
          <w:rFonts w:hint="eastAsia" w:ascii="宋体" w:hAnsi="宋体"/>
          <w:bCs w:val="0"/>
          <w:sz w:val="24"/>
        </w:rPr>
        <w:t>表13—1</w:t>
      </w:r>
      <w:r>
        <w:rPr>
          <w:rFonts w:ascii="宋体" w:hAnsi="宋体"/>
          <w:bCs w:val="0"/>
          <w:sz w:val="24"/>
        </w:rPr>
        <w:t>5</w:t>
      </w:r>
      <w:r>
        <w:rPr>
          <w:rFonts w:hint="eastAsia" w:ascii="宋体" w:hAnsi="宋体"/>
          <w:bCs w:val="0"/>
          <w:sz w:val="24"/>
        </w:rPr>
        <w:t xml:space="preserve"> 广场绿地、</w:t>
      </w:r>
      <w:r>
        <w:rPr>
          <w:rFonts w:ascii="宋体" w:hAnsi="宋体"/>
          <w:bCs w:val="0"/>
          <w:sz w:val="24"/>
        </w:rPr>
        <w:t>人行道、公共活动区和主要出入口的照度标准值</w:t>
      </w:r>
    </w:p>
    <w:tbl>
      <w:tblPr>
        <w:tblStyle w:val="9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47"/>
        <w:gridCol w:w="957"/>
        <w:gridCol w:w="1239"/>
        <w:gridCol w:w="1238"/>
        <w:gridCol w:w="1239"/>
        <w:gridCol w:w="1392"/>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233" w:type="dxa"/>
            <w:vMerge w:val="restart"/>
            <w:vAlign w:val="center"/>
          </w:tcPr>
          <w:p>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照明</w:t>
            </w:r>
            <w:r>
              <w:rPr>
                <w:rFonts w:ascii="宋体" w:hAnsi="宋体" w:eastAsia="仿宋_GB2312"/>
                <w:bCs w:val="0"/>
                <w:color w:val="auto"/>
                <w:sz w:val="24"/>
                <w:szCs w:val="21"/>
              </w:rPr>
              <w:t>场所</w:t>
            </w:r>
          </w:p>
        </w:tc>
        <w:tc>
          <w:tcPr>
            <w:tcW w:w="747" w:type="dxa"/>
            <w:vMerge w:val="restart"/>
            <w:vAlign w:val="center"/>
          </w:tcPr>
          <w:p>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绿地</w:t>
            </w:r>
          </w:p>
        </w:tc>
        <w:tc>
          <w:tcPr>
            <w:tcW w:w="957" w:type="dxa"/>
            <w:vMerge w:val="restart"/>
            <w:vAlign w:val="center"/>
          </w:tcPr>
          <w:p>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人行道</w:t>
            </w:r>
          </w:p>
        </w:tc>
        <w:tc>
          <w:tcPr>
            <w:tcW w:w="5108" w:type="dxa"/>
            <w:gridSpan w:val="4"/>
            <w:vAlign w:val="center"/>
          </w:tcPr>
          <w:p>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公共活动区</w:t>
            </w:r>
          </w:p>
        </w:tc>
        <w:tc>
          <w:tcPr>
            <w:tcW w:w="1016" w:type="dxa"/>
            <w:vMerge w:val="restart"/>
            <w:vAlign w:val="center"/>
          </w:tcPr>
          <w:p>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主要</w:t>
            </w:r>
            <w:r>
              <w:rPr>
                <w:rFonts w:ascii="宋体" w:hAnsi="宋体" w:eastAsia="仿宋_GB2312"/>
                <w:bCs w:val="0"/>
                <w:color w:val="auto"/>
                <w:sz w:val="24"/>
                <w:szCs w:val="21"/>
              </w:rPr>
              <w:t>出入口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33" w:type="dxa"/>
            <w:vMerge w:val="continue"/>
          </w:tcPr>
          <w:p>
            <w:pPr>
              <w:pStyle w:val="104"/>
              <w:rPr>
                <w:rFonts w:ascii="宋体" w:hAnsi="宋体" w:eastAsia="仿宋_GB2312"/>
                <w:bCs w:val="0"/>
                <w:color w:val="auto"/>
                <w:sz w:val="24"/>
                <w:szCs w:val="21"/>
              </w:rPr>
            </w:pPr>
          </w:p>
        </w:tc>
        <w:tc>
          <w:tcPr>
            <w:tcW w:w="747" w:type="dxa"/>
            <w:vMerge w:val="continue"/>
          </w:tcPr>
          <w:p>
            <w:pPr>
              <w:pStyle w:val="104"/>
              <w:rPr>
                <w:rFonts w:ascii="宋体" w:hAnsi="宋体" w:eastAsia="仿宋_GB2312"/>
                <w:bCs w:val="0"/>
                <w:color w:val="auto"/>
                <w:sz w:val="24"/>
                <w:szCs w:val="21"/>
              </w:rPr>
            </w:pPr>
          </w:p>
        </w:tc>
        <w:tc>
          <w:tcPr>
            <w:tcW w:w="957" w:type="dxa"/>
            <w:vMerge w:val="continue"/>
          </w:tcPr>
          <w:p>
            <w:pPr>
              <w:pStyle w:val="104"/>
              <w:rPr>
                <w:rFonts w:ascii="宋体" w:hAnsi="宋体" w:eastAsia="仿宋_GB2312"/>
                <w:bCs w:val="0"/>
                <w:color w:val="auto"/>
                <w:sz w:val="24"/>
                <w:szCs w:val="21"/>
              </w:rPr>
            </w:pPr>
          </w:p>
        </w:tc>
        <w:tc>
          <w:tcPr>
            <w:tcW w:w="1239" w:type="dxa"/>
          </w:tcPr>
          <w:p>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市政广场</w:t>
            </w:r>
          </w:p>
        </w:tc>
        <w:tc>
          <w:tcPr>
            <w:tcW w:w="1238" w:type="dxa"/>
          </w:tcPr>
          <w:p>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交通广场</w:t>
            </w:r>
          </w:p>
        </w:tc>
        <w:tc>
          <w:tcPr>
            <w:tcW w:w="1239" w:type="dxa"/>
          </w:tcPr>
          <w:p>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商业广场</w:t>
            </w:r>
          </w:p>
        </w:tc>
        <w:tc>
          <w:tcPr>
            <w:tcW w:w="1392" w:type="dxa"/>
          </w:tcPr>
          <w:p>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其他广场</w:t>
            </w:r>
          </w:p>
        </w:tc>
        <w:tc>
          <w:tcPr>
            <w:tcW w:w="1016" w:type="dxa"/>
            <w:vMerge w:val="continue"/>
          </w:tcPr>
          <w:p>
            <w:pPr>
              <w:pStyle w:val="104"/>
              <w:rPr>
                <w:rFonts w:ascii="宋体" w:hAnsi="宋体" w:eastAsia="仿宋_GB2312"/>
                <w:bCs w:val="0"/>
                <w:color w:val="auto"/>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233"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水平照度（lx）</w:t>
            </w:r>
          </w:p>
        </w:tc>
        <w:tc>
          <w:tcPr>
            <w:tcW w:w="747"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w:t>
            </w:r>
          </w:p>
        </w:tc>
        <w:tc>
          <w:tcPr>
            <w:tcW w:w="957"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w:t>
            </w:r>
            <w:r>
              <w:rPr>
                <w:rFonts w:ascii="宋体" w:hAnsi="宋体" w:eastAsia="仿宋_GB2312" w:cs="仿宋"/>
                <w:bCs w:val="0"/>
                <w:color w:val="auto"/>
                <w:sz w:val="24"/>
                <w:szCs w:val="21"/>
              </w:rPr>
              <w:t>10</w:t>
            </w:r>
          </w:p>
        </w:tc>
        <w:tc>
          <w:tcPr>
            <w:tcW w:w="1239"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w:t>
            </w:r>
            <w:r>
              <w:rPr>
                <w:rFonts w:ascii="宋体" w:hAnsi="宋体" w:eastAsia="仿宋_GB2312" w:cs="仿宋"/>
                <w:bCs w:val="0"/>
                <w:color w:val="auto"/>
                <w:sz w:val="24"/>
                <w:szCs w:val="21"/>
              </w:rPr>
              <w:t>25</w:t>
            </w:r>
          </w:p>
        </w:tc>
        <w:tc>
          <w:tcPr>
            <w:tcW w:w="1238"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w:t>
            </w:r>
            <w:r>
              <w:rPr>
                <w:rFonts w:ascii="宋体" w:hAnsi="宋体" w:eastAsia="仿宋_GB2312" w:cs="仿宋"/>
                <w:bCs w:val="0"/>
                <w:color w:val="auto"/>
                <w:sz w:val="24"/>
                <w:szCs w:val="21"/>
              </w:rPr>
              <w:t>0</w:t>
            </w:r>
            <w:r>
              <w:rPr>
                <w:rFonts w:hint="eastAsia" w:ascii="宋体" w:hAnsi="宋体" w:eastAsia="仿宋_GB2312" w:cs="仿宋"/>
                <w:bCs w:val="0"/>
                <w:color w:val="auto"/>
                <w:sz w:val="24"/>
                <w:szCs w:val="21"/>
              </w:rPr>
              <w:t>—</w:t>
            </w:r>
            <w:r>
              <w:rPr>
                <w:rFonts w:ascii="宋体" w:hAnsi="宋体" w:eastAsia="仿宋_GB2312" w:cs="仿宋"/>
                <w:bCs w:val="0"/>
                <w:color w:val="auto"/>
                <w:sz w:val="24"/>
                <w:szCs w:val="21"/>
              </w:rPr>
              <w:t>20</w:t>
            </w:r>
          </w:p>
        </w:tc>
        <w:tc>
          <w:tcPr>
            <w:tcW w:w="1239"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w:t>
            </w:r>
            <w:r>
              <w:rPr>
                <w:rFonts w:ascii="宋体" w:hAnsi="宋体" w:eastAsia="仿宋_GB2312" w:cs="仿宋"/>
                <w:bCs w:val="0"/>
                <w:color w:val="auto"/>
                <w:sz w:val="24"/>
                <w:szCs w:val="21"/>
              </w:rPr>
              <w:t>20</w:t>
            </w:r>
          </w:p>
        </w:tc>
        <w:tc>
          <w:tcPr>
            <w:tcW w:w="1392"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w:t>
            </w:r>
            <w:r>
              <w:rPr>
                <w:rFonts w:ascii="宋体" w:hAnsi="宋体" w:eastAsia="仿宋_GB2312" w:cs="仿宋"/>
                <w:bCs w:val="0"/>
                <w:color w:val="auto"/>
                <w:sz w:val="24"/>
                <w:szCs w:val="21"/>
              </w:rPr>
              <w:t>10</w:t>
            </w:r>
          </w:p>
        </w:tc>
        <w:tc>
          <w:tcPr>
            <w:tcW w:w="1016"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r>
              <w:rPr>
                <w:rFonts w:ascii="宋体" w:hAnsi="宋体" w:eastAsia="仿宋_GB2312" w:cs="仿宋"/>
                <w:bCs w:val="0"/>
                <w:color w:val="auto"/>
                <w:sz w:val="24"/>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9061" w:type="dxa"/>
            <w:gridSpan w:val="8"/>
          </w:tcPr>
          <w:p>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注：1、人行道的最小水平照度为2～5lx；2、人行道的最小半柱面照度为2lx。</w:t>
            </w:r>
          </w:p>
        </w:tc>
      </w:tr>
    </w:tbl>
    <w:p>
      <w:pPr>
        <w:pStyle w:val="205"/>
        <w:spacing w:before="156" w:after="156"/>
        <w:rPr>
          <w:rFonts w:ascii="宋体" w:hAnsi="宋体"/>
          <w:bCs w:val="0"/>
          <w:sz w:val="24"/>
        </w:rPr>
      </w:pPr>
      <w:r>
        <w:rPr>
          <w:rFonts w:hint="eastAsia" w:ascii="宋体" w:hAnsi="宋体"/>
          <w:bCs w:val="0"/>
          <w:sz w:val="24"/>
        </w:rPr>
        <w:t>表13—1</w:t>
      </w:r>
      <w:r>
        <w:rPr>
          <w:rFonts w:ascii="宋体" w:hAnsi="宋体"/>
          <w:bCs w:val="0"/>
          <w:sz w:val="24"/>
        </w:rPr>
        <w:t xml:space="preserve">6 </w:t>
      </w:r>
      <w:r>
        <w:rPr>
          <w:rFonts w:hint="eastAsia" w:ascii="宋体" w:hAnsi="宋体"/>
          <w:bCs w:val="0"/>
          <w:sz w:val="24"/>
        </w:rPr>
        <w:t>公园公共活动区域的照度标准值</w:t>
      </w:r>
    </w:p>
    <w:tbl>
      <w:tblPr>
        <w:tblStyle w:val="9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2751"/>
        <w:gridCol w:w="3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2" w:type="dxa"/>
            <w:vAlign w:val="center"/>
          </w:tcPr>
          <w:p>
            <w:pPr>
              <w:pStyle w:val="104"/>
              <w:jc w:val="center"/>
              <w:rPr>
                <w:rFonts w:ascii="宋体" w:hAnsi="宋体" w:eastAsia="仿宋_GB2312"/>
                <w:bCs w:val="0"/>
                <w:color w:val="auto"/>
                <w:sz w:val="24"/>
                <w:szCs w:val="21"/>
                <w:lang w:val="zh-TW" w:eastAsia="zh-TW"/>
              </w:rPr>
            </w:pPr>
            <w:r>
              <w:rPr>
                <w:rFonts w:hint="eastAsia" w:ascii="宋体" w:hAnsi="宋体" w:eastAsia="仿宋_GB2312"/>
                <w:bCs w:val="0"/>
                <w:color w:val="auto"/>
                <w:sz w:val="24"/>
                <w:szCs w:val="21"/>
                <w:lang w:val="zh-TW" w:eastAsia="zh-TW"/>
              </w:rPr>
              <w:t>区域</w:t>
            </w:r>
          </w:p>
        </w:tc>
        <w:tc>
          <w:tcPr>
            <w:tcW w:w="2751" w:type="dxa"/>
            <w:vAlign w:val="center"/>
          </w:tcPr>
          <w:p>
            <w:pPr>
              <w:pStyle w:val="104"/>
              <w:jc w:val="center"/>
              <w:rPr>
                <w:rFonts w:ascii="宋体" w:hAnsi="宋体" w:eastAsia="仿宋_GB2312"/>
                <w:bCs w:val="0"/>
                <w:color w:val="auto"/>
                <w:sz w:val="24"/>
                <w:szCs w:val="21"/>
                <w:lang w:val="zh-TW" w:eastAsia="zh-TW"/>
              </w:rPr>
            </w:pPr>
            <w:r>
              <w:rPr>
                <w:rFonts w:hint="eastAsia" w:ascii="宋体" w:hAnsi="宋体" w:eastAsia="仿宋_GB2312"/>
                <w:bCs w:val="0"/>
                <w:color w:val="auto"/>
                <w:sz w:val="24"/>
                <w:szCs w:val="21"/>
                <w:lang w:val="zh-TW" w:eastAsia="zh-TW"/>
              </w:rPr>
              <w:t>最小平均水平照度Eh,min(lx)</w:t>
            </w:r>
          </w:p>
        </w:tc>
        <w:tc>
          <w:tcPr>
            <w:tcW w:w="3338" w:type="dxa"/>
            <w:vAlign w:val="center"/>
          </w:tcPr>
          <w:p>
            <w:pPr>
              <w:pStyle w:val="104"/>
              <w:jc w:val="center"/>
              <w:rPr>
                <w:rFonts w:ascii="宋体" w:hAnsi="宋体" w:eastAsia="PMingLiU"/>
                <w:bCs w:val="0"/>
                <w:color w:val="auto"/>
                <w:sz w:val="24"/>
                <w:szCs w:val="21"/>
                <w:lang w:val="zh-TW" w:eastAsia="zh-TW"/>
              </w:rPr>
            </w:pPr>
            <w:r>
              <w:rPr>
                <w:rFonts w:hint="eastAsia" w:ascii="宋体" w:hAnsi="宋体" w:eastAsia="仿宋_GB2312"/>
                <w:bCs w:val="0"/>
                <w:color w:val="auto"/>
                <w:sz w:val="24"/>
                <w:szCs w:val="21"/>
                <w:lang w:val="zh-TW" w:eastAsia="zh-TW"/>
              </w:rPr>
              <w:t>最小半柱面照度</w:t>
            </w:r>
          </w:p>
          <w:p>
            <w:pPr>
              <w:pStyle w:val="104"/>
              <w:jc w:val="center"/>
              <w:rPr>
                <w:rFonts w:ascii="宋体" w:hAnsi="宋体" w:eastAsia="仿宋_GB2312"/>
                <w:bCs w:val="0"/>
                <w:color w:val="auto"/>
                <w:sz w:val="24"/>
                <w:szCs w:val="21"/>
                <w:lang w:val="zh-TW" w:eastAsia="zh-TW"/>
              </w:rPr>
            </w:pPr>
            <w:r>
              <w:rPr>
                <w:rFonts w:hint="eastAsia" w:ascii="宋体" w:hAnsi="宋体" w:eastAsia="仿宋_GB2312"/>
                <w:bCs w:val="0"/>
                <w:color w:val="auto"/>
                <w:sz w:val="24"/>
                <w:szCs w:val="21"/>
                <w:lang w:val="zh-TW" w:eastAsia="zh-TW"/>
              </w:rPr>
              <w:t>Esc,min(lx)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2" w:type="dxa"/>
          </w:tcPr>
          <w:p>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人行道</w:t>
            </w:r>
            <w:r>
              <w:rPr>
                <w:rFonts w:ascii="宋体" w:hAnsi="宋体" w:eastAsia="仿宋_GB2312" w:cs="仿宋"/>
                <w:bCs w:val="0"/>
                <w:color w:val="auto"/>
                <w:sz w:val="24"/>
                <w:szCs w:val="21"/>
              </w:rPr>
              <w:t>、非机动车道</w:t>
            </w:r>
          </w:p>
        </w:tc>
        <w:tc>
          <w:tcPr>
            <w:tcW w:w="2751"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338"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2" w:type="dxa"/>
          </w:tcPr>
          <w:p>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庭园</w:t>
            </w:r>
            <w:r>
              <w:rPr>
                <w:rFonts w:ascii="宋体" w:hAnsi="宋体" w:eastAsia="仿宋_GB2312" w:cs="仿宋"/>
                <w:bCs w:val="0"/>
                <w:color w:val="auto"/>
                <w:sz w:val="24"/>
                <w:szCs w:val="21"/>
              </w:rPr>
              <w:t>、平台</w:t>
            </w:r>
          </w:p>
        </w:tc>
        <w:tc>
          <w:tcPr>
            <w:tcW w:w="2751"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w:t>
            </w:r>
          </w:p>
        </w:tc>
        <w:tc>
          <w:tcPr>
            <w:tcW w:w="3338"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2" w:type="dxa"/>
          </w:tcPr>
          <w:p>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儿童</w:t>
            </w:r>
            <w:r>
              <w:rPr>
                <w:rFonts w:ascii="宋体" w:hAnsi="宋体" w:eastAsia="仿宋_GB2312" w:cs="仿宋"/>
                <w:bCs w:val="0"/>
                <w:color w:val="auto"/>
                <w:sz w:val="24"/>
                <w:szCs w:val="21"/>
              </w:rPr>
              <w:t>游戏场地</w:t>
            </w:r>
          </w:p>
        </w:tc>
        <w:tc>
          <w:tcPr>
            <w:tcW w:w="2751"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w:t>
            </w:r>
          </w:p>
        </w:tc>
        <w:tc>
          <w:tcPr>
            <w:tcW w:w="3338" w:type="dxa"/>
            <w:vAlign w:val="center"/>
          </w:tcPr>
          <w:p>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r>
      <w:bookmarkEnd w:id="686"/>
    </w:tbl>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93" w:name="_Toc88656270"/>
      <w:bookmarkStart w:id="694" w:name="_Toc9757"/>
      <w:bookmarkStart w:id="695" w:name="_Toc8222"/>
      <w:bookmarkStart w:id="696" w:name="_Toc2512"/>
      <w:bookmarkStart w:id="697" w:name="_Toc2594"/>
      <w:bookmarkStart w:id="698" w:name="_Toc31227"/>
      <w:bookmarkStart w:id="699" w:name="_Hlk87457008"/>
      <w:r>
        <w:rPr>
          <w:rFonts w:hint="eastAsia" w:ascii="宋体" w:hAnsi="宋体" w:eastAsia="黑体" w:cs="黑体"/>
          <w:b w:val="0"/>
          <w:sz w:val="32"/>
        </w:rPr>
        <w:t>四、广告标识亮度指标</w:t>
      </w:r>
      <w:bookmarkEnd w:id="693"/>
      <w:bookmarkEnd w:id="694"/>
      <w:bookmarkEnd w:id="695"/>
      <w:bookmarkEnd w:id="696"/>
      <w:bookmarkEnd w:id="697"/>
      <w:bookmarkEnd w:id="698"/>
      <w:r>
        <w:rPr>
          <w:rFonts w:hint="eastAsia" w:ascii="宋体" w:hAnsi="宋体" w:eastAsia="黑体" w:cs="黑体"/>
          <w:b w:val="0"/>
          <w:sz w:val="32"/>
        </w:rPr>
        <w:t xml:space="preserve"> </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加强对广告标识的照明控制，平均亮度最大允许值不应大于表3</w:t>
      </w:r>
      <w:r>
        <w:rPr>
          <w:rFonts w:hint="eastAsia" w:ascii="宋体" w:hAnsi="宋体" w:eastAsia="仿宋_GB2312"/>
          <w:sz w:val="32"/>
        </w:rPr>
        <w:t>—</w:t>
      </w:r>
      <w:r>
        <w:rPr>
          <w:rFonts w:hint="eastAsia" w:ascii="宋体" w:hAnsi="宋体" w:eastAsia="仿宋_GB2312"/>
          <w:sz w:val="32"/>
          <w:lang w:eastAsia="zh-Hans"/>
        </w:rPr>
        <w:t>1</w:t>
      </w:r>
      <w:r>
        <w:rPr>
          <w:rFonts w:hint="eastAsia" w:ascii="宋体" w:hAnsi="宋体" w:eastAsia="仿宋_GB2312"/>
          <w:sz w:val="32"/>
        </w:rPr>
        <w:t>7</w:t>
      </w:r>
      <w:r>
        <w:rPr>
          <w:rFonts w:hint="eastAsia" w:ascii="宋体" w:hAnsi="宋体" w:eastAsia="仿宋_GB2312"/>
          <w:sz w:val="32"/>
          <w:lang w:eastAsia="zh-Hans"/>
        </w:rPr>
        <w:t>的规定。</w:t>
      </w:r>
    </w:p>
    <w:p>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7 </w:t>
      </w:r>
      <w:bookmarkStart w:id="700" w:name="_Hlk86308613"/>
      <w:r>
        <w:rPr>
          <w:rFonts w:hint="eastAsia" w:ascii="宋体" w:hAnsi="宋体"/>
          <w:bCs w:val="0"/>
          <w:sz w:val="24"/>
        </w:rPr>
        <w:t>LED显示屏、广告标识光污染控制限值表</w:t>
      </w:r>
      <w:bookmarkEnd w:id="700"/>
    </w:p>
    <w:tbl>
      <w:tblPr>
        <w:tblStyle w:val="8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65"/>
        <w:gridCol w:w="1507"/>
        <w:gridCol w:w="1569"/>
        <w:gridCol w:w="1570"/>
        <w:gridCol w:w="1569"/>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1265"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控制类型</w:t>
            </w:r>
          </w:p>
        </w:tc>
        <w:tc>
          <w:tcPr>
            <w:tcW w:w="1507"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LED显示屏</w:t>
            </w:r>
          </w:p>
        </w:tc>
        <w:tc>
          <w:tcPr>
            <w:tcW w:w="6289" w:type="dxa"/>
            <w:gridSpan w:val="4"/>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广告标识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6" w:hRule="exact"/>
        </w:trPr>
        <w:tc>
          <w:tcPr>
            <w:tcW w:w="1265"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照明项目</w:t>
            </w:r>
          </w:p>
        </w:tc>
        <w:tc>
          <w:tcPr>
            <w:tcW w:w="1507"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69"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S≤0.5</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70"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0.5＜S≤2</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69"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2＜S≤10</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81"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S＞10</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IV类城市照明区</w:t>
            </w:r>
          </w:p>
        </w:tc>
        <w:tc>
          <w:tcPr>
            <w:tcW w:w="1507"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600</w:t>
            </w:r>
          </w:p>
        </w:tc>
        <w:tc>
          <w:tcPr>
            <w:tcW w:w="1569"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1000</w:t>
            </w:r>
          </w:p>
        </w:tc>
        <w:tc>
          <w:tcPr>
            <w:tcW w:w="1570"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800</w:t>
            </w:r>
          </w:p>
        </w:tc>
        <w:tc>
          <w:tcPr>
            <w:tcW w:w="1569"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600</w:t>
            </w:r>
          </w:p>
        </w:tc>
        <w:tc>
          <w:tcPr>
            <w:tcW w:w="1581"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III类城市照明区</w:t>
            </w:r>
          </w:p>
        </w:tc>
        <w:tc>
          <w:tcPr>
            <w:tcW w:w="1507"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400</w:t>
            </w:r>
          </w:p>
        </w:tc>
        <w:tc>
          <w:tcPr>
            <w:tcW w:w="1569"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800</w:t>
            </w:r>
          </w:p>
        </w:tc>
        <w:tc>
          <w:tcPr>
            <w:tcW w:w="1570"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600</w:t>
            </w:r>
          </w:p>
        </w:tc>
        <w:tc>
          <w:tcPr>
            <w:tcW w:w="1569"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450</w:t>
            </w:r>
          </w:p>
        </w:tc>
        <w:tc>
          <w:tcPr>
            <w:tcW w:w="1581"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II类城市照明区</w:t>
            </w:r>
          </w:p>
        </w:tc>
        <w:tc>
          <w:tcPr>
            <w:tcW w:w="1507"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200</w:t>
            </w:r>
          </w:p>
        </w:tc>
        <w:tc>
          <w:tcPr>
            <w:tcW w:w="1569"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400</w:t>
            </w:r>
          </w:p>
        </w:tc>
        <w:tc>
          <w:tcPr>
            <w:tcW w:w="1570"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300</w:t>
            </w:r>
          </w:p>
        </w:tc>
        <w:tc>
          <w:tcPr>
            <w:tcW w:w="1569"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250</w:t>
            </w:r>
          </w:p>
        </w:tc>
        <w:tc>
          <w:tcPr>
            <w:tcW w:w="1581" w:type="dxa"/>
            <w:shd w:val="clear" w:color="auto" w:fill="auto"/>
            <w:tcMar>
              <w:top w:w="15" w:type="dxa"/>
              <w:left w:w="108" w:type="dxa"/>
              <w:bottom w:w="0" w:type="dxa"/>
              <w:right w:w="108"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pPr>
              <w:pStyle w:val="210"/>
              <w:spacing w:line="240" w:lineRule="exact"/>
              <w:rPr>
                <w:rFonts w:ascii="宋体" w:hAnsi="宋体" w:eastAsia="仿宋_GB2312" w:cs="宋体"/>
                <w:sz w:val="24"/>
              </w:rPr>
            </w:pPr>
            <w:r>
              <w:rPr>
                <w:rFonts w:hint="eastAsia" w:ascii="宋体" w:hAnsi="宋体" w:eastAsia="仿宋_GB2312" w:cs="宋体"/>
                <w:sz w:val="24"/>
              </w:rPr>
              <w:t>I类城市照明区</w:t>
            </w:r>
          </w:p>
        </w:tc>
        <w:tc>
          <w:tcPr>
            <w:tcW w:w="1507" w:type="dxa"/>
            <w:shd w:val="clear" w:color="auto" w:fill="auto"/>
            <w:tcMar>
              <w:top w:w="15" w:type="dxa"/>
              <w:left w:w="105" w:type="dxa"/>
              <w:bottom w:w="0" w:type="dxa"/>
              <w:right w:w="105" w:type="dxa"/>
            </w:tcMar>
            <w:vAlign w:val="center"/>
          </w:tcPr>
          <w:p>
            <w:pPr>
              <w:spacing w:line="240" w:lineRule="exact"/>
              <w:jc w:val="center"/>
              <w:rPr>
                <w:rFonts w:ascii="宋体" w:hAnsi="宋体" w:eastAsia="仿宋_GB2312" w:cs="宋体"/>
                <w:sz w:val="24"/>
                <w:szCs w:val="21"/>
              </w:rPr>
            </w:pPr>
            <w:r>
              <w:rPr>
                <w:rFonts w:hint="eastAsia" w:ascii="宋体" w:hAnsi="宋体" w:eastAsia="仿宋_GB2312" w:cs="宋体"/>
                <w:sz w:val="24"/>
                <w:szCs w:val="21"/>
              </w:rPr>
              <w:t>不宜设置</w:t>
            </w:r>
          </w:p>
        </w:tc>
        <w:tc>
          <w:tcPr>
            <w:tcW w:w="1569" w:type="dxa"/>
            <w:shd w:val="clear" w:color="auto" w:fill="auto"/>
            <w:tcMar>
              <w:top w:w="15" w:type="dxa"/>
              <w:left w:w="105" w:type="dxa"/>
              <w:bottom w:w="0" w:type="dxa"/>
              <w:right w:w="105" w:type="dxa"/>
            </w:tcMar>
            <w:vAlign w:val="center"/>
          </w:tcPr>
          <w:p>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50</w:t>
            </w:r>
          </w:p>
        </w:tc>
        <w:tc>
          <w:tcPr>
            <w:tcW w:w="1570" w:type="dxa"/>
            <w:shd w:val="clear" w:color="auto" w:fill="auto"/>
            <w:tcMar>
              <w:top w:w="15" w:type="dxa"/>
              <w:left w:w="105" w:type="dxa"/>
              <w:bottom w:w="0" w:type="dxa"/>
              <w:right w:w="105" w:type="dxa"/>
            </w:tcMar>
            <w:vAlign w:val="center"/>
          </w:tcPr>
          <w:p>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40</w:t>
            </w:r>
          </w:p>
        </w:tc>
        <w:tc>
          <w:tcPr>
            <w:tcW w:w="1569" w:type="dxa"/>
            <w:shd w:val="clear" w:color="auto" w:fill="auto"/>
            <w:tcMar>
              <w:top w:w="15" w:type="dxa"/>
              <w:left w:w="105" w:type="dxa"/>
              <w:bottom w:w="0" w:type="dxa"/>
              <w:right w:w="105" w:type="dxa"/>
            </w:tcMar>
            <w:vAlign w:val="center"/>
          </w:tcPr>
          <w:p>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30</w:t>
            </w:r>
          </w:p>
        </w:tc>
        <w:tc>
          <w:tcPr>
            <w:tcW w:w="1581" w:type="dxa"/>
            <w:shd w:val="clear" w:color="auto" w:fill="auto"/>
            <w:tcMar>
              <w:top w:w="15" w:type="dxa"/>
              <w:left w:w="105" w:type="dxa"/>
              <w:bottom w:w="0" w:type="dxa"/>
              <w:right w:w="105" w:type="dxa"/>
            </w:tcMar>
            <w:vAlign w:val="center"/>
          </w:tcPr>
          <w:p>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不宜设置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061" w:type="dxa"/>
            <w:gridSpan w:val="6"/>
            <w:shd w:val="clear" w:color="auto" w:fill="auto"/>
            <w:tcMar>
              <w:top w:w="15" w:type="dxa"/>
              <w:left w:w="105" w:type="dxa"/>
              <w:bottom w:w="0" w:type="dxa"/>
              <w:right w:w="105" w:type="dxa"/>
            </w:tcMar>
            <w:vAlign w:val="center"/>
          </w:tcPr>
          <w:p>
            <w:pPr>
              <w:spacing w:line="240" w:lineRule="exact"/>
              <w:rPr>
                <w:rFonts w:ascii="宋体" w:hAnsi="宋体" w:eastAsia="仿宋_GB2312" w:cs="宋体"/>
                <w:sz w:val="24"/>
                <w:szCs w:val="21"/>
              </w:rPr>
            </w:pPr>
            <w:r>
              <w:rPr>
                <w:rFonts w:hint="eastAsia" w:ascii="宋体" w:hAnsi="宋体" w:eastAsia="仿宋_GB2312"/>
                <w:sz w:val="24"/>
              </w:rPr>
              <w:t>注：表中S为广告标识的面积（单位：㎡）。</w:t>
            </w:r>
          </w:p>
        </w:tc>
      </w:tr>
    </w:tbl>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701" w:name="_Toc28085"/>
      <w:bookmarkStart w:id="702" w:name="_Toc31933"/>
      <w:bookmarkStart w:id="703" w:name="_Toc1794"/>
      <w:bookmarkStart w:id="704" w:name="_Toc3422"/>
      <w:bookmarkStart w:id="705" w:name="_Toc12857"/>
      <w:bookmarkStart w:id="706" w:name="_Toc88656271"/>
      <w:r>
        <w:rPr>
          <w:rFonts w:hint="eastAsia" w:ascii="宋体" w:hAnsi="宋体" w:eastAsia="黑体" w:cs="黑体"/>
          <w:b w:val="0"/>
          <w:sz w:val="32"/>
        </w:rPr>
        <w:t>五、“暗天空”保护控制指标</w:t>
      </w:r>
      <w:bookmarkEnd w:id="701"/>
      <w:bookmarkEnd w:id="702"/>
      <w:bookmarkEnd w:id="703"/>
      <w:bookmarkEnd w:id="704"/>
      <w:bookmarkEnd w:id="705"/>
      <w:bookmarkEnd w:id="706"/>
      <w:r>
        <w:rPr>
          <w:rFonts w:hint="eastAsia" w:ascii="宋体" w:hAnsi="宋体" w:eastAsia="黑体" w:cs="黑体"/>
          <w:b w:val="0"/>
          <w:sz w:val="32"/>
        </w:rPr>
        <w:t xml:space="preserve">  </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将城市载体按用地性质划分成四类环境区，专门设立</w:t>
      </w:r>
      <w:r>
        <w:rPr>
          <w:rFonts w:hint="eastAsia" w:ascii="宋体" w:hAnsi="宋体" w:eastAsia="仿宋_GB2312"/>
          <w:sz w:val="32"/>
        </w:rPr>
        <w:t>“暗天空”</w:t>
      </w:r>
      <w:r>
        <w:rPr>
          <w:rFonts w:hint="eastAsia" w:ascii="宋体" w:hAnsi="宋体" w:eastAsia="仿宋_GB2312"/>
          <w:sz w:val="32"/>
          <w:lang w:eastAsia="zh-Hans"/>
        </w:rPr>
        <w:t>保护区（P1区），严格控制景观照明及上射光。</w:t>
      </w:r>
    </w:p>
    <w:p>
      <w:pPr>
        <w:pStyle w:val="205"/>
        <w:spacing w:before="156" w:after="156"/>
        <w:rPr>
          <w:rFonts w:ascii="宋体" w:hAnsi="宋体"/>
          <w:bCs w:val="0"/>
          <w:sz w:val="24"/>
        </w:rPr>
      </w:pPr>
      <w:r>
        <w:rPr>
          <w:rFonts w:hint="eastAsia" w:ascii="宋体" w:hAnsi="宋体"/>
          <w:bCs w:val="0"/>
          <w:sz w:val="24"/>
        </w:rPr>
        <w:t>表13—1</w:t>
      </w:r>
      <w:r>
        <w:rPr>
          <w:rFonts w:ascii="宋体" w:hAnsi="宋体"/>
          <w:bCs w:val="0"/>
          <w:sz w:val="24"/>
        </w:rPr>
        <w:t>8</w:t>
      </w:r>
      <w:r>
        <w:rPr>
          <w:rFonts w:hint="eastAsia" w:ascii="宋体" w:hAnsi="宋体"/>
          <w:bCs w:val="0"/>
          <w:sz w:val="24"/>
        </w:rPr>
        <w:t>“暗天空”保护区分区</w:t>
      </w:r>
    </w:p>
    <w:tbl>
      <w:tblPr>
        <w:tblStyle w:val="89"/>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3"/>
        <w:gridCol w:w="5312"/>
        <w:gridCol w:w="2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083" w:type="dxa"/>
            <w:shd w:val="clear" w:color="auto" w:fill="auto"/>
            <w:tcMar>
              <w:top w:w="72" w:type="dxa"/>
              <w:left w:w="144" w:type="dxa"/>
              <w:bottom w:w="72" w:type="dxa"/>
              <w:right w:w="144"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光污染分区</w:t>
            </w:r>
          </w:p>
        </w:tc>
        <w:tc>
          <w:tcPr>
            <w:tcW w:w="5312" w:type="dxa"/>
            <w:shd w:val="clear" w:color="auto" w:fill="auto"/>
            <w:tcMar>
              <w:top w:w="72" w:type="dxa"/>
              <w:left w:w="144" w:type="dxa"/>
              <w:bottom w:w="72" w:type="dxa"/>
              <w:right w:w="144"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对应用地分类</w:t>
            </w:r>
          </w:p>
        </w:tc>
        <w:tc>
          <w:tcPr>
            <w:tcW w:w="2738" w:type="dxa"/>
            <w:shd w:val="clear" w:color="auto" w:fill="auto"/>
            <w:tcMar>
              <w:top w:w="72" w:type="dxa"/>
              <w:left w:w="144" w:type="dxa"/>
              <w:bottom w:w="72" w:type="dxa"/>
              <w:right w:w="144"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亮度环境描述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0" w:hRule="atLeast"/>
        </w:trPr>
        <w:tc>
          <w:tcPr>
            <w:tcW w:w="1083"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P4</w:t>
            </w:r>
          </w:p>
          <w:p>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高亮度环境区</w:t>
            </w:r>
          </w:p>
        </w:tc>
        <w:tc>
          <w:tcPr>
            <w:tcW w:w="5312"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A4体育用地、B1商业用地、B2商务用地、</w:t>
            </w:r>
          </w:p>
          <w:p>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B3娱乐康体用地、B4综合性商业金融服务业用地</w:t>
            </w:r>
          </w:p>
        </w:tc>
        <w:tc>
          <w:tcPr>
            <w:tcW w:w="2738"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夜间大量商业、娱乐活动，人流集中，能充分体现城市的活力，照明重点建设区域。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0" w:hRule="atLeast"/>
        </w:trPr>
        <w:tc>
          <w:tcPr>
            <w:tcW w:w="1083"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P3</w:t>
            </w:r>
          </w:p>
          <w:p>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中亮度环境区</w:t>
            </w:r>
          </w:p>
        </w:tc>
        <w:tc>
          <w:tcPr>
            <w:tcW w:w="5312"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A1行政办公用地、A2文化设施用地、B9其他服务设施用地、F2公建混合住宅用地、F3其他类多功能用地、G1公园绿地、G3广场用地</w:t>
            </w:r>
          </w:p>
        </w:tc>
        <w:tc>
          <w:tcPr>
            <w:tcW w:w="2738"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夜间人流量适中，但是城市夜间景观的重要组成部分，可根据夜间观景需求适当照明建设。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4" w:hRule="atLeast"/>
        </w:trPr>
        <w:tc>
          <w:tcPr>
            <w:tcW w:w="1083"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P2</w:t>
            </w:r>
          </w:p>
          <w:p>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低亮度环境区</w:t>
            </w:r>
          </w:p>
        </w:tc>
        <w:tc>
          <w:tcPr>
            <w:tcW w:w="5312"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A3教育科研用地、A5医疗卫生用地、A6社会福利用地、A7文物古迹用地、A8社区综合服务设施用地、A9宗教用地、D2外事用地、F1混合公建用地、F8绿隔政策区生产经营用地、R1一类居住用地、R2二类居住用地、R3三类居住用地、S1城市道路用地、S3地面公共交通场站用地、T3港口用地、S2城市轨道交通用地、S4社会停车场用地、S5加油加气站用地、S9其他城市交通设施用地、T1铁路用地、T2公路用地、T4机场用地、T6区域综合交通枢纽用地、W1物流用地、C1村民住宅用地、C2村庄公共服务设施用地、C3村庄产业用地、C4村庄基础设施用地、C9村庄其他建设用地</w:t>
            </w:r>
          </w:p>
        </w:tc>
        <w:tc>
          <w:tcPr>
            <w:tcW w:w="2738"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夜间人流量小，以功能照明需求为主，城市景观照明限制区。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1" w:hRule="atLeast"/>
        </w:trPr>
        <w:tc>
          <w:tcPr>
            <w:tcW w:w="1083"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P1</w:t>
            </w:r>
          </w:p>
          <w:p>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“暗天空”保护区</w:t>
            </w:r>
          </w:p>
        </w:tc>
        <w:tc>
          <w:tcPr>
            <w:tcW w:w="5312"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D1军事用地、D3安保用地、G4生态景观用地、G2防护绿地、G4园林生产绿地、H5采矿用地、M1一类工业用地、M2二类工业用地、M3二类工业工地、M4四类工业用地、P保护区用地、T5管道运输用地、U1供应设施用地、U2环境设施用地、U3安全设施用地、U4殡葬设施用地、U9其他公用设施用地、W2普通仓储用地、W3特殊仓储用地、X待深入研究用地、H9其他建设用地、E1水域、E2农林用地、E9其他非建设用地</w:t>
            </w:r>
          </w:p>
        </w:tc>
        <w:tc>
          <w:tcPr>
            <w:tcW w:w="2738" w:type="dxa"/>
            <w:shd w:val="clear" w:color="auto" w:fill="auto"/>
            <w:tcMar>
              <w:top w:w="72" w:type="dxa"/>
              <w:left w:w="144" w:type="dxa"/>
              <w:bottom w:w="72" w:type="dxa"/>
              <w:right w:w="144" w:type="dxa"/>
            </w:tcMar>
            <w:vAlign w:val="center"/>
          </w:tcPr>
          <w:p>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环境亮度严格控制区，禁止景观照明建设，保护城市“暗天空”。</w:t>
            </w:r>
          </w:p>
        </w:tc>
      </w:tr>
    </w:tbl>
    <w:p>
      <w:pPr>
        <w:pStyle w:val="6"/>
        <w:keepNext w:val="0"/>
        <w:keepLines w:val="0"/>
        <w:adjustRightInd w:val="0"/>
        <w:spacing w:before="0" w:beforeLines="0" w:after="0" w:afterLines="0"/>
        <w:ind w:firstLine="640" w:firstLineChars="200"/>
        <w:rPr>
          <w:rFonts w:ascii="宋体" w:hAnsi="宋体" w:eastAsia="黑体" w:cs="黑体"/>
          <w:b w:val="0"/>
          <w:sz w:val="32"/>
        </w:rPr>
      </w:pPr>
      <w:bookmarkStart w:id="707" w:name="_Toc16120"/>
      <w:bookmarkStart w:id="708" w:name="_Toc19384"/>
      <w:bookmarkStart w:id="709" w:name="_Toc1235"/>
      <w:bookmarkStart w:id="710" w:name="_Toc88656272"/>
      <w:bookmarkStart w:id="711" w:name="_Toc30360"/>
      <w:bookmarkStart w:id="712" w:name="_Toc3878"/>
      <w:r>
        <w:rPr>
          <w:rFonts w:hint="eastAsia" w:ascii="宋体" w:hAnsi="宋体" w:eastAsia="黑体" w:cs="黑体"/>
          <w:b w:val="0"/>
          <w:sz w:val="32"/>
        </w:rPr>
        <w:t>六、光污染防治控制指标</w:t>
      </w:r>
      <w:bookmarkEnd w:id="707"/>
      <w:bookmarkEnd w:id="708"/>
      <w:bookmarkEnd w:id="709"/>
      <w:bookmarkEnd w:id="710"/>
      <w:bookmarkEnd w:id="711"/>
      <w:bookmarkEnd w:id="712"/>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光污染防治需提升居住区周边光污染治理能力。</w:t>
      </w:r>
    </w:p>
    <w:p>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执行</w:t>
      </w:r>
      <w:r>
        <w:rPr>
          <w:rFonts w:hint="eastAsia" w:ascii="宋体" w:hAnsi="宋体" w:eastAsia="仿宋_GB2312"/>
          <w:sz w:val="32"/>
        </w:rPr>
        <w:t>住房和城乡建设部</w:t>
      </w:r>
      <w:r>
        <w:rPr>
          <w:rFonts w:hint="eastAsia" w:ascii="宋体" w:hAnsi="宋体" w:eastAsia="仿宋_GB2312"/>
          <w:sz w:val="32"/>
          <w:lang w:eastAsia="zh-Hans"/>
        </w:rPr>
        <w:t>《绿色照明检测及评价标准》（GB/T 51268</w:t>
      </w:r>
      <w:r>
        <w:rPr>
          <w:rFonts w:hint="eastAsia" w:ascii="宋体" w:hAnsi="宋体" w:eastAsia="仿宋_GB2312"/>
          <w:sz w:val="32"/>
        </w:rPr>
        <w:t>—</w:t>
      </w:r>
      <w:r>
        <w:rPr>
          <w:rFonts w:hint="eastAsia" w:ascii="宋体" w:hAnsi="宋体" w:eastAsia="仿宋_GB2312"/>
          <w:sz w:val="32"/>
          <w:lang w:eastAsia="zh-Hans"/>
        </w:rPr>
        <w:t>2017）和《室外照明干扰光限制规范》（GB/T35626</w:t>
      </w:r>
      <w:r>
        <w:rPr>
          <w:rFonts w:hint="eastAsia" w:ascii="宋体" w:hAnsi="宋体" w:eastAsia="仿宋_GB2312"/>
          <w:sz w:val="32"/>
        </w:rPr>
        <w:t>—</w:t>
      </w:r>
      <w:r>
        <w:rPr>
          <w:rFonts w:hint="eastAsia" w:ascii="宋体" w:hAnsi="宋体" w:eastAsia="仿宋_GB2312"/>
          <w:sz w:val="32"/>
          <w:lang w:eastAsia="zh-Hans"/>
        </w:rPr>
        <w:t>2017）中对于居住区居室窗户外表面上垂直照度的限制，逐步完善居住区周边光污染防治工作。</w:t>
      </w:r>
    </w:p>
    <w:p>
      <w:pPr>
        <w:pStyle w:val="204"/>
        <w:adjustRightInd w:val="0"/>
        <w:spacing w:after="0" w:afterLines="0"/>
        <w:ind w:firstLine="640"/>
        <w:rPr>
          <w:rFonts w:ascii="宋体" w:hAnsi="宋体" w:eastAsia="仿宋_GB2312"/>
          <w:sz w:val="32"/>
          <w:lang w:eastAsia="zh-Hans"/>
        </w:rPr>
      </w:pPr>
    </w:p>
    <w:p>
      <w:pPr>
        <w:pStyle w:val="205"/>
        <w:spacing w:before="156" w:after="156"/>
        <w:rPr>
          <w:rFonts w:ascii="宋体" w:hAnsi="宋体"/>
          <w:bCs w:val="0"/>
          <w:sz w:val="24"/>
          <w:szCs w:val="24"/>
        </w:rPr>
      </w:pPr>
      <w:r>
        <w:rPr>
          <w:rFonts w:hint="eastAsia" w:ascii="宋体" w:hAnsi="宋体"/>
          <w:bCs w:val="0"/>
          <w:sz w:val="24"/>
          <w:szCs w:val="24"/>
        </w:rPr>
        <w:t>表13—</w:t>
      </w:r>
      <w:r>
        <w:rPr>
          <w:rFonts w:ascii="宋体" w:hAnsi="宋体"/>
          <w:bCs w:val="0"/>
          <w:sz w:val="24"/>
          <w:szCs w:val="24"/>
        </w:rPr>
        <w:t>19</w:t>
      </w:r>
      <w:r>
        <w:rPr>
          <w:rFonts w:hint="eastAsia" w:ascii="宋体" w:hAnsi="宋体"/>
          <w:bCs w:val="0"/>
          <w:sz w:val="24"/>
          <w:szCs w:val="24"/>
        </w:rPr>
        <w:t>照明设施对行人、居住区的干扰光以及夜空光污染</w:t>
      </w:r>
    </w:p>
    <w:tbl>
      <w:tblPr>
        <w:tblStyle w:val="89"/>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1"/>
        <w:gridCol w:w="906"/>
        <w:gridCol w:w="906"/>
        <w:gridCol w:w="908"/>
        <w:gridCol w:w="1055"/>
        <w:gridCol w:w="906"/>
        <w:gridCol w:w="1057"/>
        <w:gridCol w:w="1055"/>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1" w:hRule="atLeast"/>
        </w:trPr>
        <w:tc>
          <w:tcPr>
            <w:tcW w:w="1201"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控制类型</w:t>
            </w:r>
          </w:p>
        </w:tc>
        <w:tc>
          <w:tcPr>
            <w:tcW w:w="2720" w:type="dxa"/>
            <w:gridSpan w:val="3"/>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对行人的干扰光</w:t>
            </w:r>
          </w:p>
        </w:tc>
        <w:tc>
          <w:tcPr>
            <w:tcW w:w="4073" w:type="dxa"/>
            <w:gridSpan w:val="4"/>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对居住区干扰光</w:t>
            </w:r>
          </w:p>
        </w:tc>
        <w:tc>
          <w:tcPr>
            <w:tcW w:w="841"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对夜空光污染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4" w:hRule="exact"/>
        </w:trPr>
        <w:tc>
          <w:tcPr>
            <w:tcW w:w="1201" w:type="dxa"/>
            <w:vMerge w:val="restart"/>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照明分区</w:t>
            </w:r>
          </w:p>
        </w:tc>
        <w:tc>
          <w:tcPr>
            <w:tcW w:w="2720" w:type="dxa"/>
            <w:gridSpan w:val="3"/>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LA0.5</w:t>
            </w:r>
          </w:p>
        </w:tc>
        <w:tc>
          <w:tcPr>
            <w:tcW w:w="1055" w:type="dxa"/>
            <w:vMerge w:val="restart"/>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熄灯时段前窗户外表面垂直照度</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（lx）</w:t>
            </w:r>
          </w:p>
        </w:tc>
        <w:tc>
          <w:tcPr>
            <w:tcW w:w="906" w:type="dxa"/>
            <w:vMerge w:val="restart"/>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熄灯时段窗户外表面</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垂直照度</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（lx）</w:t>
            </w:r>
          </w:p>
        </w:tc>
        <w:tc>
          <w:tcPr>
            <w:tcW w:w="1057" w:type="dxa"/>
            <w:vMerge w:val="restart"/>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熄灯时段前朝向窗户方向的光强限值</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055" w:type="dxa"/>
            <w:vMerge w:val="restart"/>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熄灯时段朝向窗户方向的光强限值</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841" w:type="dxa"/>
            <w:vMerge w:val="restart"/>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上射光通比</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9" w:hRule="exact"/>
        </w:trPr>
        <w:tc>
          <w:tcPr>
            <w:tcW w:w="1201" w:type="dxa"/>
            <w:vMerge w:val="continue"/>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p>
        </w:tc>
        <w:tc>
          <w:tcPr>
            <w:tcW w:w="906"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H≤4.5</w:t>
            </w:r>
          </w:p>
        </w:tc>
        <w:tc>
          <w:tcPr>
            <w:tcW w:w="906"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4.5＜</w:t>
            </w:r>
          </w:p>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H≤6</w:t>
            </w:r>
          </w:p>
        </w:tc>
        <w:tc>
          <w:tcPr>
            <w:tcW w:w="908" w:type="dxa"/>
            <w:shd w:val="clear" w:color="auto" w:fill="auto"/>
            <w:tcMar>
              <w:top w:w="15" w:type="dxa"/>
              <w:left w:w="108" w:type="dxa"/>
              <w:bottom w:w="0" w:type="dxa"/>
              <w:right w:w="108" w:type="dxa"/>
            </w:tcMar>
            <w:vAlign w:val="center"/>
          </w:tcPr>
          <w:p>
            <w:pPr>
              <w:pStyle w:val="190"/>
              <w:kinsoku w:val="0"/>
              <w:overflowPunct w:val="0"/>
              <w:jc w:val="center"/>
              <w:rPr>
                <w:rFonts w:ascii="宋体" w:hAnsi="宋体" w:eastAsia="仿宋_GB2312" w:cs="仿宋"/>
                <w:szCs w:val="21"/>
              </w:rPr>
            </w:pPr>
            <w:r>
              <w:rPr>
                <w:rFonts w:hint="eastAsia" w:ascii="宋体" w:hAnsi="宋体" w:eastAsia="仿宋_GB2312" w:cs="仿宋"/>
                <w:szCs w:val="21"/>
              </w:rPr>
              <w:t>H＞6</w:t>
            </w:r>
          </w:p>
        </w:tc>
        <w:tc>
          <w:tcPr>
            <w:tcW w:w="1055" w:type="dxa"/>
            <w:vMerge w:val="continue"/>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sz w:val="24"/>
              </w:rPr>
            </w:pPr>
          </w:p>
        </w:tc>
        <w:tc>
          <w:tcPr>
            <w:tcW w:w="906" w:type="dxa"/>
            <w:vMerge w:val="continue"/>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sz w:val="24"/>
              </w:rPr>
            </w:pPr>
          </w:p>
        </w:tc>
        <w:tc>
          <w:tcPr>
            <w:tcW w:w="1057" w:type="dxa"/>
            <w:vMerge w:val="continue"/>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sz w:val="24"/>
              </w:rPr>
            </w:pPr>
          </w:p>
        </w:tc>
        <w:tc>
          <w:tcPr>
            <w:tcW w:w="1055" w:type="dxa"/>
            <w:vMerge w:val="continue"/>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sz w:val="24"/>
              </w:rPr>
            </w:pPr>
          </w:p>
        </w:tc>
        <w:tc>
          <w:tcPr>
            <w:tcW w:w="841" w:type="dxa"/>
            <w:vMerge w:val="continue"/>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trPr>
        <w:tc>
          <w:tcPr>
            <w:tcW w:w="1201"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ascii="宋体" w:hAnsi="宋体" w:eastAsia="仿宋_GB2312" w:cs="仿宋"/>
                <w:sz w:val="24"/>
                <w:szCs w:val="21"/>
              </w:rPr>
              <w:t>IV</w:t>
            </w:r>
            <w:r>
              <w:rPr>
                <w:rFonts w:hint="eastAsia" w:ascii="宋体" w:hAnsi="宋体" w:eastAsia="仿宋_GB2312" w:cs="仿宋"/>
                <w:sz w:val="24"/>
                <w:szCs w:val="21"/>
              </w:rPr>
              <w:t>类城市照明区</w:t>
            </w:r>
          </w:p>
        </w:tc>
        <w:tc>
          <w:tcPr>
            <w:tcW w:w="906"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w:t>
            </w:r>
          </w:p>
        </w:tc>
        <w:tc>
          <w:tcPr>
            <w:tcW w:w="906"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w:t>
            </w:r>
          </w:p>
        </w:tc>
        <w:tc>
          <w:tcPr>
            <w:tcW w:w="1057"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25000</w:t>
            </w:r>
          </w:p>
        </w:tc>
        <w:tc>
          <w:tcPr>
            <w:tcW w:w="1055"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2500</w:t>
            </w:r>
          </w:p>
        </w:tc>
        <w:tc>
          <w:tcPr>
            <w:tcW w:w="841"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 w:hRule="atLeast"/>
        </w:trPr>
        <w:tc>
          <w:tcPr>
            <w:tcW w:w="1201"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ascii="宋体" w:hAnsi="宋体" w:eastAsia="仿宋_GB2312" w:cs="仿宋"/>
                <w:sz w:val="24"/>
                <w:szCs w:val="21"/>
              </w:rPr>
              <w:t>III</w:t>
            </w:r>
            <w:r>
              <w:rPr>
                <w:rFonts w:hint="eastAsia" w:ascii="宋体" w:hAnsi="宋体" w:eastAsia="仿宋_GB2312" w:cs="仿宋"/>
                <w:sz w:val="24"/>
                <w:szCs w:val="21"/>
              </w:rPr>
              <w:t>类城市照明区</w:t>
            </w:r>
          </w:p>
        </w:tc>
        <w:tc>
          <w:tcPr>
            <w:tcW w:w="906"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w:t>
            </w:r>
          </w:p>
        </w:tc>
        <w:tc>
          <w:tcPr>
            <w:tcW w:w="906"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w:t>
            </w:r>
          </w:p>
        </w:tc>
        <w:tc>
          <w:tcPr>
            <w:tcW w:w="1057"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10000</w:t>
            </w:r>
          </w:p>
        </w:tc>
        <w:tc>
          <w:tcPr>
            <w:tcW w:w="1055"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1000</w:t>
            </w:r>
          </w:p>
        </w:tc>
        <w:tc>
          <w:tcPr>
            <w:tcW w:w="841"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01"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ascii="宋体" w:hAnsi="宋体" w:eastAsia="仿宋_GB2312" w:cs="仿宋"/>
                <w:sz w:val="24"/>
                <w:szCs w:val="21"/>
              </w:rPr>
              <w:t>II</w:t>
            </w:r>
            <w:r>
              <w:rPr>
                <w:rFonts w:hint="eastAsia" w:ascii="宋体" w:hAnsi="宋体" w:eastAsia="仿宋_GB2312" w:cs="仿宋"/>
                <w:sz w:val="24"/>
                <w:szCs w:val="21"/>
              </w:rPr>
              <w:t>类城市照明区</w:t>
            </w:r>
          </w:p>
        </w:tc>
        <w:tc>
          <w:tcPr>
            <w:tcW w:w="906"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w:t>
            </w:r>
          </w:p>
        </w:tc>
        <w:tc>
          <w:tcPr>
            <w:tcW w:w="906"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w:t>
            </w:r>
          </w:p>
        </w:tc>
        <w:tc>
          <w:tcPr>
            <w:tcW w:w="1057"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7500</w:t>
            </w:r>
          </w:p>
        </w:tc>
        <w:tc>
          <w:tcPr>
            <w:tcW w:w="1055"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500</w:t>
            </w:r>
          </w:p>
        </w:tc>
        <w:tc>
          <w:tcPr>
            <w:tcW w:w="841" w:type="dxa"/>
            <w:shd w:val="clear" w:color="auto" w:fill="auto"/>
            <w:tcMar>
              <w:top w:w="15" w:type="dxa"/>
              <w:left w:w="108" w:type="dxa"/>
              <w:bottom w:w="0" w:type="dxa"/>
              <w:right w:w="108"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01" w:type="dxa"/>
            <w:shd w:val="clear" w:color="auto" w:fill="auto"/>
            <w:tcMar>
              <w:top w:w="15" w:type="dxa"/>
              <w:left w:w="105" w:type="dxa"/>
              <w:bottom w:w="0" w:type="dxa"/>
              <w:right w:w="105" w:type="dxa"/>
            </w:tcMar>
            <w:vAlign w:val="center"/>
          </w:tcPr>
          <w:p>
            <w:pPr>
              <w:pStyle w:val="210"/>
              <w:spacing w:line="240" w:lineRule="atLeast"/>
              <w:rPr>
                <w:rFonts w:ascii="宋体" w:hAnsi="宋体" w:eastAsia="仿宋_GB2312" w:cs="仿宋"/>
                <w:sz w:val="24"/>
                <w:szCs w:val="21"/>
              </w:rPr>
            </w:pPr>
            <w:r>
              <w:rPr>
                <w:rFonts w:ascii="宋体" w:hAnsi="宋体" w:eastAsia="仿宋_GB2312" w:cs="仿宋"/>
                <w:sz w:val="24"/>
                <w:szCs w:val="21"/>
              </w:rPr>
              <w:t>I</w:t>
            </w:r>
            <w:r>
              <w:rPr>
                <w:rFonts w:hint="eastAsia" w:ascii="宋体" w:hAnsi="宋体" w:eastAsia="仿宋_GB2312" w:cs="仿宋"/>
                <w:sz w:val="24"/>
                <w:szCs w:val="21"/>
              </w:rPr>
              <w:t>类城市照明区</w:t>
            </w:r>
          </w:p>
        </w:tc>
        <w:tc>
          <w:tcPr>
            <w:tcW w:w="906" w:type="dxa"/>
            <w:shd w:val="clear" w:color="auto" w:fill="auto"/>
            <w:tcMar>
              <w:top w:w="15" w:type="dxa"/>
              <w:left w:w="105" w:type="dxa"/>
              <w:bottom w:w="0" w:type="dxa"/>
              <w:right w:w="105"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5" w:type="dxa"/>
              <w:bottom w:w="0" w:type="dxa"/>
              <w:right w:w="105"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5" w:type="dxa"/>
              <w:bottom w:w="0" w:type="dxa"/>
              <w:right w:w="105"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5" w:type="dxa"/>
              <w:bottom w:w="0" w:type="dxa"/>
              <w:right w:w="105"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w:t>
            </w:r>
          </w:p>
        </w:tc>
        <w:tc>
          <w:tcPr>
            <w:tcW w:w="906" w:type="dxa"/>
            <w:shd w:val="clear" w:color="auto" w:fill="auto"/>
            <w:tcMar>
              <w:top w:w="15" w:type="dxa"/>
              <w:left w:w="105" w:type="dxa"/>
              <w:bottom w:w="0" w:type="dxa"/>
              <w:right w:w="105"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0a</w:t>
            </w:r>
          </w:p>
        </w:tc>
        <w:tc>
          <w:tcPr>
            <w:tcW w:w="1057" w:type="dxa"/>
            <w:shd w:val="clear" w:color="auto" w:fill="auto"/>
            <w:tcMar>
              <w:top w:w="15" w:type="dxa"/>
              <w:left w:w="105" w:type="dxa"/>
              <w:bottom w:w="0" w:type="dxa"/>
              <w:right w:w="105"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2500</w:t>
            </w:r>
          </w:p>
        </w:tc>
        <w:tc>
          <w:tcPr>
            <w:tcW w:w="1055" w:type="dxa"/>
            <w:shd w:val="clear" w:color="auto" w:fill="auto"/>
            <w:tcMar>
              <w:top w:w="15" w:type="dxa"/>
              <w:left w:w="105" w:type="dxa"/>
              <w:bottom w:w="0" w:type="dxa"/>
              <w:right w:w="105"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10a</w:t>
            </w:r>
          </w:p>
        </w:tc>
        <w:tc>
          <w:tcPr>
            <w:tcW w:w="841" w:type="dxa"/>
            <w:shd w:val="clear" w:color="auto" w:fill="auto"/>
            <w:tcMar>
              <w:top w:w="15" w:type="dxa"/>
              <w:left w:w="105" w:type="dxa"/>
              <w:bottom w:w="0" w:type="dxa"/>
              <w:right w:w="105" w:type="dxa"/>
            </w:tcMar>
            <w:vAlign w:val="center"/>
          </w:tcPr>
          <w:p>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835" w:type="dxa"/>
            <w:gridSpan w:val="9"/>
            <w:shd w:val="clear" w:color="auto" w:fill="auto"/>
            <w:tcMar>
              <w:top w:w="15" w:type="dxa"/>
              <w:left w:w="105" w:type="dxa"/>
              <w:bottom w:w="0" w:type="dxa"/>
              <w:right w:w="105" w:type="dxa"/>
            </w:tcMar>
            <w:vAlign w:val="center"/>
          </w:tcPr>
          <w:p>
            <w:pPr>
              <w:rPr>
                <w:rFonts w:ascii="宋体" w:hAnsi="宋体" w:eastAsia="仿宋_GB2312" w:cs="仿宋"/>
                <w:sz w:val="24"/>
                <w:szCs w:val="21"/>
              </w:rPr>
            </w:pPr>
            <w:r>
              <w:rPr>
                <w:rFonts w:hint="eastAsia" w:ascii="宋体" w:hAnsi="宋体" w:eastAsia="仿宋_GB2312" w:cs="仿宋"/>
                <w:sz w:val="24"/>
                <w:szCs w:val="21"/>
              </w:rPr>
              <w:t>注：H为照明设施的安装高度（单位：m）；L为灯具向下垂线成85°和90°方向间的最大平均亮度（单位：cd/㎡）；A为灯具向下垂线成85°和90°方向间的所有出光面积（单位：㎡），a：如果是道路照明产生的影响，此限值可提高至1lx或500cd。</w:t>
            </w:r>
          </w:p>
        </w:tc>
      </w:tr>
    </w:tbl>
    <w:p>
      <w:pPr>
        <w:rPr>
          <w:rFonts w:ascii="宋体" w:hAnsi="宋体"/>
        </w:rPr>
      </w:pPr>
    </w:p>
    <w:bookmarkEnd w:id="699"/>
    <w:p>
      <w:pPr>
        <w:pStyle w:val="2"/>
        <w:numPr>
          <w:ilvl w:val="255"/>
          <w:numId w:val="0"/>
        </w:numPr>
        <w:spacing w:before="156" w:after="156" w:line="20" w:lineRule="exact"/>
        <w:rPr>
          <w:rFonts w:ascii="宋体" w:hAnsi="宋体" w:eastAsia="黑体" w:cs="黑体"/>
          <w:b w:val="0"/>
          <w:color w:val="auto"/>
        </w:rPr>
      </w:pPr>
    </w:p>
    <w:sectPr>
      <w:footerReference r:id="rId14" w:type="first"/>
      <w:footerReference r:id="rId13" w:type="default"/>
      <w:pgSz w:w="11906" w:h="16838"/>
      <w:pgMar w:top="2098" w:right="1474" w:bottom="1984" w:left="1587" w:header="850" w:footer="1587"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F1C4238-E138-4B7E-AF9D-F905F02961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2" w:fontKey="{9D3FD7FE-087D-4814-BFEB-53469BAF0A96}"/>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华文宋体">
    <w:altName w:val="宋体"/>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2000000000000000000"/>
    <w:charset w:val="86"/>
    <w:family w:val="auto"/>
    <w:pitch w:val="default"/>
    <w:sig w:usb0="00000001" w:usb1="08000000" w:usb2="00000000" w:usb3="00000000" w:csb0="00040000" w:csb1="00000000"/>
    <w:embedRegular r:id="rId3" w:fontKey="{F84615B0-772B-4072-B5A8-BCCE72655301}"/>
  </w:font>
  <w:font w:name="ˎ̥">
    <w:altName w:val="Cambria"/>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4" w:fontKey="{BA00E655-2B3D-4DB5-85BA-0B93D8DC53A4}"/>
  </w:font>
  <w:font w:name="幼圆">
    <w:altName w:val="宋体"/>
    <w:panose1 w:val="02010509060101010101"/>
    <w:charset w:val="86"/>
    <w:family w:val="modern"/>
    <w:pitch w:val="default"/>
    <w:sig w:usb0="00000000" w:usb1="00000000" w:usb2="00000010" w:usb3="00000000" w:csb0="00040000" w:csb1="00000000"/>
    <w:embedRegular r:id="rId5" w:fontKey="{4174A9A5-11E5-403E-97D4-51690B146F75}"/>
  </w:font>
  <w:font w:name="华文仿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auto"/>
    <w:pitch w:val="default"/>
    <w:sig w:usb0="00000000" w:usb1="00000000" w:usb2="0000003F" w:usb3="00000000" w:csb0="603F01FF" w:csb1="FFFF0000"/>
  </w:font>
  <w:font w:name="Times New Roman Bold">
    <w:altName w:val="Times New Roman"/>
    <w:panose1 w:val="02020803070505020304"/>
    <w:charset w:val="00"/>
    <w:family w:val="auto"/>
    <w:pitch w:val="default"/>
    <w:sig w:usb0="00000000" w:usb1="00000000" w:usb2="00000001" w:usb3="00000000" w:csb0="400001BF" w:csb1="DFF70000"/>
  </w:font>
  <w:font w:name="楷体_GB2312">
    <w:altName w:val="楷体"/>
    <w:panose1 w:val="02010609030101010101"/>
    <w:charset w:val="86"/>
    <w:family w:val="auto"/>
    <w:pitch w:val="default"/>
    <w:sig w:usb0="00000000" w:usb1="00000000" w:usb2="00000000" w:usb3="00000000" w:csb0="00040000" w:csb1="00000000"/>
    <w:embedRegular r:id="rId6" w:fontKey="{0657D386-5943-4C67-8D93-D8C84A146CC3}"/>
  </w:font>
  <w:font w:name="微软雅黑">
    <w:panose1 w:val="020B0503020204020204"/>
    <w:charset w:val="86"/>
    <w:family w:val="swiss"/>
    <w:pitch w:val="default"/>
    <w:sig w:usb0="80000287" w:usb1="2ACF3C50" w:usb2="00000016" w:usb3="00000000" w:csb0="0004001F" w:csb1="00000000"/>
    <w:embedRegular r:id="rId7" w:fontKey="{53A8AE80-9E80-4A6E-969F-E5A0139C0F5B}"/>
  </w:font>
  <w:font w:name="PMingLiU">
    <w:altName w:val="PMingLiU-ExtB"/>
    <w:panose1 w:val="02020500000000000000"/>
    <w:charset w:val="88"/>
    <w:family w:val="roman"/>
    <w:pitch w:val="default"/>
    <w:sig w:usb0="00000000" w:usb1="00000000" w:usb2="00000016" w:usb3="00000000" w:csb0="00100001" w:csb1="00000000"/>
    <w:embedRegular r:id="rId8" w:fontKey="{D2A36326-2C77-4D91-80C0-CB6CC7D25D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-57150</wp:posOffset>
              </wp:positionV>
              <wp:extent cx="725170" cy="39560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25170" cy="395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4.5pt;height:31.15pt;width:57.1pt;mso-position-horizontal:inside;mso-position-horizontal-relative:margin;z-index:251662336;mso-width-relative:page;mso-height-relative:page;" filled="f" stroked="f" coordsize="21600,21600" o:gfxdata="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LJ7X1gAAAAYBAAAPAAAAAAAAAAEAIAAAACIAAABkcnMvZG93bnJldi54bWxQ&#10;SwECFAAUAAAACACHTuJA0TNn1zICAABXBAAADgAAAAAAAAABACAAAAAlAQAAZHJzL2Uyb0RvYy54&#10;bWxQSwUGAAAAAAYABgBZAQAAyQUAAAAA&#10;">
              <v:fill on="f" focussize="0,0"/>
              <v:stroke on="f" weight="0.5pt"/>
              <v:imagedata o:title=""/>
              <o:lock v:ext="edit" aspectratio="f"/>
              <v:textbox inset="0mm,0mm,0mm,0mm">
                <w:txbxContent>
                  <w:p>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right"/>
    </w:pPr>
    <w:r>
      <mc:AlternateContent>
        <mc:Choice Requires="wps">
          <w:drawing>
            <wp:anchor distT="0" distB="0" distL="114300" distR="114300" simplePos="0" relativeHeight="251663360" behindDoc="0" locked="0" layoutInCell="1" allowOverlap="1">
              <wp:simplePos x="0" y="0"/>
              <wp:positionH relativeFrom="margin">
                <wp:align>inside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6651398"/>
    </w:sdtPr>
    <w:sdtContent>
      <w:p>
        <w:pPr>
          <w:pStyle w:val="56"/>
          <w:jc w:val="right"/>
        </w:pPr>
        <w:r>
          <w:drawing>
            <wp:anchor distT="0" distB="0" distL="114300" distR="114300" simplePos="0" relativeHeight="251659264" behindDoc="1" locked="0" layoutInCell="1" allowOverlap="1">
              <wp:simplePos x="0" y="0"/>
              <wp:positionH relativeFrom="margin">
                <wp:posOffset>7818755</wp:posOffset>
              </wp:positionH>
              <wp:positionV relativeFrom="paragraph">
                <wp:posOffset>-161290</wp:posOffset>
              </wp:positionV>
              <wp:extent cx="6414135" cy="4572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4135" cy="457200"/>
                      </a:xfrm>
                      <a:prstGeom prst="rect">
                        <a:avLst/>
                      </a:prstGeom>
                    </pic:spPr>
                  </pic:pic>
                </a:graphicData>
              </a:graphic>
            </wp:anchor>
          </w:drawing>
        </w:r>
        <w:r>
          <w:fldChar w:fldCharType="begin"/>
        </w:r>
        <w:r>
          <w:instrText xml:space="preserve">PAGE   \* MERGEFORMAT</w:instrText>
        </w:r>
        <w:r>
          <w:fldChar w:fldCharType="separate"/>
        </w:r>
        <w:r>
          <w:rPr>
            <w:lang w:val="zh-CN"/>
          </w:rPr>
          <w:t>88</w:t>
        </w:r>
        <w:r>
          <w:fldChar w:fldCharType="end"/>
        </w:r>
      </w:p>
    </w:sdtContent>
  </w:sdt>
  <w:p>
    <w:pPr>
      <w:pStyle w:val="56"/>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5408" behindDoc="0" locked="0" layoutInCell="1" allowOverlap="1">
              <wp:simplePos x="0" y="0"/>
              <wp:positionH relativeFrom="margin">
                <wp:align>inside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4384" behindDoc="0" locked="0" layoutInCell="1" allowOverlap="1">
              <wp:simplePos x="0" y="0"/>
              <wp:positionH relativeFrom="margin">
                <wp:align>inside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6432" behindDoc="0" locked="0" layoutInCell="1" allowOverlap="1">
              <wp:simplePos x="0" y="0"/>
              <wp:positionH relativeFrom="margin">
                <wp:align>inside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8"/>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7"/>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6"/>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7"/>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9"/>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5"/>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1"/>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2"/>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6"/>
      <w:lvlText w:val=""/>
      <w:lvlJc w:val="left"/>
      <w:pPr>
        <w:tabs>
          <w:tab w:val="left" w:pos="360"/>
        </w:tabs>
        <w:ind w:left="360" w:hanging="360" w:hangingChars="200"/>
      </w:pPr>
      <w:rPr>
        <w:rFonts w:hint="default" w:ascii="Wingdings" w:hAnsi="Wingdings"/>
      </w:rPr>
    </w:lvl>
  </w:abstractNum>
  <w:abstractNum w:abstractNumId="10">
    <w:nsid w:val="0D9947BE"/>
    <w:multiLevelType w:val="multilevel"/>
    <w:tmpl w:val="0D9947BE"/>
    <w:lvl w:ilvl="0" w:tentative="0">
      <w:start w:val="1"/>
      <w:numFmt w:val="chineseCountingThousand"/>
      <w:suff w:val="nothing"/>
      <w:lvlText w:val="第%1章"/>
      <w:lvlJc w:val="left"/>
      <w:pPr>
        <w:ind w:left="2978" w:firstLine="0"/>
      </w:pPr>
      <w:rPr>
        <w:rFonts w:hint="eastAsia"/>
        <w:lang w:val="en-US"/>
      </w:rPr>
    </w:lvl>
    <w:lvl w:ilvl="1" w:tentative="0">
      <w:start w:val="1"/>
      <w:numFmt w:val="decimal"/>
      <w:pStyle w:val="102"/>
      <w:lvlText w:val="第%2条"/>
      <w:lvlJc w:val="left"/>
      <w:pPr>
        <w:tabs>
          <w:tab w:val="left" w:pos="851"/>
        </w:tabs>
        <w:ind w:left="851" w:firstLine="0"/>
      </w:pPr>
      <w:rPr>
        <w:rFonts w:hint="default" w:ascii="Times New Roman" w:hAnsi="Times New Roman" w:eastAsia="华文中宋"/>
        <w:b/>
        <w:i w:val="0"/>
        <w:color w:val="auto"/>
        <w:sz w:val="28"/>
        <w:szCs w:val="28"/>
        <w:lang w:val="en-US"/>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1">
    <w:nsid w:val="22B94BA5"/>
    <w:multiLevelType w:val="multilevel"/>
    <w:tmpl w:val="22B94BA5"/>
    <w:lvl w:ilvl="0" w:tentative="0">
      <w:start w:val="1"/>
      <w:numFmt w:val="chineseCountingThousand"/>
      <w:pStyle w:val="5"/>
      <w:suff w:val="space"/>
      <w:lvlText w:val="第%1章 "/>
      <w:lvlJc w:val="left"/>
      <w:pPr>
        <w:ind w:left="420" w:hanging="420"/>
      </w:pPr>
      <w:rPr>
        <w:rFonts w:hint="eastAsia"/>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EA51195"/>
    <w:multiLevelType w:val="multilevel"/>
    <w:tmpl w:val="3EA51195"/>
    <w:lvl w:ilvl="0" w:tentative="0">
      <w:start w:val="1"/>
      <w:numFmt w:val="chineseCountingThousand"/>
      <w:pStyle w:val="2"/>
      <w:suff w:val="space"/>
      <w:lvlText w:val="(%1)"/>
      <w:lvlJc w:val="left"/>
      <w:pPr>
        <w:ind w:left="0" w:firstLine="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43A83BD6"/>
    <w:multiLevelType w:val="multilevel"/>
    <w:tmpl w:val="43A83BD6"/>
    <w:lvl w:ilvl="0" w:tentative="0">
      <w:start w:val="1"/>
      <w:numFmt w:val="decimal"/>
      <w:pStyle w:val="8"/>
      <w:suff w:val="space"/>
      <w:lvlText w:val="%1."/>
      <w:lvlJc w:val="left"/>
      <w:pPr>
        <w:ind w:left="420" w:hanging="420"/>
      </w:pPr>
      <w:rPr>
        <w:rFonts w:hint="eastAsia"/>
        <w:b/>
        <w:i w:val="0"/>
      </w:rPr>
    </w:lvl>
    <w:lvl w:ilvl="1" w:tentative="0">
      <w:start w:val="2"/>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A822E0D"/>
    <w:multiLevelType w:val="multilevel"/>
    <w:tmpl w:val="4A822E0D"/>
    <w:lvl w:ilvl="0" w:tentative="0">
      <w:start w:val="1"/>
      <w:numFmt w:val="decimal"/>
      <w:pStyle w:val="187"/>
      <w:lvlText w:val="第%1条"/>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1349B8A"/>
    <w:multiLevelType w:val="multilevel"/>
    <w:tmpl w:val="61349B8A"/>
    <w:lvl w:ilvl="0" w:tentative="0">
      <w:start w:val="1"/>
      <w:numFmt w:val="decimal"/>
      <w:pStyle w:val="201"/>
      <w:suff w:val="nothing"/>
      <w:lvlText w:val="第%1条  "/>
      <w:lvlJc w:val="left"/>
      <w:pPr>
        <w:tabs>
          <w:tab w:val="left" w:pos="591"/>
        </w:tabs>
        <w:ind w:left="591" w:firstLine="402"/>
      </w:pPr>
      <w:rPr>
        <w:rFonts w:hint="eastAsia" w:ascii="宋体" w:hAnsi="宋体" w:eastAsia="宋体" w:cs="宋体"/>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6">
    <w:nsid w:val="73491886"/>
    <w:multiLevelType w:val="multilevel"/>
    <w:tmpl w:val="73491886"/>
    <w:lvl w:ilvl="0" w:tentative="0">
      <w:start w:val="1"/>
      <w:numFmt w:val="decimal"/>
      <w:pStyle w:val="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BE836F4"/>
    <w:multiLevelType w:val="multilevel"/>
    <w:tmpl w:val="7BE836F4"/>
    <w:lvl w:ilvl="0" w:tentative="0">
      <w:start w:val="1"/>
      <w:numFmt w:val="chineseCountingThousand"/>
      <w:pStyle w:val="80"/>
      <w:lvlText w:val="第%1章"/>
      <w:lvlJc w:val="center"/>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13"/>
  </w:num>
  <w:num w:numId="3">
    <w:abstractNumId w:val="16"/>
  </w:num>
  <w:num w:numId="4">
    <w:abstractNumId w:val="12"/>
  </w:num>
  <w:num w:numId="5">
    <w:abstractNumId w:val="3"/>
  </w:num>
  <w:num w:numId="6">
    <w:abstractNumId w:val="5"/>
  </w:num>
  <w:num w:numId="7">
    <w:abstractNumId w:val="8"/>
  </w:num>
  <w:num w:numId="8">
    <w:abstractNumId w:val="9"/>
  </w:num>
  <w:num w:numId="9">
    <w:abstractNumId w:val="6"/>
  </w:num>
  <w:num w:numId="10">
    <w:abstractNumId w:val="2"/>
  </w:num>
  <w:num w:numId="11">
    <w:abstractNumId w:val="7"/>
  </w:num>
  <w:num w:numId="12">
    <w:abstractNumId w:val="4"/>
  </w:num>
  <w:num w:numId="13">
    <w:abstractNumId w:val="1"/>
  </w:num>
  <w:num w:numId="14">
    <w:abstractNumId w:val="0"/>
  </w:num>
  <w:num w:numId="15">
    <w:abstractNumId w:val="17"/>
  </w:num>
  <w:num w:numId="16">
    <w:abstractNumId w:val="10"/>
  </w:num>
  <w:num w:numId="17">
    <w:abstractNumId w:val="14"/>
  </w:num>
  <w:num w:numId="18">
    <w:abstractNumId w:val="15"/>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EzMjNhYmEzY2U3YjA0MmMwZmM0NzM3ZjdlNTFlYWEifQ=="/>
  </w:docVars>
  <w:rsids>
    <w:rsidRoot w:val="00E414F7"/>
    <w:rsid w:val="00000922"/>
    <w:rsid w:val="000009AA"/>
    <w:rsid w:val="0000178A"/>
    <w:rsid w:val="00002671"/>
    <w:rsid w:val="000026AA"/>
    <w:rsid w:val="000035B1"/>
    <w:rsid w:val="000057B7"/>
    <w:rsid w:val="00007FD6"/>
    <w:rsid w:val="00010AF8"/>
    <w:rsid w:val="00012491"/>
    <w:rsid w:val="00013058"/>
    <w:rsid w:val="000137B0"/>
    <w:rsid w:val="00013AA8"/>
    <w:rsid w:val="000149D6"/>
    <w:rsid w:val="00015526"/>
    <w:rsid w:val="0001559F"/>
    <w:rsid w:val="00016001"/>
    <w:rsid w:val="00016FCD"/>
    <w:rsid w:val="00017890"/>
    <w:rsid w:val="00017A54"/>
    <w:rsid w:val="00020BD5"/>
    <w:rsid w:val="00020D8A"/>
    <w:rsid w:val="00021A26"/>
    <w:rsid w:val="00021F61"/>
    <w:rsid w:val="000223BA"/>
    <w:rsid w:val="00022A21"/>
    <w:rsid w:val="00024909"/>
    <w:rsid w:val="00024A6C"/>
    <w:rsid w:val="000271AD"/>
    <w:rsid w:val="00027AAB"/>
    <w:rsid w:val="00027B9F"/>
    <w:rsid w:val="0003098C"/>
    <w:rsid w:val="00031285"/>
    <w:rsid w:val="00031A8F"/>
    <w:rsid w:val="000328A8"/>
    <w:rsid w:val="00032E13"/>
    <w:rsid w:val="00033267"/>
    <w:rsid w:val="00033C80"/>
    <w:rsid w:val="00034BD5"/>
    <w:rsid w:val="0003552C"/>
    <w:rsid w:val="00035A37"/>
    <w:rsid w:val="00035B6D"/>
    <w:rsid w:val="00035FF2"/>
    <w:rsid w:val="00041B24"/>
    <w:rsid w:val="00042E7D"/>
    <w:rsid w:val="00042F23"/>
    <w:rsid w:val="00043BE7"/>
    <w:rsid w:val="00043C69"/>
    <w:rsid w:val="00044937"/>
    <w:rsid w:val="00045F76"/>
    <w:rsid w:val="00050426"/>
    <w:rsid w:val="000506DC"/>
    <w:rsid w:val="00050E41"/>
    <w:rsid w:val="0005131C"/>
    <w:rsid w:val="00052316"/>
    <w:rsid w:val="00052CA6"/>
    <w:rsid w:val="00053BD7"/>
    <w:rsid w:val="00053D90"/>
    <w:rsid w:val="00054F82"/>
    <w:rsid w:val="0005572A"/>
    <w:rsid w:val="000573B5"/>
    <w:rsid w:val="00057759"/>
    <w:rsid w:val="000578CF"/>
    <w:rsid w:val="000610C2"/>
    <w:rsid w:val="000624C9"/>
    <w:rsid w:val="000626E0"/>
    <w:rsid w:val="00063242"/>
    <w:rsid w:val="00063525"/>
    <w:rsid w:val="00063E93"/>
    <w:rsid w:val="00064101"/>
    <w:rsid w:val="0006482B"/>
    <w:rsid w:val="00064C2F"/>
    <w:rsid w:val="00070F55"/>
    <w:rsid w:val="000713F2"/>
    <w:rsid w:val="00072AB4"/>
    <w:rsid w:val="0007359A"/>
    <w:rsid w:val="00073D8E"/>
    <w:rsid w:val="000757D0"/>
    <w:rsid w:val="00077F02"/>
    <w:rsid w:val="000821AB"/>
    <w:rsid w:val="000825CF"/>
    <w:rsid w:val="00082D24"/>
    <w:rsid w:val="000845C7"/>
    <w:rsid w:val="000846D3"/>
    <w:rsid w:val="00085060"/>
    <w:rsid w:val="00087268"/>
    <w:rsid w:val="00087491"/>
    <w:rsid w:val="000900A4"/>
    <w:rsid w:val="00090B80"/>
    <w:rsid w:val="0009289D"/>
    <w:rsid w:val="00092B9D"/>
    <w:rsid w:val="00093508"/>
    <w:rsid w:val="000939CB"/>
    <w:rsid w:val="00094113"/>
    <w:rsid w:val="00094617"/>
    <w:rsid w:val="00095500"/>
    <w:rsid w:val="00095792"/>
    <w:rsid w:val="00095AB8"/>
    <w:rsid w:val="00095B66"/>
    <w:rsid w:val="000961F1"/>
    <w:rsid w:val="000A1A86"/>
    <w:rsid w:val="000A31D3"/>
    <w:rsid w:val="000A349B"/>
    <w:rsid w:val="000A392B"/>
    <w:rsid w:val="000A4B44"/>
    <w:rsid w:val="000A7046"/>
    <w:rsid w:val="000A725D"/>
    <w:rsid w:val="000A7CE0"/>
    <w:rsid w:val="000B08B1"/>
    <w:rsid w:val="000B1092"/>
    <w:rsid w:val="000B1599"/>
    <w:rsid w:val="000B1627"/>
    <w:rsid w:val="000B167F"/>
    <w:rsid w:val="000B1D8D"/>
    <w:rsid w:val="000B247F"/>
    <w:rsid w:val="000B28CA"/>
    <w:rsid w:val="000B2B6F"/>
    <w:rsid w:val="000B2F7E"/>
    <w:rsid w:val="000B349E"/>
    <w:rsid w:val="000B4CA0"/>
    <w:rsid w:val="000B5222"/>
    <w:rsid w:val="000B7F7B"/>
    <w:rsid w:val="000C2294"/>
    <w:rsid w:val="000C31A8"/>
    <w:rsid w:val="000C40DC"/>
    <w:rsid w:val="000C5BA2"/>
    <w:rsid w:val="000C643D"/>
    <w:rsid w:val="000C68BC"/>
    <w:rsid w:val="000C71C9"/>
    <w:rsid w:val="000D1208"/>
    <w:rsid w:val="000D23B3"/>
    <w:rsid w:val="000D2DB8"/>
    <w:rsid w:val="000D31B8"/>
    <w:rsid w:val="000D3384"/>
    <w:rsid w:val="000D40E4"/>
    <w:rsid w:val="000D4DA3"/>
    <w:rsid w:val="000D4E15"/>
    <w:rsid w:val="000D4E82"/>
    <w:rsid w:val="000D66F2"/>
    <w:rsid w:val="000D6982"/>
    <w:rsid w:val="000D6D27"/>
    <w:rsid w:val="000D70BF"/>
    <w:rsid w:val="000D75D6"/>
    <w:rsid w:val="000E14DB"/>
    <w:rsid w:val="000E2CBE"/>
    <w:rsid w:val="000E308A"/>
    <w:rsid w:val="000E4432"/>
    <w:rsid w:val="000E49E6"/>
    <w:rsid w:val="000F0382"/>
    <w:rsid w:val="000F083D"/>
    <w:rsid w:val="000F278E"/>
    <w:rsid w:val="000F2CC2"/>
    <w:rsid w:val="000F3927"/>
    <w:rsid w:val="000F46CE"/>
    <w:rsid w:val="000F6065"/>
    <w:rsid w:val="000F750D"/>
    <w:rsid w:val="00100663"/>
    <w:rsid w:val="00100943"/>
    <w:rsid w:val="00100ADD"/>
    <w:rsid w:val="00100B8E"/>
    <w:rsid w:val="00100D9B"/>
    <w:rsid w:val="00101399"/>
    <w:rsid w:val="00102029"/>
    <w:rsid w:val="00102933"/>
    <w:rsid w:val="00103969"/>
    <w:rsid w:val="00103F5E"/>
    <w:rsid w:val="001042F9"/>
    <w:rsid w:val="00104DA7"/>
    <w:rsid w:val="001059ED"/>
    <w:rsid w:val="00106B78"/>
    <w:rsid w:val="00106D5E"/>
    <w:rsid w:val="0010708B"/>
    <w:rsid w:val="001101B0"/>
    <w:rsid w:val="00112E22"/>
    <w:rsid w:val="00116737"/>
    <w:rsid w:val="00116C50"/>
    <w:rsid w:val="0012020F"/>
    <w:rsid w:val="00120CA9"/>
    <w:rsid w:val="0012149C"/>
    <w:rsid w:val="001230E3"/>
    <w:rsid w:val="0012329A"/>
    <w:rsid w:val="001233E4"/>
    <w:rsid w:val="001245FF"/>
    <w:rsid w:val="00125185"/>
    <w:rsid w:val="0012591E"/>
    <w:rsid w:val="00125DDB"/>
    <w:rsid w:val="00126136"/>
    <w:rsid w:val="00126521"/>
    <w:rsid w:val="00126787"/>
    <w:rsid w:val="00126A5B"/>
    <w:rsid w:val="00126D90"/>
    <w:rsid w:val="0012729E"/>
    <w:rsid w:val="001304E8"/>
    <w:rsid w:val="00131083"/>
    <w:rsid w:val="00131729"/>
    <w:rsid w:val="00132D62"/>
    <w:rsid w:val="00135E34"/>
    <w:rsid w:val="00136189"/>
    <w:rsid w:val="00136528"/>
    <w:rsid w:val="00136539"/>
    <w:rsid w:val="00137182"/>
    <w:rsid w:val="00137BD2"/>
    <w:rsid w:val="00140BFA"/>
    <w:rsid w:val="0014175D"/>
    <w:rsid w:val="00142EB5"/>
    <w:rsid w:val="0014396F"/>
    <w:rsid w:val="00143BD8"/>
    <w:rsid w:val="00144CCC"/>
    <w:rsid w:val="00146232"/>
    <w:rsid w:val="00146C0A"/>
    <w:rsid w:val="00147978"/>
    <w:rsid w:val="00151C0A"/>
    <w:rsid w:val="00152977"/>
    <w:rsid w:val="0015485F"/>
    <w:rsid w:val="00154D4F"/>
    <w:rsid w:val="0015650D"/>
    <w:rsid w:val="001577AE"/>
    <w:rsid w:val="00160FC0"/>
    <w:rsid w:val="00161F53"/>
    <w:rsid w:val="001636A1"/>
    <w:rsid w:val="001637C3"/>
    <w:rsid w:val="001643CC"/>
    <w:rsid w:val="00164527"/>
    <w:rsid w:val="00166021"/>
    <w:rsid w:val="00166BB4"/>
    <w:rsid w:val="001670EC"/>
    <w:rsid w:val="0016766B"/>
    <w:rsid w:val="00167DDD"/>
    <w:rsid w:val="00167DF8"/>
    <w:rsid w:val="001704E5"/>
    <w:rsid w:val="00170B82"/>
    <w:rsid w:val="00170FFA"/>
    <w:rsid w:val="00171AC6"/>
    <w:rsid w:val="00172737"/>
    <w:rsid w:val="001732A2"/>
    <w:rsid w:val="00174001"/>
    <w:rsid w:val="00174856"/>
    <w:rsid w:val="00175545"/>
    <w:rsid w:val="0017561A"/>
    <w:rsid w:val="00177BD3"/>
    <w:rsid w:val="00177DEB"/>
    <w:rsid w:val="00182C51"/>
    <w:rsid w:val="0018390D"/>
    <w:rsid w:val="001858D7"/>
    <w:rsid w:val="00185E37"/>
    <w:rsid w:val="00185EE7"/>
    <w:rsid w:val="00187603"/>
    <w:rsid w:val="00187818"/>
    <w:rsid w:val="00187E55"/>
    <w:rsid w:val="00187F68"/>
    <w:rsid w:val="00187FA6"/>
    <w:rsid w:val="00190040"/>
    <w:rsid w:val="001916B5"/>
    <w:rsid w:val="001925A0"/>
    <w:rsid w:val="00192B9A"/>
    <w:rsid w:val="00193FBB"/>
    <w:rsid w:val="00194650"/>
    <w:rsid w:val="00195A9D"/>
    <w:rsid w:val="00195BC8"/>
    <w:rsid w:val="00196553"/>
    <w:rsid w:val="00196706"/>
    <w:rsid w:val="001A0273"/>
    <w:rsid w:val="001A0D95"/>
    <w:rsid w:val="001A21B7"/>
    <w:rsid w:val="001A2459"/>
    <w:rsid w:val="001A3441"/>
    <w:rsid w:val="001A350D"/>
    <w:rsid w:val="001A4100"/>
    <w:rsid w:val="001A4143"/>
    <w:rsid w:val="001A471D"/>
    <w:rsid w:val="001A4906"/>
    <w:rsid w:val="001A6AA0"/>
    <w:rsid w:val="001A7165"/>
    <w:rsid w:val="001A789A"/>
    <w:rsid w:val="001A7B3B"/>
    <w:rsid w:val="001A7C56"/>
    <w:rsid w:val="001B0565"/>
    <w:rsid w:val="001B163B"/>
    <w:rsid w:val="001B2237"/>
    <w:rsid w:val="001B23C6"/>
    <w:rsid w:val="001B472C"/>
    <w:rsid w:val="001B6FE2"/>
    <w:rsid w:val="001B7846"/>
    <w:rsid w:val="001C1EE6"/>
    <w:rsid w:val="001C4740"/>
    <w:rsid w:val="001C4857"/>
    <w:rsid w:val="001C4F46"/>
    <w:rsid w:val="001C54B5"/>
    <w:rsid w:val="001C614D"/>
    <w:rsid w:val="001D05C3"/>
    <w:rsid w:val="001D1571"/>
    <w:rsid w:val="001D19E2"/>
    <w:rsid w:val="001D2438"/>
    <w:rsid w:val="001D311B"/>
    <w:rsid w:val="001D4CB3"/>
    <w:rsid w:val="001D50F8"/>
    <w:rsid w:val="001D54B8"/>
    <w:rsid w:val="001D5522"/>
    <w:rsid w:val="001D5A90"/>
    <w:rsid w:val="001D63BB"/>
    <w:rsid w:val="001D6591"/>
    <w:rsid w:val="001D717C"/>
    <w:rsid w:val="001E04DD"/>
    <w:rsid w:val="001E1E74"/>
    <w:rsid w:val="001E4A9F"/>
    <w:rsid w:val="001E4DB2"/>
    <w:rsid w:val="001E6071"/>
    <w:rsid w:val="001E68AA"/>
    <w:rsid w:val="001E6C8F"/>
    <w:rsid w:val="001E7682"/>
    <w:rsid w:val="001F004E"/>
    <w:rsid w:val="001F0718"/>
    <w:rsid w:val="001F1186"/>
    <w:rsid w:val="001F1442"/>
    <w:rsid w:val="001F16BE"/>
    <w:rsid w:val="001F1EF0"/>
    <w:rsid w:val="001F2AAC"/>
    <w:rsid w:val="001F2BBF"/>
    <w:rsid w:val="001F3C48"/>
    <w:rsid w:val="001F5149"/>
    <w:rsid w:val="001F70DE"/>
    <w:rsid w:val="0020021A"/>
    <w:rsid w:val="00200438"/>
    <w:rsid w:val="00200929"/>
    <w:rsid w:val="002024EB"/>
    <w:rsid w:val="00203232"/>
    <w:rsid w:val="00203B55"/>
    <w:rsid w:val="00204129"/>
    <w:rsid w:val="002046BA"/>
    <w:rsid w:val="00204DAD"/>
    <w:rsid w:val="0020504F"/>
    <w:rsid w:val="002052F4"/>
    <w:rsid w:val="00206FD7"/>
    <w:rsid w:val="002072E3"/>
    <w:rsid w:val="00211505"/>
    <w:rsid w:val="002116A1"/>
    <w:rsid w:val="00213791"/>
    <w:rsid w:val="00215D52"/>
    <w:rsid w:val="00217F74"/>
    <w:rsid w:val="00220E9D"/>
    <w:rsid w:val="002223CE"/>
    <w:rsid w:val="00222502"/>
    <w:rsid w:val="002226F8"/>
    <w:rsid w:val="00222C3F"/>
    <w:rsid w:val="00225305"/>
    <w:rsid w:val="002266CC"/>
    <w:rsid w:val="00230021"/>
    <w:rsid w:val="0023003E"/>
    <w:rsid w:val="00230259"/>
    <w:rsid w:val="002306F5"/>
    <w:rsid w:val="00230941"/>
    <w:rsid w:val="00231559"/>
    <w:rsid w:val="00232093"/>
    <w:rsid w:val="002329B5"/>
    <w:rsid w:val="002333F2"/>
    <w:rsid w:val="00233AC4"/>
    <w:rsid w:val="00233BDC"/>
    <w:rsid w:val="002347F8"/>
    <w:rsid w:val="002354FE"/>
    <w:rsid w:val="0023569E"/>
    <w:rsid w:val="0023771E"/>
    <w:rsid w:val="0024160C"/>
    <w:rsid w:val="0024196E"/>
    <w:rsid w:val="00241A23"/>
    <w:rsid w:val="002427F8"/>
    <w:rsid w:val="00243834"/>
    <w:rsid w:val="00243842"/>
    <w:rsid w:val="00243AF8"/>
    <w:rsid w:val="00244152"/>
    <w:rsid w:val="0024449F"/>
    <w:rsid w:val="00245201"/>
    <w:rsid w:val="00245205"/>
    <w:rsid w:val="0024576D"/>
    <w:rsid w:val="00245E59"/>
    <w:rsid w:val="002503DF"/>
    <w:rsid w:val="00250960"/>
    <w:rsid w:val="00251448"/>
    <w:rsid w:val="00251B59"/>
    <w:rsid w:val="0025229A"/>
    <w:rsid w:val="002557CA"/>
    <w:rsid w:val="00255ED2"/>
    <w:rsid w:val="00256C39"/>
    <w:rsid w:val="002573B5"/>
    <w:rsid w:val="002576F3"/>
    <w:rsid w:val="00260184"/>
    <w:rsid w:val="00260759"/>
    <w:rsid w:val="00260C02"/>
    <w:rsid w:val="0026185A"/>
    <w:rsid w:val="00261D85"/>
    <w:rsid w:val="002622E4"/>
    <w:rsid w:val="0026289F"/>
    <w:rsid w:val="002637C3"/>
    <w:rsid w:val="0026469E"/>
    <w:rsid w:val="0026569E"/>
    <w:rsid w:val="00265FB9"/>
    <w:rsid w:val="00267769"/>
    <w:rsid w:val="00267BD6"/>
    <w:rsid w:val="0027078D"/>
    <w:rsid w:val="0027138B"/>
    <w:rsid w:val="00271795"/>
    <w:rsid w:val="002719A0"/>
    <w:rsid w:val="00272A4B"/>
    <w:rsid w:val="00272FFA"/>
    <w:rsid w:val="0027366E"/>
    <w:rsid w:val="00273F97"/>
    <w:rsid w:val="002744A8"/>
    <w:rsid w:val="00274A52"/>
    <w:rsid w:val="00274C17"/>
    <w:rsid w:val="00277456"/>
    <w:rsid w:val="00280421"/>
    <w:rsid w:val="00280505"/>
    <w:rsid w:val="002815DC"/>
    <w:rsid w:val="00282174"/>
    <w:rsid w:val="00282813"/>
    <w:rsid w:val="00282BED"/>
    <w:rsid w:val="00282CC5"/>
    <w:rsid w:val="00282DB2"/>
    <w:rsid w:val="00283092"/>
    <w:rsid w:val="00285BBC"/>
    <w:rsid w:val="00286631"/>
    <w:rsid w:val="002870C9"/>
    <w:rsid w:val="002872DF"/>
    <w:rsid w:val="00287F72"/>
    <w:rsid w:val="00290054"/>
    <w:rsid w:val="002900D8"/>
    <w:rsid w:val="0029225C"/>
    <w:rsid w:val="002940AB"/>
    <w:rsid w:val="00294726"/>
    <w:rsid w:val="00294A04"/>
    <w:rsid w:val="002950CD"/>
    <w:rsid w:val="0029584E"/>
    <w:rsid w:val="00296750"/>
    <w:rsid w:val="00296F38"/>
    <w:rsid w:val="00297183"/>
    <w:rsid w:val="00297961"/>
    <w:rsid w:val="00297B91"/>
    <w:rsid w:val="00297F0A"/>
    <w:rsid w:val="002A239C"/>
    <w:rsid w:val="002A2725"/>
    <w:rsid w:val="002A274D"/>
    <w:rsid w:val="002A299F"/>
    <w:rsid w:val="002A3DA1"/>
    <w:rsid w:val="002A476E"/>
    <w:rsid w:val="002A4C7E"/>
    <w:rsid w:val="002A5F5B"/>
    <w:rsid w:val="002A72A3"/>
    <w:rsid w:val="002A76C7"/>
    <w:rsid w:val="002B0201"/>
    <w:rsid w:val="002B090A"/>
    <w:rsid w:val="002B095A"/>
    <w:rsid w:val="002B2917"/>
    <w:rsid w:val="002B3A8A"/>
    <w:rsid w:val="002B3D37"/>
    <w:rsid w:val="002B460A"/>
    <w:rsid w:val="002B4CE6"/>
    <w:rsid w:val="002B57D2"/>
    <w:rsid w:val="002B72C1"/>
    <w:rsid w:val="002B760D"/>
    <w:rsid w:val="002B7788"/>
    <w:rsid w:val="002C11B0"/>
    <w:rsid w:val="002C1D24"/>
    <w:rsid w:val="002C1F41"/>
    <w:rsid w:val="002C2911"/>
    <w:rsid w:val="002C39A8"/>
    <w:rsid w:val="002C537A"/>
    <w:rsid w:val="002C55FB"/>
    <w:rsid w:val="002C5E53"/>
    <w:rsid w:val="002D0422"/>
    <w:rsid w:val="002D0D45"/>
    <w:rsid w:val="002D1274"/>
    <w:rsid w:val="002D1B57"/>
    <w:rsid w:val="002D2517"/>
    <w:rsid w:val="002D2FC8"/>
    <w:rsid w:val="002D3CFA"/>
    <w:rsid w:val="002D3EF4"/>
    <w:rsid w:val="002D4E30"/>
    <w:rsid w:val="002D4EA9"/>
    <w:rsid w:val="002D6511"/>
    <w:rsid w:val="002D6ADF"/>
    <w:rsid w:val="002E0408"/>
    <w:rsid w:val="002E1E05"/>
    <w:rsid w:val="002E2508"/>
    <w:rsid w:val="002E27D1"/>
    <w:rsid w:val="002E2AD8"/>
    <w:rsid w:val="002E30B3"/>
    <w:rsid w:val="002E33A9"/>
    <w:rsid w:val="002E53BC"/>
    <w:rsid w:val="002E64B6"/>
    <w:rsid w:val="002E72FF"/>
    <w:rsid w:val="002E7C3E"/>
    <w:rsid w:val="002F0FCA"/>
    <w:rsid w:val="002F13E3"/>
    <w:rsid w:val="002F1A80"/>
    <w:rsid w:val="002F1D40"/>
    <w:rsid w:val="002F21AC"/>
    <w:rsid w:val="002F23E9"/>
    <w:rsid w:val="002F375D"/>
    <w:rsid w:val="002F4289"/>
    <w:rsid w:val="002F4DA4"/>
    <w:rsid w:val="002F531B"/>
    <w:rsid w:val="002F7F93"/>
    <w:rsid w:val="003003C6"/>
    <w:rsid w:val="003029DA"/>
    <w:rsid w:val="00304116"/>
    <w:rsid w:val="00304422"/>
    <w:rsid w:val="00304A6F"/>
    <w:rsid w:val="003077A1"/>
    <w:rsid w:val="003078C8"/>
    <w:rsid w:val="00307E7F"/>
    <w:rsid w:val="003124E5"/>
    <w:rsid w:val="00312666"/>
    <w:rsid w:val="00312A9F"/>
    <w:rsid w:val="003157B5"/>
    <w:rsid w:val="0031673C"/>
    <w:rsid w:val="003172E1"/>
    <w:rsid w:val="00317600"/>
    <w:rsid w:val="00320E31"/>
    <w:rsid w:val="00320F98"/>
    <w:rsid w:val="0032239E"/>
    <w:rsid w:val="003245B5"/>
    <w:rsid w:val="0032468D"/>
    <w:rsid w:val="003262D7"/>
    <w:rsid w:val="003268D9"/>
    <w:rsid w:val="003269DD"/>
    <w:rsid w:val="00326BD8"/>
    <w:rsid w:val="00327688"/>
    <w:rsid w:val="003302CD"/>
    <w:rsid w:val="00330874"/>
    <w:rsid w:val="00330E68"/>
    <w:rsid w:val="00331C17"/>
    <w:rsid w:val="00333215"/>
    <w:rsid w:val="00333250"/>
    <w:rsid w:val="00333F6D"/>
    <w:rsid w:val="00333FDB"/>
    <w:rsid w:val="00334218"/>
    <w:rsid w:val="00334E50"/>
    <w:rsid w:val="00335B80"/>
    <w:rsid w:val="00341205"/>
    <w:rsid w:val="00341525"/>
    <w:rsid w:val="00342980"/>
    <w:rsid w:val="003434A4"/>
    <w:rsid w:val="0034379F"/>
    <w:rsid w:val="00345223"/>
    <w:rsid w:val="003457D7"/>
    <w:rsid w:val="0034656A"/>
    <w:rsid w:val="003471F5"/>
    <w:rsid w:val="00347C32"/>
    <w:rsid w:val="003509C0"/>
    <w:rsid w:val="0035207B"/>
    <w:rsid w:val="00354429"/>
    <w:rsid w:val="00354839"/>
    <w:rsid w:val="00354C2C"/>
    <w:rsid w:val="00355C03"/>
    <w:rsid w:val="003578BF"/>
    <w:rsid w:val="00357CE1"/>
    <w:rsid w:val="00357F07"/>
    <w:rsid w:val="0036047E"/>
    <w:rsid w:val="00360B85"/>
    <w:rsid w:val="00360BFD"/>
    <w:rsid w:val="00360CF8"/>
    <w:rsid w:val="003622F3"/>
    <w:rsid w:val="00364EB7"/>
    <w:rsid w:val="0036518D"/>
    <w:rsid w:val="00365F62"/>
    <w:rsid w:val="00366A4C"/>
    <w:rsid w:val="003672B3"/>
    <w:rsid w:val="0036736E"/>
    <w:rsid w:val="003701C2"/>
    <w:rsid w:val="00370360"/>
    <w:rsid w:val="00370A8D"/>
    <w:rsid w:val="0037154E"/>
    <w:rsid w:val="00371B6A"/>
    <w:rsid w:val="00372188"/>
    <w:rsid w:val="00373473"/>
    <w:rsid w:val="0037404F"/>
    <w:rsid w:val="003747C8"/>
    <w:rsid w:val="0037566B"/>
    <w:rsid w:val="0037613B"/>
    <w:rsid w:val="003774BD"/>
    <w:rsid w:val="003779AF"/>
    <w:rsid w:val="00377C5B"/>
    <w:rsid w:val="00380446"/>
    <w:rsid w:val="003806AB"/>
    <w:rsid w:val="003806D5"/>
    <w:rsid w:val="00381B1F"/>
    <w:rsid w:val="00382190"/>
    <w:rsid w:val="0038289B"/>
    <w:rsid w:val="00383E7C"/>
    <w:rsid w:val="00385BC0"/>
    <w:rsid w:val="003870AF"/>
    <w:rsid w:val="00387DAB"/>
    <w:rsid w:val="00390244"/>
    <w:rsid w:val="00390840"/>
    <w:rsid w:val="003910AF"/>
    <w:rsid w:val="0039185A"/>
    <w:rsid w:val="00393ABA"/>
    <w:rsid w:val="00395607"/>
    <w:rsid w:val="00395819"/>
    <w:rsid w:val="00396067"/>
    <w:rsid w:val="00396374"/>
    <w:rsid w:val="003970B4"/>
    <w:rsid w:val="0039790A"/>
    <w:rsid w:val="00397CDF"/>
    <w:rsid w:val="003A0CB5"/>
    <w:rsid w:val="003A39A7"/>
    <w:rsid w:val="003A4297"/>
    <w:rsid w:val="003A453B"/>
    <w:rsid w:val="003A5AF0"/>
    <w:rsid w:val="003A5E3F"/>
    <w:rsid w:val="003A60E0"/>
    <w:rsid w:val="003A6528"/>
    <w:rsid w:val="003A69CA"/>
    <w:rsid w:val="003B28A7"/>
    <w:rsid w:val="003B309E"/>
    <w:rsid w:val="003B365B"/>
    <w:rsid w:val="003B3D42"/>
    <w:rsid w:val="003B3F3C"/>
    <w:rsid w:val="003B4882"/>
    <w:rsid w:val="003B5BF0"/>
    <w:rsid w:val="003B5C21"/>
    <w:rsid w:val="003B7DB6"/>
    <w:rsid w:val="003C08FC"/>
    <w:rsid w:val="003C11DA"/>
    <w:rsid w:val="003C13BB"/>
    <w:rsid w:val="003C14F9"/>
    <w:rsid w:val="003C3071"/>
    <w:rsid w:val="003C311F"/>
    <w:rsid w:val="003C3FF8"/>
    <w:rsid w:val="003C6858"/>
    <w:rsid w:val="003C6EAA"/>
    <w:rsid w:val="003D0A9D"/>
    <w:rsid w:val="003D146A"/>
    <w:rsid w:val="003D17AC"/>
    <w:rsid w:val="003D189E"/>
    <w:rsid w:val="003D23E8"/>
    <w:rsid w:val="003D2929"/>
    <w:rsid w:val="003D33AF"/>
    <w:rsid w:val="003D3A5D"/>
    <w:rsid w:val="003D3FCC"/>
    <w:rsid w:val="003D433A"/>
    <w:rsid w:val="003D4FA2"/>
    <w:rsid w:val="003D5BD2"/>
    <w:rsid w:val="003D5BFC"/>
    <w:rsid w:val="003D7187"/>
    <w:rsid w:val="003E00DD"/>
    <w:rsid w:val="003E028E"/>
    <w:rsid w:val="003E1225"/>
    <w:rsid w:val="003E2EFC"/>
    <w:rsid w:val="003E3A08"/>
    <w:rsid w:val="003E3D03"/>
    <w:rsid w:val="003E3F09"/>
    <w:rsid w:val="003E40C8"/>
    <w:rsid w:val="003E423F"/>
    <w:rsid w:val="003E4331"/>
    <w:rsid w:val="003E4ED9"/>
    <w:rsid w:val="003E5308"/>
    <w:rsid w:val="003E6439"/>
    <w:rsid w:val="003E70EB"/>
    <w:rsid w:val="003E76FE"/>
    <w:rsid w:val="003E7CC9"/>
    <w:rsid w:val="003F02CA"/>
    <w:rsid w:val="003F0F75"/>
    <w:rsid w:val="003F1808"/>
    <w:rsid w:val="003F2CE0"/>
    <w:rsid w:val="003F4DDF"/>
    <w:rsid w:val="003F628C"/>
    <w:rsid w:val="003F71EF"/>
    <w:rsid w:val="00400E55"/>
    <w:rsid w:val="00402123"/>
    <w:rsid w:val="00402624"/>
    <w:rsid w:val="00402674"/>
    <w:rsid w:val="004027ED"/>
    <w:rsid w:val="00402A5E"/>
    <w:rsid w:val="00403A37"/>
    <w:rsid w:val="0040430B"/>
    <w:rsid w:val="00404A4D"/>
    <w:rsid w:val="00405707"/>
    <w:rsid w:val="00405C45"/>
    <w:rsid w:val="00406365"/>
    <w:rsid w:val="00407D41"/>
    <w:rsid w:val="00410474"/>
    <w:rsid w:val="00411EBC"/>
    <w:rsid w:val="00412316"/>
    <w:rsid w:val="0041268E"/>
    <w:rsid w:val="0041274D"/>
    <w:rsid w:val="004136CE"/>
    <w:rsid w:val="00420D26"/>
    <w:rsid w:val="004226F2"/>
    <w:rsid w:val="00422E88"/>
    <w:rsid w:val="00423821"/>
    <w:rsid w:val="00423A46"/>
    <w:rsid w:val="004242EA"/>
    <w:rsid w:val="00424869"/>
    <w:rsid w:val="00424F5F"/>
    <w:rsid w:val="004251A2"/>
    <w:rsid w:val="00426250"/>
    <w:rsid w:val="00426648"/>
    <w:rsid w:val="004269B7"/>
    <w:rsid w:val="00427193"/>
    <w:rsid w:val="004275E5"/>
    <w:rsid w:val="0043078D"/>
    <w:rsid w:val="00431547"/>
    <w:rsid w:val="00431E1B"/>
    <w:rsid w:val="00432053"/>
    <w:rsid w:val="00432C8C"/>
    <w:rsid w:val="00432D2C"/>
    <w:rsid w:val="0043303D"/>
    <w:rsid w:val="004336D8"/>
    <w:rsid w:val="004337D3"/>
    <w:rsid w:val="004339AB"/>
    <w:rsid w:val="00435084"/>
    <w:rsid w:val="00435487"/>
    <w:rsid w:val="00436176"/>
    <w:rsid w:val="00437F3A"/>
    <w:rsid w:val="00440869"/>
    <w:rsid w:val="0044172B"/>
    <w:rsid w:val="0044182A"/>
    <w:rsid w:val="00442A64"/>
    <w:rsid w:val="00443C85"/>
    <w:rsid w:val="00444427"/>
    <w:rsid w:val="004447BA"/>
    <w:rsid w:val="0044502F"/>
    <w:rsid w:val="00445AA6"/>
    <w:rsid w:val="00445B39"/>
    <w:rsid w:val="00447070"/>
    <w:rsid w:val="00447109"/>
    <w:rsid w:val="00447DAB"/>
    <w:rsid w:val="00450649"/>
    <w:rsid w:val="004507C5"/>
    <w:rsid w:val="00450919"/>
    <w:rsid w:val="00450C86"/>
    <w:rsid w:val="00452CE0"/>
    <w:rsid w:val="00453208"/>
    <w:rsid w:val="00454361"/>
    <w:rsid w:val="00457E51"/>
    <w:rsid w:val="004617C1"/>
    <w:rsid w:val="00461D96"/>
    <w:rsid w:val="00462C9D"/>
    <w:rsid w:val="0046304E"/>
    <w:rsid w:val="004633F9"/>
    <w:rsid w:val="004639D0"/>
    <w:rsid w:val="00465281"/>
    <w:rsid w:val="004658E5"/>
    <w:rsid w:val="00465B7F"/>
    <w:rsid w:val="00466181"/>
    <w:rsid w:val="00466D2A"/>
    <w:rsid w:val="004678C1"/>
    <w:rsid w:val="00470049"/>
    <w:rsid w:val="00470273"/>
    <w:rsid w:val="00471476"/>
    <w:rsid w:val="00471F03"/>
    <w:rsid w:val="00472964"/>
    <w:rsid w:val="00473EE9"/>
    <w:rsid w:val="004767E9"/>
    <w:rsid w:val="00476FDD"/>
    <w:rsid w:val="00477383"/>
    <w:rsid w:val="0047783B"/>
    <w:rsid w:val="00477A7D"/>
    <w:rsid w:val="00480C40"/>
    <w:rsid w:val="004810AC"/>
    <w:rsid w:val="00482DDF"/>
    <w:rsid w:val="00483DD6"/>
    <w:rsid w:val="00485DC7"/>
    <w:rsid w:val="00487F38"/>
    <w:rsid w:val="00490A6D"/>
    <w:rsid w:val="00490BD5"/>
    <w:rsid w:val="00491341"/>
    <w:rsid w:val="00491CEC"/>
    <w:rsid w:val="0049205E"/>
    <w:rsid w:val="00494895"/>
    <w:rsid w:val="004958BC"/>
    <w:rsid w:val="004974ED"/>
    <w:rsid w:val="004A0CCA"/>
    <w:rsid w:val="004A15E2"/>
    <w:rsid w:val="004A3DC2"/>
    <w:rsid w:val="004A43BD"/>
    <w:rsid w:val="004A5DDB"/>
    <w:rsid w:val="004A5E4F"/>
    <w:rsid w:val="004A7E5F"/>
    <w:rsid w:val="004B0E00"/>
    <w:rsid w:val="004B15BB"/>
    <w:rsid w:val="004B1610"/>
    <w:rsid w:val="004B248F"/>
    <w:rsid w:val="004B28AE"/>
    <w:rsid w:val="004B2AEF"/>
    <w:rsid w:val="004B3256"/>
    <w:rsid w:val="004B45C9"/>
    <w:rsid w:val="004B46AC"/>
    <w:rsid w:val="004B4E55"/>
    <w:rsid w:val="004B5096"/>
    <w:rsid w:val="004B60F4"/>
    <w:rsid w:val="004B7359"/>
    <w:rsid w:val="004C0BCC"/>
    <w:rsid w:val="004C1C87"/>
    <w:rsid w:val="004C1E90"/>
    <w:rsid w:val="004C230D"/>
    <w:rsid w:val="004C2791"/>
    <w:rsid w:val="004C2FD6"/>
    <w:rsid w:val="004C3C03"/>
    <w:rsid w:val="004C4BF1"/>
    <w:rsid w:val="004C4C0E"/>
    <w:rsid w:val="004C52AD"/>
    <w:rsid w:val="004C53A7"/>
    <w:rsid w:val="004C626A"/>
    <w:rsid w:val="004C630F"/>
    <w:rsid w:val="004C7469"/>
    <w:rsid w:val="004C7692"/>
    <w:rsid w:val="004D06A4"/>
    <w:rsid w:val="004D177E"/>
    <w:rsid w:val="004D1E8C"/>
    <w:rsid w:val="004D381D"/>
    <w:rsid w:val="004D4DDE"/>
    <w:rsid w:val="004D5097"/>
    <w:rsid w:val="004D5762"/>
    <w:rsid w:val="004D6A10"/>
    <w:rsid w:val="004D6D9A"/>
    <w:rsid w:val="004E2F0F"/>
    <w:rsid w:val="004E3301"/>
    <w:rsid w:val="004E3A4C"/>
    <w:rsid w:val="004E4238"/>
    <w:rsid w:val="004E42DF"/>
    <w:rsid w:val="004E50D9"/>
    <w:rsid w:val="004F078E"/>
    <w:rsid w:val="004F17AD"/>
    <w:rsid w:val="004F183D"/>
    <w:rsid w:val="004F1EF1"/>
    <w:rsid w:val="004F2325"/>
    <w:rsid w:val="004F28A2"/>
    <w:rsid w:val="004F28BB"/>
    <w:rsid w:val="004F3098"/>
    <w:rsid w:val="004F31FE"/>
    <w:rsid w:val="004F3B16"/>
    <w:rsid w:val="004F4562"/>
    <w:rsid w:val="004F4D55"/>
    <w:rsid w:val="004F69D2"/>
    <w:rsid w:val="004F729C"/>
    <w:rsid w:val="004F72C0"/>
    <w:rsid w:val="004F784C"/>
    <w:rsid w:val="00500C81"/>
    <w:rsid w:val="005011D6"/>
    <w:rsid w:val="00502CBC"/>
    <w:rsid w:val="00503076"/>
    <w:rsid w:val="00504D68"/>
    <w:rsid w:val="005050FC"/>
    <w:rsid w:val="005051D2"/>
    <w:rsid w:val="00505F35"/>
    <w:rsid w:val="00506197"/>
    <w:rsid w:val="00506667"/>
    <w:rsid w:val="00510980"/>
    <w:rsid w:val="00515F88"/>
    <w:rsid w:val="00516215"/>
    <w:rsid w:val="00516B55"/>
    <w:rsid w:val="00516DFA"/>
    <w:rsid w:val="00516F1A"/>
    <w:rsid w:val="005221BF"/>
    <w:rsid w:val="00522588"/>
    <w:rsid w:val="005231A3"/>
    <w:rsid w:val="00524460"/>
    <w:rsid w:val="00524681"/>
    <w:rsid w:val="00525102"/>
    <w:rsid w:val="005266D5"/>
    <w:rsid w:val="00526B5F"/>
    <w:rsid w:val="00527E4C"/>
    <w:rsid w:val="0053008E"/>
    <w:rsid w:val="00530414"/>
    <w:rsid w:val="00530480"/>
    <w:rsid w:val="00530CFB"/>
    <w:rsid w:val="005314E9"/>
    <w:rsid w:val="00532104"/>
    <w:rsid w:val="00532B95"/>
    <w:rsid w:val="005352E3"/>
    <w:rsid w:val="00535477"/>
    <w:rsid w:val="0053655F"/>
    <w:rsid w:val="00536F4A"/>
    <w:rsid w:val="005413B9"/>
    <w:rsid w:val="00543990"/>
    <w:rsid w:val="00543B98"/>
    <w:rsid w:val="005448F6"/>
    <w:rsid w:val="005469B8"/>
    <w:rsid w:val="00546D99"/>
    <w:rsid w:val="00547332"/>
    <w:rsid w:val="00551ACA"/>
    <w:rsid w:val="005522E5"/>
    <w:rsid w:val="00553181"/>
    <w:rsid w:val="00553A2B"/>
    <w:rsid w:val="0055564F"/>
    <w:rsid w:val="00555F1B"/>
    <w:rsid w:val="0055773A"/>
    <w:rsid w:val="005600AD"/>
    <w:rsid w:val="00562DC5"/>
    <w:rsid w:val="00562E46"/>
    <w:rsid w:val="00564273"/>
    <w:rsid w:val="00565971"/>
    <w:rsid w:val="00565EBE"/>
    <w:rsid w:val="00566B77"/>
    <w:rsid w:val="00566E00"/>
    <w:rsid w:val="0057078B"/>
    <w:rsid w:val="00570E64"/>
    <w:rsid w:val="005714B9"/>
    <w:rsid w:val="00571869"/>
    <w:rsid w:val="005719D8"/>
    <w:rsid w:val="00573354"/>
    <w:rsid w:val="005757C4"/>
    <w:rsid w:val="00576357"/>
    <w:rsid w:val="00576636"/>
    <w:rsid w:val="00577A6D"/>
    <w:rsid w:val="005804C3"/>
    <w:rsid w:val="00581933"/>
    <w:rsid w:val="00582CD9"/>
    <w:rsid w:val="005845BE"/>
    <w:rsid w:val="00586545"/>
    <w:rsid w:val="005868E0"/>
    <w:rsid w:val="005874C6"/>
    <w:rsid w:val="00590944"/>
    <w:rsid w:val="00591DDD"/>
    <w:rsid w:val="00592618"/>
    <w:rsid w:val="005928CC"/>
    <w:rsid w:val="00592E0B"/>
    <w:rsid w:val="00593283"/>
    <w:rsid w:val="005936A4"/>
    <w:rsid w:val="00594221"/>
    <w:rsid w:val="00594774"/>
    <w:rsid w:val="00595538"/>
    <w:rsid w:val="00595D8C"/>
    <w:rsid w:val="0059691F"/>
    <w:rsid w:val="005A0AA7"/>
    <w:rsid w:val="005A140C"/>
    <w:rsid w:val="005A1465"/>
    <w:rsid w:val="005A3274"/>
    <w:rsid w:val="005A377D"/>
    <w:rsid w:val="005A3DA0"/>
    <w:rsid w:val="005A3F6B"/>
    <w:rsid w:val="005A427D"/>
    <w:rsid w:val="005A6233"/>
    <w:rsid w:val="005A6563"/>
    <w:rsid w:val="005A6BB1"/>
    <w:rsid w:val="005A6D8F"/>
    <w:rsid w:val="005A7536"/>
    <w:rsid w:val="005B01EB"/>
    <w:rsid w:val="005B0706"/>
    <w:rsid w:val="005B11A8"/>
    <w:rsid w:val="005B14EC"/>
    <w:rsid w:val="005B25CC"/>
    <w:rsid w:val="005B277C"/>
    <w:rsid w:val="005B326F"/>
    <w:rsid w:val="005B47A4"/>
    <w:rsid w:val="005B4B72"/>
    <w:rsid w:val="005B581B"/>
    <w:rsid w:val="005C034F"/>
    <w:rsid w:val="005C321B"/>
    <w:rsid w:val="005C34CC"/>
    <w:rsid w:val="005C404D"/>
    <w:rsid w:val="005C5CCB"/>
    <w:rsid w:val="005C5F4F"/>
    <w:rsid w:val="005C683D"/>
    <w:rsid w:val="005C7199"/>
    <w:rsid w:val="005D0127"/>
    <w:rsid w:val="005D1152"/>
    <w:rsid w:val="005D2807"/>
    <w:rsid w:val="005D3248"/>
    <w:rsid w:val="005D5463"/>
    <w:rsid w:val="005D554C"/>
    <w:rsid w:val="005D757D"/>
    <w:rsid w:val="005D7F78"/>
    <w:rsid w:val="005E0E72"/>
    <w:rsid w:val="005E1453"/>
    <w:rsid w:val="005E215C"/>
    <w:rsid w:val="005E2307"/>
    <w:rsid w:val="005E2368"/>
    <w:rsid w:val="005E3622"/>
    <w:rsid w:val="005E38AE"/>
    <w:rsid w:val="005E44A1"/>
    <w:rsid w:val="005E4766"/>
    <w:rsid w:val="005E4843"/>
    <w:rsid w:val="005E511B"/>
    <w:rsid w:val="005E5A73"/>
    <w:rsid w:val="005E5E83"/>
    <w:rsid w:val="005E6796"/>
    <w:rsid w:val="005F03A8"/>
    <w:rsid w:val="005F1200"/>
    <w:rsid w:val="005F2D32"/>
    <w:rsid w:val="005F362A"/>
    <w:rsid w:val="005F5018"/>
    <w:rsid w:val="005F655C"/>
    <w:rsid w:val="005F6AB4"/>
    <w:rsid w:val="0060065E"/>
    <w:rsid w:val="0060070B"/>
    <w:rsid w:val="00601540"/>
    <w:rsid w:val="006037E8"/>
    <w:rsid w:val="006055BA"/>
    <w:rsid w:val="006076E2"/>
    <w:rsid w:val="00607ABA"/>
    <w:rsid w:val="006104F4"/>
    <w:rsid w:val="00610C23"/>
    <w:rsid w:val="006126FF"/>
    <w:rsid w:val="00614088"/>
    <w:rsid w:val="00614B5C"/>
    <w:rsid w:val="006154C5"/>
    <w:rsid w:val="00616EF9"/>
    <w:rsid w:val="00617674"/>
    <w:rsid w:val="0061771C"/>
    <w:rsid w:val="0061773F"/>
    <w:rsid w:val="00620529"/>
    <w:rsid w:val="00620C5A"/>
    <w:rsid w:val="00620D6C"/>
    <w:rsid w:val="0062244D"/>
    <w:rsid w:val="00622D65"/>
    <w:rsid w:val="0062347D"/>
    <w:rsid w:val="00623791"/>
    <w:rsid w:val="00624034"/>
    <w:rsid w:val="00624FF5"/>
    <w:rsid w:val="0062520D"/>
    <w:rsid w:val="006259E1"/>
    <w:rsid w:val="00627662"/>
    <w:rsid w:val="00631168"/>
    <w:rsid w:val="0063247F"/>
    <w:rsid w:val="00633530"/>
    <w:rsid w:val="00633976"/>
    <w:rsid w:val="00633A38"/>
    <w:rsid w:val="00633A72"/>
    <w:rsid w:val="00635112"/>
    <w:rsid w:val="006352F1"/>
    <w:rsid w:val="00635B50"/>
    <w:rsid w:val="00635ECD"/>
    <w:rsid w:val="0063640E"/>
    <w:rsid w:val="00641C10"/>
    <w:rsid w:val="00642B23"/>
    <w:rsid w:val="00643DF1"/>
    <w:rsid w:val="006447FC"/>
    <w:rsid w:val="0064499F"/>
    <w:rsid w:val="006452F3"/>
    <w:rsid w:val="006463F5"/>
    <w:rsid w:val="00646579"/>
    <w:rsid w:val="006479CA"/>
    <w:rsid w:val="00651AC4"/>
    <w:rsid w:val="00652BAD"/>
    <w:rsid w:val="006531A0"/>
    <w:rsid w:val="006531C9"/>
    <w:rsid w:val="00653DD9"/>
    <w:rsid w:val="006550FE"/>
    <w:rsid w:val="00655D95"/>
    <w:rsid w:val="00656466"/>
    <w:rsid w:val="00656C5D"/>
    <w:rsid w:val="006603D4"/>
    <w:rsid w:val="0066043D"/>
    <w:rsid w:val="006607BA"/>
    <w:rsid w:val="00661131"/>
    <w:rsid w:val="00661E5E"/>
    <w:rsid w:val="00663D38"/>
    <w:rsid w:val="00663FDF"/>
    <w:rsid w:val="006661BE"/>
    <w:rsid w:val="00666D0C"/>
    <w:rsid w:val="006675C1"/>
    <w:rsid w:val="006679C0"/>
    <w:rsid w:val="006722A4"/>
    <w:rsid w:val="00672F67"/>
    <w:rsid w:val="00674DF3"/>
    <w:rsid w:val="00675C26"/>
    <w:rsid w:val="0067609E"/>
    <w:rsid w:val="00676F79"/>
    <w:rsid w:val="0068365C"/>
    <w:rsid w:val="00684A39"/>
    <w:rsid w:val="00684E75"/>
    <w:rsid w:val="00684F8E"/>
    <w:rsid w:val="00685C96"/>
    <w:rsid w:val="00685DC3"/>
    <w:rsid w:val="00686F58"/>
    <w:rsid w:val="006871FD"/>
    <w:rsid w:val="0069039F"/>
    <w:rsid w:val="006918BC"/>
    <w:rsid w:val="006919E1"/>
    <w:rsid w:val="00692D01"/>
    <w:rsid w:val="00693479"/>
    <w:rsid w:val="006940B1"/>
    <w:rsid w:val="00696FC7"/>
    <w:rsid w:val="006976CC"/>
    <w:rsid w:val="006A0627"/>
    <w:rsid w:val="006A064A"/>
    <w:rsid w:val="006A0676"/>
    <w:rsid w:val="006A0ED0"/>
    <w:rsid w:val="006A27D7"/>
    <w:rsid w:val="006A2F2E"/>
    <w:rsid w:val="006A30C5"/>
    <w:rsid w:val="006A4E97"/>
    <w:rsid w:val="006A5CD0"/>
    <w:rsid w:val="006A6221"/>
    <w:rsid w:val="006A6F1E"/>
    <w:rsid w:val="006A73AD"/>
    <w:rsid w:val="006B21DB"/>
    <w:rsid w:val="006B286B"/>
    <w:rsid w:val="006B2BEB"/>
    <w:rsid w:val="006B3F49"/>
    <w:rsid w:val="006B4FD2"/>
    <w:rsid w:val="006B656A"/>
    <w:rsid w:val="006B6592"/>
    <w:rsid w:val="006B730B"/>
    <w:rsid w:val="006C0FE9"/>
    <w:rsid w:val="006C2501"/>
    <w:rsid w:val="006C2A72"/>
    <w:rsid w:val="006C2F5E"/>
    <w:rsid w:val="006C34C7"/>
    <w:rsid w:val="006C3538"/>
    <w:rsid w:val="006C5852"/>
    <w:rsid w:val="006C5937"/>
    <w:rsid w:val="006C7168"/>
    <w:rsid w:val="006D104A"/>
    <w:rsid w:val="006D1B4A"/>
    <w:rsid w:val="006D2FE0"/>
    <w:rsid w:val="006D3CFD"/>
    <w:rsid w:val="006D5247"/>
    <w:rsid w:val="006D66AE"/>
    <w:rsid w:val="006D75D2"/>
    <w:rsid w:val="006E09FC"/>
    <w:rsid w:val="006E1168"/>
    <w:rsid w:val="006E2DC5"/>
    <w:rsid w:val="006E34D0"/>
    <w:rsid w:val="006E364E"/>
    <w:rsid w:val="006E3972"/>
    <w:rsid w:val="006E3BD2"/>
    <w:rsid w:val="006E42C4"/>
    <w:rsid w:val="006E4821"/>
    <w:rsid w:val="006E49C2"/>
    <w:rsid w:val="006E60B9"/>
    <w:rsid w:val="006E719C"/>
    <w:rsid w:val="006F174B"/>
    <w:rsid w:val="006F177C"/>
    <w:rsid w:val="006F21BC"/>
    <w:rsid w:val="006F2B93"/>
    <w:rsid w:val="006F3B95"/>
    <w:rsid w:val="006F45FB"/>
    <w:rsid w:val="006F489D"/>
    <w:rsid w:val="006F4BB5"/>
    <w:rsid w:val="006F5227"/>
    <w:rsid w:val="006F5BC7"/>
    <w:rsid w:val="006F67DE"/>
    <w:rsid w:val="006F7588"/>
    <w:rsid w:val="00700D7B"/>
    <w:rsid w:val="00700F19"/>
    <w:rsid w:val="00701FFB"/>
    <w:rsid w:val="00702AA4"/>
    <w:rsid w:val="00703364"/>
    <w:rsid w:val="00703E86"/>
    <w:rsid w:val="00704A12"/>
    <w:rsid w:val="00704B7D"/>
    <w:rsid w:val="00705133"/>
    <w:rsid w:val="0070659A"/>
    <w:rsid w:val="007106F7"/>
    <w:rsid w:val="007108F1"/>
    <w:rsid w:val="00711B1A"/>
    <w:rsid w:val="00711D16"/>
    <w:rsid w:val="00712BA5"/>
    <w:rsid w:val="00713588"/>
    <w:rsid w:val="00714D1E"/>
    <w:rsid w:val="007156C8"/>
    <w:rsid w:val="00715950"/>
    <w:rsid w:val="00715953"/>
    <w:rsid w:val="0071676F"/>
    <w:rsid w:val="00716877"/>
    <w:rsid w:val="007175E3"/>
    <w:rsid w:val="00720D01"/>
    <w:rsid w:val="00721528"/>
    <w:rsid w:val="00723D35"/>
    <w:rsid w:val="0072478E"/>
    <w:rsid w:val="00725472"/>
    <w:rsid w:val="00725622"/>
    <w:rsid w:val="00725648"/>
    <w:rsid w:val="007257D6"/>
    <w:rsid w:val="00725E95"/>
    <w:rsid w:val="00726232"/>
    <w:rsid w:val="00726BD6"/>
    <w:rsid w:val="00731C95"/>
    <w:rsid w:val="0073224C"/>
    <w:rsid w:val="00732548"/>
    <w:rsid w:val="007325D3"/>
    <w:rsid w:val="00735D7D"/>
    <w:rsid w:val="00736137"/>
    <w:rsid w:val="00737878"/>
    <w:rsid w:val="00740A14"/>
    <w:rsid w:val="00741F2B"/>
    <w:rsid w:val="00742F53"/>
    <w:rsid w:val="007437DD"/>
    <w:rsid w:val="00743E29"/>
    <w:rsid w:val="00745313"/>
    <w:rsid w:val="00745B9F"/>
    <w:rsid w:val="00747297"/>
    <w:rsid w:val="00747988"/>
    <w:rsid w:val="00750D11"/>
    <w:rsid w:val="00754063"/>
    <w:rsid w:val="007540CC"/>
    <w:rsid w:val="00755085"/>
    <w:rsid w:val="0075611A"/>
    <w:rsid w:val="0075622C"/>
    <w:rsid w:val="00756C92"/>
    <w:rsid w:val="00757979"/>
    <w:rsid w:val="00760C64"/>
    <w:rsid w:val="00762EF5"/>
    <w:rsid w:val="0076452F"/>
    <w:rsid w:val="00764DC0"/>
    <w:rsid w:val="00764F0C"/>
    <w:rsid w:val="00766BF2"/>
    <w:rsid w:val="0077074A"/>
    <w:rsid w:val="00770D06"/>
    <w:rsid w:val="00771232"/>
    <w:rsid w:val="0077445A"/>
    <w:rsid w:val="0077651B"/>
    <w:rsid w:val="00776EF4"/>
    <w:rsid w:val="00777970"/>
    <w:rsid w:val="00780F5A"/>
    <w:rsid w:val="00782323"/>
    <w:rsid w:val="00782852"/>
    <w:rsid w:val="007830DC"/>
    <w:rsid w:val="00783DCC"/>
    <w:rsid w:val="00786F60"/>
    <w:rsid w:val="00787338"/>
    <w:rsid w:val="0078799A"/>
    <w:rsid w:val="00790401"/>
    <w:rsid w:val="00792559"/>
    <w:rsid w:val="00794405"/>
    <w:rsid w:val="007949D6"/>
    <w:rsid w:val="007957AE"/>
    <w:rsid w:val="00796EF1"/>
    <w:rsid w:val="007A130C"/>
    <w:rsid w:val="007A18D0"/>
    <w:rsid w:val="007A1D0A"/>
    <w:rsid w:val="007A2BAE"/>
    <w:rsid w:val="007A4322"/>
    <w:rsid w:val="007A4864"/>
    <w:rsid w:val="007A5F5E"/>
    <w:rsid w:val="007A6BA3"/>
    <w:rsid w:val="007B03CB"/>
    <w:rsid w:val="007B1602"/>
    <w:rsid w:val="007B293E"/>
    <w:rsid w:val="007B2E7A"/>
    <w:rsid w:val="007B44ED"/>
    <w:rsid w:val="007B524F"/>
    <w:rsid w:val="007B74AA"/>
    <w:rsid w:val="007C095F"/>
    <w:rsid w:val="007C0FF1"/>
    <w:rsid w:val="007C1774"/>
    <w:rsid w:val="007C1CE5"/>
    <w:rsid w:val="007C21C6"/>
    <w:rsid w:val="007C3633"/>
    <w:rsid w:val="007C487F"/>
    <w:rsid w:val="007C5CF2"/>
    <w:rsid w:val="007C6BE4"/>
    <w:rsid w:val="007D0367"/>
    <w:rsid w:val="007D095B"/>
    <w:rsid w:val="007D0ABE"/>
    <w:rsid w:val="007D1108"/>
    <w:rsid w:val="007D296B"/>
    <w:rsid w:val="007D3C62"/>
    <w:rsid w:val="007D4A1A"/>
    <w:rsid w:val="007D5402"/>
    <w:rsid w:val="007D5643"/>
    <w:rsid w:val="007D56E4"/>
    <w:rsid w:val="007D6D66"/>
    <w:rsid w:val="007D7C8A"/>
    <w:rsid w:val="007E0926"/>
    <w:rsid w:val="007E0AF1"/>
    <w:rsid w:val="007E1304"/>
    <w:rsid w:val="007E1850"/>
    <w:rsid w:val="007E27DE"/>
    <w:rsid w:val="007E38B9"/>
    <w:rsid w:val="007E4E49"/>
    <w:rsid w:val="007E52FF"/>
    <w:rsid w:val="007E54B0"/>
    <w:rsid w:val="007E5A44"/>
    <w:rsid w:val="007E683D"/>
    <w:rsid w:val="007E75CB"/>
    <w:rsid w:val="007F09DD"/>
    <w:rsid w:val="007F1258"/>
    <w:rsid w:val="007F2F2A"/>
    <w:rsid w:val="007F3976"/>
    <w:rsid w:val="007F39EB"/>
    <w:rsid w:val="007F62DB"/>
    <w:rsid w:val="007F662A"/>
    <w:rsid w:val="007F73BA"/>
    <w:rsid w:val="0080018B"/>
    <w:rsid w:val="00800CF3"/>
    <w:rsid w:val="00801C25"/>
    <w:rsid w:val="008035A4"/>
    <w:rsid w:val="00803758"/>
    <w:rsid w:val="00803CBA"/>
    <w:rsid w:val="008043CE"/>
    <w:rsid w:val="00804C84"/>
    <w:rsid w:val="00804F82"/>
    <w:rsid w:val="00807807"/>
    <w:rsid w:val="008114A7"/>
    <w:rsid w:val="00811BE6"/>
    <w:rsid w:val="00812DB8"/>
    <w:rsid w:val="00812FAB"/>
    <w:rsid w:val="00815429"/>
    <w:rsid w:val="0081561C"/>
    <w:rsid w:val="008159F5"/>
    <w:rsid w:val="0081777E"/>
    <w:rsid w:val="008177FB"/>
    <w:rsid w:val="00817DA9"/>
    <w:rsid w:val="0082075B"/>
    <w:rsid w:val="00820D62"/>
    <w:rsid w:val="008212FB"/>
    <w:rsid w:val="00821601"/>
    <w:rsid w:val="00823457"/>
    <w:rsid w:val="0082507C"/>
    <w:rsid w:val="00825096"/>
    <w:rsid w:val="0082529D"/>
    <w:rsid w:val="00825873"/>
    <w:rsid w:val="00825BB7"/>
    <w:rsid w:val="00826633"/>
    <w:rsid w:val="008268CE"/>
    <w:rsid w:val="008272A1"/>
    <w:rsid w:val="00827BCD"/>
    <w:rsid w:val="008326F2"/>
    <w:rsid w:val="00832BED"/>
    <w:rsid w:val="008338D2"/>
    <w:rsid w:val="00833A8C"/>
    <w:rsid w:val="00835E0F"/>
    <w:rsid w:val="00836327"/>
    <w:rsid w:val="008367C6"/>
    <w:rsid w:val="0084189C"/>
    <w:rsid w:val="00842971"/>
    <w:rsid w:val="00842B21"/>
    <w:rsid w:val="00842CD7"/>
    <w:rsid w:val="00844195"/>
    <w:rsid w:val="00844F75"/>
    <w:rsid w:val="00845E8B"/>
    <w:rsid w:val="0085051C"/>
    <w:rsid w:val="008517EF"/>
    <w:rsid w:val="00852D70"/>
    <w:rsid w:val="008533F1"/>
    <w:rsid w:val="00853C40"/>
    <w:rsid w:val="00854184"/>
    <w:rsid w:val="0085427B"/>
    <w:rsid w:val="00855D65"/>
    <w:rsid w:val="0085654E"/>
    <w:rsid w:val="008571D8"/>
    <w:rsid w:val="00863313"/>
    <w:rsid w:val="00863986"/>
    <w:rsid w:val="00863CCB"/>
    <w:rsid w:val="00863E05"/>
    <w:rsid w:val="0086403E"/>
    <w:rsid w:val="00864386"/>
    <w:rsid w:val="008647E4"/>
    <w:rsid w:val="00865A24"/>
    <w:rsid w:val="00866F1F"/>
    <w:rsid w:val="008701ED"/>
    <w:rsid w:val="00871983"/>
    <w:rsid w:val="0087270F"/>
    <w:rsid w:val="00873301"/>
    <w:rsid w:val="00873879"/>
    <w:rsid w:val="00873AC9"/>
    <w:rsid w:val="00874AF1"/>
    <w:rsid w:val="008752DC"/>
    <w:rsid w:val="008779B1"/>
    <w:rsid w:val="0088315F"/>
    <w:rsid w:val="008831AE"/>
    <w:rsid w:val="00884F70"/>
    <w:rsid w:val="00885457"/>
    <w:rsid w:val="00886152"/>
    <w:rsid w:val="00886683"/>
    <w:rsid w:val="00886D06"/>
    <w:rsid w:val="0088702F"/>
    <w:rsid w:val="00890FC7"/>
    <w:rsid w:val="00891178"/>
    <w:rsid w:val="008915E7"/>
    <w:rsid w:val="00893B8A"/>
    <w:rsid w:val="00895753"/>
    <w:rsid w:val="00895CDE"/>
    <w:rsid w:val="008961FC"/>
    <w:rsid w:val="00896B58"/>
    <w:rsid w:val="00897FC2"/>
    <w:rsid w:val="008A02FB"/>
    <w:rsid w:val="008A0506"/>
    <w:rsid w:val="008A16FC"/>
    <w:rsid w:val="008A1849"/>
    <w:rsid w:val="008A21F2"/>
    <w:rsid w:val="008A55F5"/>
    <w:rsid w:val="008A5DDE"/>
    <w:rsid w:val="008A7F4B"/>
    <w:rsid w:val="008B03DF"/>
    <w:rsid w:val="008B1164"/>
    <w:rsid w:val="008B33C3"/>
    <w:rsid w:val="008B3CED"/>
    <w:rsid w:val="008B4B9A"/>
    <w:rsid w:val="008B4C13"/>
    <w:rsid w:val="008B56C3"/>
    <w:rsid w:val="008B57AA"/>
    <w:rsid w:val="008B5ABB"/>
    <w:rsid w:val="008B687A"/>
    <w:rsid w:val="008B6B02"/>
    <w:rsid w:val="008B76F0"/>
    <w:rsid w:val="008B7C63"/>
    <w:rsid w:val="008C0D71"/>
    <w:rsid w:val="008C0E10"/>
    <w:rsid w:val="008C3769"/>
    <w:rsid w:val="008C4E01"/>
    <w:rsid w:val="008C528A"/>
    <w:rsid w:val="008D07C5"/>
    <w:rsid w:val="008D35DA"/>
    <w:rsid w:val="008D4E67"/>
    <w:rsid w:val="008D4FF4"/>
    <w:rsid w:val="008D62E7"/>
    <w:rsid w:val="008D7298"/>
    <w:rsid w:val="008D7DEB"/>
    <w:rsid w:val="008E02C2"/>
    <w:rsid w:val="008E031A"/>
    <w:rsid w:val="008E0C1F"/>
    <w:rsid w:val="008E1340"/>
    <w:rsid w:val="008E364C"/>
    <w:rsid w:val="008E47A0"/>
    <w:rsid w:val="008E4979"/>
    <w:rsid w:val="008E5090"/>
    <w:rsid w:val="008E5CC3"/>
    <w:rsid w:val="008E5FEC"/>
    <w:rsid w:val="008E6999"/>
    <w:rsid w:val="008F00E7"/>
    <w:rsid w:val="008F100A"/>
    <w:rsid w:val="008F2286"/>
    <w:rsid w:val="008F2C26"/>
    <w:rsid w:val="008F4B09"/>
    <w:rsid w:val="008F585A"/>
    <w:rsid w:val="008F695C"/>
    <w:rsid w:val="008F6A59"/>
    <w:rsid w:val="0090053F"/>
    <w:rsid w:val="0090090F"/>
    <w:rsid w:val="00901336"/>
    <w:rsid w:val="00902FD5"/>
    <w:rsid w:val="009040BB"/>
    <w:rsid w:val="009065EB"/>
    <w:rsid w:val="00907615"/>
    <w:rsid w:val="00911BCE"/>
    <w:rsid w:val="009124CF"/>
    <w:rsid w:val="0091310F"/>
    <w:rsid w:val="00914F18"/>
    <w:rsid w:val="00915135"/>
    <w:rsid w:val="0091564E"/>
    <w:rsid w:val="00915D0D"/>
    <w:rsid w:val="00916369"/>
    <w:rsid w:val="0091694B"/>
    <w:rsid w:val="00920E15"/>
    <w:rsid w:val="00920EB9"/>
    <w:rsid w:val="00921DB1"/>
    <w:rsid w:val="0092237B"/>
    <w:rsid w:val="00922564"/>
    <w:rsid w:val="00923552"/>
    <w:rsid w:val="00924706"/>
    <w:rsid w:val="009251F1"/>
    <w:rsid w:val="00926324"/>
    <w:rsid w:val="0093026E"/>
    <w:rsid w:val="00930CB1"/>
    <w:rsid w:val="0093125A"/>
    <w:rsid w:val="00931601"/>
    <w:rsid w:val="00931D51"/>
    <w:rsid w:val="00932F86"/>
    <w:rsid w:val="00934E87"/>
    <w:rsid w:val="00935081"/>
    <w:rsid w:val="00935598"/>
    <w:rsid w:val="00935845"/>
    <w:rsid w:val="009361CB"/>
    <w:rsid w:val="009365E5"/>
    <w:rsid w:val="00937F0A"/>
    <w:rsid w:val="0094406D"/>
    <w:rsid w:val="009449CC"/>
    <w:rsid w:val="0094653D"/>
    <w:rsid w:val="0094730E"/>
    <w:rsid w:val="00947D76"/>
    <w:rsid w:val="00950783"/>
    <w:rsid w:val="00950F80"/>
    <w:rsid w:val="00951431"/>
    <w:rsid w:val="00951829"/>
    <w:rsid w:val="009528E4"/>
    <w:rsid w:val="00953CA0"/>
    <w:rsid w:val="00953D05"/>
    <w:rsid w:val="00955011"/>
    <w:rsid w:val="009553C4"/>
    <w:rsid w:val="00955FCB"/>
    <w:rsid w:val="0095703C"/>
    <w:rsid w:val="009603C5"/>
    <w:rsid w:val="0096190C"/>
    <w:rsid w:val="00962C9A"/>
    <w:rsid w:val="00962ED4"/>
    <w:rsid w:val="00963336"/>
    <w:rsid w:val="00963AE7"/>
    <w:rsid w:val="00963E27"/>
    <w:rsid w:val="00965318"/>
    <w:rsid w:val="00965431"/>
    <w:rsid w:val="009660B3"/>
    <w:rsid w:val="00966175"/>
    <w:rsid w:val="00967EA9"/>
    <w:rsid w:val="00970171"/>
    <w:rsid w:val="009708B1"/>
    <w:rsid w:val="009709A2"/>
    <w:rsid w:val="00971586"/>
    <w:rsid w:val="00971903"/>
    <w:rsid w:val="0097196A"/>
    <w:rsid w:val="009735CB"/>
    <w:rsid w:val="00974160"/>
    <w:rsid w:val="009746AC"/>
    <w:rsid w:val="00974823"/>
    <w:rsid w:val="00974A0C"/>
    <w:rsid w:val="00976037"/>
    <w:rsid w:val="0097634A"/>
    <w:rsid w:val="00976591"/>
    <w:rsid w:val="00976632"/>
    <w:rsid w:val="009771ED"/>
    <w:rsid w:val="00977AFD"/>
    <w:rsid w:val="00977D48"/>
    <w:rsid w:val="00980D90"/>
    <w:rsid w:val="00981D27"/>
    <w:rsid w:val="00982CE9"/>
    <w:rsid w:val="009834B4"/>
    <w:rsid w:val="00983F02"/>
    <w:rsid w:val="009843D2"/>
    <w:rsid w:val="00984A2F"/>
    <w:rsid w:val="00984C72"/>
    <w:rsid w:val="00987568"/>
    <w:rsid w:val="009877E3"/>
    <w:rsid w:val="00991480"/>
    <w:rsid w:val="0099180B"/>
    <w:rsid w:val="009921E5"/>
    <w:rsid w:val="00992B3C"/>
    <w:rsid w:val="009933E0"/>
    <w:rsid w:val="00993F0B"/>
    <w:rsid w:val="00995908"/>
    <w:rsid w:val="00996593"/>
    <w:rsid w:val="00997339"/>
    <w:rsid w:val="00997C29"/>
    <w:rsid w:val="009A20DF"/>
    <w:rsid w:val="009A3787"/>
    <w:rsid w:val="009A536D"/>
    <w:rsid w:val="009A6600"/>
    <w:rsid w:val="009B0138"/>
    <w:rsid w:val="009B264D"/>
    <w:rsid w:val="009B40AC"/>
    <w:rsid w:val="009B416C"/>
    <w:rsid w:val="009B4813"/>
    <w:rsid w:val="009B4A7F"/>
    <w:rsid w:val="009B4F87"/>
    <w:rsid w:val="009B559D"/>
    <w:rsid w:val="009B585A"/>
    <w:rsid w:val="009B58D3"/>
    <w:rsid w:val="009B5D12"/>
    <w:rsid w:val="009B657F"/>
    <w:rsid w:val="009B79C9"/>
    <w:rsid w:val="009C0C7B"/>
    <w:rsid w:val="009C20E9"/>
    <w:rsid w:val="009C23F5"/>
    <w:rsid w:val="009C2A3E"/>
    <w:rsid w:val="009C2C08"/>
    <w:rsid w:val="009C3048"/>
    <w:rsid w:val="009C3606"/>
    <w:rsid w:val="009C50C3"/>
    <w:rsid w:val="009C56EC"/>
    <w:rsid w:val="009C58DE"/>
    <w:rsid w:val="009C5E08"/>
    <w:rsid w:val="009C6351"/>
    <w:rsid w:val="009C640B"/>
    <w:rsid w:val="009C75FB"/>
    <w:rsid w:val="009C7C07"/>
    <w:rsid w:val="009C7CCD"/>
    <w:rsid w:val="009D0351"/>
    <w:rsid w:val="009D2A72"/>
    <w:rsid w:val="009D2BAD"/>
    <w:rsid w:val="009D321E"/>
    <w:rsid w:val="009D43BF"/>
    <w:rsid w:val="009D4713"/>
    <w:rsid w:val="009D4A95"/>
    <w:rsid w:val="009D51CC"/>
    <w:rsid w:val="009D6F21"/>
    <w:rsid w:val="009D76C1"/>
    <w:rsid w:val="009D7E8E"/>
    <w:rsid w:val="009E1415"/>
    <w:rsid w:val="009E1C39"/>
    <w:rsid w:val="009E1EFC"/>
    <w:rsid w:val="009E242D"/>
    <w:rsid w:val="009E301E"/>
    <w:rsid w:val="009E34A7"/>
    <w:rsid w:val="009E3F61"/>
    <w:rsid w:val="009E4F57"/>
    <w:rsid w:val="009E52E4"/>
    <w:rsid w:val="009E5DFC"/>
    <w:rsid w:val="009E65FB"/>
    <w:rsid w:val="009E6EB3"/>
    <w:rsid w:val="009E7D4D"/>
    <w:rsid w:val="009F08A4"/>
    <w:rsid w:val="009F1FFD"/>
    <w:rsid w:val="009F274E"/>
    <w:rsid w:val="009F3296"/>
    <w:rsid w:val="009F58F9"/>
    <w:rsid w:val="00A00137"/>
    <w:rsid w:val="00A00315"/>
    <w:rsid w:val="00A02C05"/>
    <w:rsid w:val="00A04747"/>
    <w:rsid w:val="00A06DFF"/>
    <w:rsid w:val="00A10020"/>
    <w:rsid w:val="00A1035B"/>
    <w:rsid w:val="00A118F9"/>
    <w:rsid w:val="00A11FC1"/>
    <w:rsid w:val="00A14A9E"/>
    <w:rsid w:val="00A15F37"/>
    <w:rsid w:val="00A165BB"/>
    <w:rsid w:val="00A174FE"/>
    <w:rsid w:val="00A17C02"/>
    <w:rsid w:val="00A22138"/>
    <w:rsid w:val="00A2243E"/>
    <w:rsid w:val="00A225D6"/>
    <w:rsid w:val="00A2289D"/>
    <w:rsid w:val="00A22DB8"/>
    <w:rsid w:val="00A237A7"/>
    <w:rsid w:val="00A247A4"/>
    <w:rsid w:val="00A24B96"/>
    <w:rsid w:val="00A2629C"/>
    <w:rsid w:val="00A26DCA"/>
    <w:rsid w:val="00A27F00"/>
    <w:rsid w:val="00A30B1F"/>
    <w:rsid w:val="00A31E6B"/>
    <w:rsid w:val="00A33DB9"/>
    <w:rsid w:val="00A33FBA"/>
    <w:rsid w:val="00A34E27"/>
    <w:rsid w:val="00A36C19"/>
    <w:rsid w:val="00A370E3"/>
    <w:rsid w:val="00A37524"/>
    <w:rsid w:val="00A37537"/>
    <w:rsid w:val="00A42701"/>
    <w:rsid w:val="00A43973"/>
    <w:rsid w:val="00A43E1F"/>
    <w:rsid w:val="00A440EA"/>
    <w:rsid w:val="00A442C5"/>
    <w:rsid w:val="00A45049"/>
    <w:rsid w:val="00A45693"/>
    <w:rsid w:val="00A45A4F"/>
    <w:rsid w:val="00A45B9E"/>
    <w:rsid w:val="00A46BE8"/>
    <w:rsid w:val="00A46E32"/>
    <w:rsid w:val="00A4795B"/>
    <w:rsid w:val="00A47AFD"/>
    <w:rsid w:val="00A47CFE"/>
    <w:rsid w:val="00A47F06"/>
    <w:rsid w:val="00A51848"/>
    <w:rsid w:val="00A51A4A"/>
    <w:rsid w:val="00A51C1C"/>
    <w:rsid w:val="00A52296"/>
    <w:rsid w:val="00A5354D"/>
    <w:rsid w:val="00A53BF0"/>
    <w:rsid w:val="00A5497B"/>
    <w:rsid w:val="00A567A7"/>
    <w:rsid w:val="00A56E53"/>
    <w:rsid w:val="00A572FE"/>
    <w:rsid w:val="00A5739D"/>
    <w:rsid w:val="00A60603"/>
    <w:rsid w:val="00A60E07"/>
    <w:rsid w:val="00A61371"/>
    <w:rsid w:val="00A61AC2"/>
    <w:rsid w:val="00A61CE3"/>
    <w:rsid w:val="00A625C9"/>
    <w:rsid w:val="00A63020"/>
    <w:rsid w:val="00A63680"/>
    <w:rsid w:val="00A63B60"/>
    <w:rsid w:val="00A63F7B"/>
    <w:rsid w:val="00A644B0"/>
    <w:rsid w:val="00A645BE"/>
    <w:rsid w:val="00A648AC"/>
    <w:rsid w:val="00A64E40"/>
    <w:rsid w:val="00A65E79"/>
    <w:rsid w:val="00A6634A"/>
    <w:rsid w:val="00A66EFF"/>
    <w:rsid w:val="00A6709B"/>
    <w:rsid w:val="00A674C8"/>
    <w:rsid w:val="00A67532"/>
    <w:rsid w:val="00A714BE"/>
    <w:rsid w:val="00A71D19"/>
    <w:rsid w:val="00A73391"/>
    <w:rsid w:val="00A73CF5"/>
    <w:rsid w:val="00A74294"/>
    <w:rsid w:val="00A74F8D"/>
    <w:rsid w:val="00A753F8"/>
    <w:rsid w:val="00A75E0F"/>
    <w:rsid w:val="00A75E23"/>
    <w:rsid w:val="00A805D2"/>
    <w:rsid w:val="00A81403"/>
    <w:rsid w:val="00A83430"/>
    <w:rsid w:val="00A837EA"/>
    <w:rsid w:val="00A83983"/>
    <w:rsid w:val="00A83BBB"/>
    <w:rsid w:val="00A85204"/>
    <w:rsid w:val="00A866B8"/>
    <w:rsid w:val="00A87154"/>
    <w:rsid w:val="00A8747E"/>
    <w:rsid w:val="00A87651"/>
    <w:rsid w:val="00A91224"/>
    <w:rsid w:val="00A914EB"/>
    <w:rsid w:val="00A9192E"/>
    <w:rsid w:val="00A928C1"/>
    <w:rsid w:val="00A93FD9"/>
    <w:rsid w:val="00A94314"/>
    <w:rsid w:val="00A9473F"/>
    <w:rsid w:val="00A948A7"/>
    <w:rsid w:val="00A94A87"/>
    <w:rsid w:val="00A951C1"/>
    <w:rsid w:val="00AA2362"/>
    <w:rsid w:val="00AA42A9"/>
    <w:rsid w:val="00AA4404"/>
    <w:rsid w:val="00AA5E1E"/>
    <w:rsid w:val="00AA6F5D"/>
    <w:rsid w:val="00AA7FF0"/>
    <w:rsid w:val="00AB0F1B"/>
    <w:rsid w:val="00AB0FFB"/>
    <w:rsid w:val="00AB192C"/>
    <w:rsid w:val="00AB2B10"/>
    <w:rsid w:val="00AB2B36"/>
    <w:rsid w:val="00AB2E1E"/>
    <w:rsid w:val="00AB3DC0"/>
    <w:rsid w:val="00AB3E93"/>
    <w:rsid w:val="00AB44E6"/>
    <w:rsid w:val="00AB4848"/>
    <w:rsid w:val="00AB48B3"/>
    <w:rsid w:val="00AB6D17"/>
    <w:rsid w:val="00AB7824"/>
    <w:rsid w:val="00AC057E"/>
    <w:rsid w:val="00AC084D"/>
    <w:rsid w:val="00AC0950"/>
    <w:rsid w:val="00AC1CE8"/>
    <w:rsid w:val="00AC2507"/>
    <w:rsid w:val="00AC3769"/>
    <w:rsid w:val="00AD0169"/>
    <w:rsid w:val="00AD1E9C"/>
    <w:rsid w:val="00AD2720"/>
    <w:rsid w:val="00AD2C55"/>
    <w:rsid w:val="00AD4E29"/>
    <w:rsid w:val="00AD6926"/>
    <w:rsid w:val="00AD6E49"/>
    <w:rsid w:val="00AD795C"/>
    <w:rsid w:val="00AD7A72"/>
    <w:rsid w:val="00AE111E"/>
    <w:rsid w:val="00AE13E5"/>
    <w:rsid w:val="00AE1BAF"/>
    <w:rsid w:val="00AE2CA4"/>
    <w:rsid w:val="00AE3486"/>
    <w:rsid w:val="00AE38E9"/>
    <w:rsid w:val="00AE4815"/>
    <w:rsid w:val="00AE49B6"/>
    <w:rsid w:val="00AE4BCA"/>
    <w:rsid w:val="00AE56CE"/>
    <w:rsid w:val="00AE7219"/>
    <w:rsid w:val="00AF0C8F"/>
    <w:rsid w:val="00AF17BA"/>
    <w:rsid w:val="00AF1F5B"/>
    <w:rsid w:val="00AF285B"/>
    <w:rsid w:val="00AF2ED2"/>
    <w:rsid w:val="00AF4D8E"/>
    <w:rsid w:val="00AF5247"/>
    <w:rsid w:val="00AF6C5F"/>
    <w:rsid w:val="00B001DD"/>
    <w:rsid w:val="00B00B45"/>
    <w:rsid w:val="00B00C49"/>
    <w:rsid w:val="00B0183F"/>
    <w:rsid w:val="00B02007"/>
    <w:rsid w:val="00B03964"/>
    <w:rsid w:val="00B03BA1"/>
    <w:rsid w:val="00B03E31"/>
    <w:rsid w:val="00B04495"/>
    <w:rsid w:val="00B045E1"/>
    <w:rsid w:val="00B04DFC"/>
    <w:rsid w:val="00B05BA2"/>
    <w:rsid w:val="00B06295"/>
    <w:rsid w:val="00B062EC"/>
    <w:rsid w:val="00B06A9D"/>
    <w:rsid w:val="00B06E17"/>
    <w:rsid w:val="00B0716B"/>
    <w:rsid w:val="00B07BF1"/>
    <w:rsid w:val="00B10A15"/>
    <w:rsid w:val="00B132FA"/>
    <w:rsid w:val="00B13770"/>
    <w:rsid w:val="00B13BFB"/>
    <w:rsid w:val="00B13F65"/>
    <w:rsid w:val="00B15CE0"/>
    <w:rsid w:val="00B200A7"/>
    <w:rsid w:val="00B20728"/>
    <w:rsid w:val="00B20B08"/>
    <w:rsid w:val="00B20B47"/>
    <w:rsid w:val="00B21329"/>
    <w:rsid w:val="00B21346"/>
    <w:rsid w:val="00B21F69"/>
    <w:rsid w:val="00B22120"/>
    <w:rsid w:val="00B22B74"/>
    <w:rsid w:val="00B2316A"/>
    <w:rsid w:val="00B231B3"/>
    <w:rsid w:val="00B238E4"/>
    <w:rsid w:val="00B25F08"/>
    <w:rsid w:val="00B261B0"/>
    <w:rsid w:val="00B30370"/>
    <w:rsid w:val="00B3162F"/>
    <w:rsid w:val="00B32DA5"/>
    <w:rsid w:val="00B341CB"/>
    <w:rsid w:val="00B342FC"/>
    <w:rsid w:val="00B34AD6"/>
    <w:rsid w:val="00B34F61"/>
    <w:rsid w:val="00B3546C"/>
    <w:rsid w:val="00B369F7"/>
    <w:rsid w:val="00B3744E"/>
    <w:rsid w:val="00B403A1"/>
    <w:rsid w:val="00B4058D"/>
    <w:rsid w:val="00B417EE"/>
    <w:rsid w:val="00B4254F"/>
    <w:rsid w:val="00B4345D"/>
    <w:rsid w:val="00B44938"/>
    <w:rsid w:val="00B46C1D"/>
    <w:rsid w:val="00B46DCF"/>
    <w:rsid w:val="00B50C8B"/>
    <w:rsid w:val="00B513CC"/>
    <w:rsid w:val="00B51AC5"/>
    <w:rsid w:val="00B51D86"/>
    <w:rsid w:val="00B541FC"/>
    <w:rsid w:val="00B54CFF"/>
    <w:rsid w:val="00B574EB"/>
    <w:rsid w:val="00B57913"/>
    <w:rsid w:val="00B57F21"/>
    <w:rsid w:val="00B616C9"/>
    <w:rsid w:val="00B61E4B"/>
    <w:rsid w:val="00B62A8A"/>
    <w:rsid w:val="00B6466D"/>
    <w:rsid w:val="00B64D41"/>
    <w:rsid w:val="00B655C2"/>
    <w:rsid w:val="00B65F88"/>
    <w:rsid w:val="00B66CC0"/>
    <w:rsid w:val="00B67614"/>
    <w:rsid w:val="00B71533"/>
    <w:rsid w:val="00B740A6"/>
    <w:rsid w:val="00B749D1"/>
    <w:rsid w:val="00B753E4"/>
    <w:rsid w:val="00B75742"/>
    <w:rsid w:val="00B7716F"/>
    <w:rsid w:val="00B77C00"/>
    <w:rsid w:val="00B77E44"/>
    <w:rsid w:val="00B8076F"/>
    <w:rsid w:val="00B81611"/>
    <w:rsid w:val="00B833F5"/>
    <w:rsid w:val="00B8436E"/>
    <w:rsid w:val="00B845E1"/>
    <w:rsid w:val="00B859ED"/>
    <w:rsid w:val="00B85C0A"/>
    <w:rsid w:val="00B862DD"/>
    <w:rsid w:val="00B86869"/>
    <w:rsid w:val="00B87487"/>
    <w:rsid w:val="00B934ED"/>
    <w:rsid w:val="00B93F09"/>
    <w:rsid w:val="00B964BD"/>
    <w:rsid w:val="00B967DA"/>
    <w:rsid w:val="00B96EFA"/>
    <w:rsid w:val="00B97193"/>
    <w:rsid w:val="00BA1001"/>
    <w:rsid w:val="00BA3F0D"/>
    <w:rsid w:val="00BA6594"/>
    <w:rsid w:val="00BA7D37"/>
    <w:rsid w:val="00BB25A8"/>
    <w:rsid w:val="00BB39CB"/>
    <w:rsid w:val="00BB4157"/>
    <w:rsid w:val="00BB4441"/>
    <w:rsid w:val="00BB4B51"/>
    <w:rsid w:val="00BB7850"/>
    <w:rsid w:val="00BC031D"/>
    <w:rsid w:val="00BC1145"/>
    <w:rsid w:val="00BC12B8"/>
    <w:rsid w:val="00BC2029"/>
    <w:rsid w:val="00BC22E5"/>
    <w:rsid w:val="00BC2736"/>
    <w:rsid w:val="00BC28F4"/>
    <w:rsid w:val="00BC36D9"/>
    <w:rsid w:val="00BC38F7"/>
    <w:rsid w:val="00BC7224"/>
    <w:rsid w:val="00BD13C6"/>
    <w:rsid w:val="00BD1CA2"/>
    <w:rsid w:val="00BD1E7B"/>
    <w:rsid w:val="00BD208C"/>
    <w:rsid w:val="00BD21CF"/>
    <w:rsid w:val="00BD2736"/>
    <w:rsid w:val="00BD4501"/>
    <w:rsid w:val="00BD4D1C"/>
    <w:rsid w:val="00BD55B3"/>
    <w:rsid w:val="00BE0E14"/>
    <w:rsid w:val="00BE1622"/>
    <w:rsid w:val="00BE1716"/>
    <w:rsid w:val="00BE180B"/>
    <w:rsid w:val="00BE2C93"/>
    <w:rsid w:val="00BE3B76"/>
    <w:rsid w:val="00BE4685"/>
    <w:rsid w:val="00BE5C9A"/>
    <w:rsid w:val="00BE60CA"/>
    <w:rsid w:val="00BE64F4"/>
    <w:rsid w:val="00BE6531"/>
    <w:rsid w:val="00BE65EC"/>
    <w:rsid w:val="00BE74B9"/>
    <w:rsid w:val="00BE7FF0"/>
    <w:rsid w:val="00BF1E42"/>
    <w:rsid w:val="00BF460A"/>
    <w:rsid w:val="00BF49EC"/>
    <w:rsid w:val="00BF6344"/>
    <w:rsid w:val="00BF6346"/>
    <w:rsid w:val="00BF68D7"/>
    <w:rsid w:val="00C000D6"/>
    <w:rsid w:val="00C00C7B"/>
    <w:rsid w:val="00C013D2"/>
    <w:rsid w:val="00C01CCB"/>
    <w:rsid w:val="00C01CFA"/>
    <w:rsid w:val="00C01D40"/>
    <w:rsid w:val="00C027BA"/>
    <w:rsid w:val="00C02AA3"/>
    <w:rsid w:val="00C041A8"/>
    <w:rsid w:val="00C04614"/>
    <w:rsid w:val="00C049F2"/>
    <w:rsid w:val="00C05A4D"/>
    <w:rsid w:val="00C06492"/>
    <w:rsid w:val="00C0654D"/>
    <w:rsid w:val="00C06FD2"/>
    <w:rsid w:val="00C102A6"/>
    <w:rsid w:val="00C115F4"/>
    <w:rsid w:val="00C117A5"/>
    <w:rsid w:val="00C117F4"/>
    <w:rsid w:val="00C1390A"/>
    <w:rsid w:val="00C139AF"/>
    <w:rsid w:val="00C13E99"/>
    <w:rsid w:val="00C1478F"/>
    <w:rsid w:val="00C15075"/>
    <w:rsid w:val="00C150D4"/>
    <w:rsid w:val="00C15124"/>
    <w:rsid w:val="00C15364"/>
    <w:rsid w:val="00C1776F"/>
    <w:rsid w:val="00C2054C"/>
    <w:rsid w:val="00C20552"/>
    <w:rsid w:val="00C2091D"/>
    <w:rsid w:val="00C22E57"/>
    <w:rsid w:val="00C2337F"/>
    <w:rsid w:val="00C23A99"/>
    <w:rsid w:val="00C24273"/>
    <w:rsid w:val="00C25ECE"/>
    <w:rsid w:val="00C26794"/>
    <w:rsid w:val="00C276D3"/>
    <w:rsid w:val="00C3021F"/>
    <w:rsid w:val="00C32FC5"/>
    <w:rsid w:val="00C345AB"/>
    <w:rsid w:val="00C349F6"/>
    <w:rsid w:val="00C34C6B"/>
    <w:rsid w:val="00C363DF"/>
    <w:rsid w:val="00C36548"/>
    <w:rsid w:val="00C37193"/>
    <w:rsid w:val="00C405BD"/>
    <w:rsid w:val="00C41A2A"/>
    <w:rsid w:val="00C421B9"/>
    <w:rsid w:val="00C4259E"/>
    <w:rsid w:val="00C42989"/>
    <w:rsid w:val="00C42E8A"/>
    <w:rsid w:val="00C43E25"/>
    <w:rsid w:val="00C44440"/>
    <w:rsid w:val="00C44F7C"/>
    <w:rsid w:val="00C45BD5"/>
    <w:rsid w:val="00C45F8F"/>
    <w:rsid w:val="00C46323"/>
    <w:rsid w:val="00C50BCE"/>
    <w:rsid w:val="00C51182"/>
    <w:rsid w:val="00C52E9C"/>
    <w:rsid w:val="00C53625"/>
    <w:rsid w:val="00C53BE5"/>
    <w:rsid w:val="00C53EE4"/>
    <w:rsid w:val="00C5472F"/>
    <w:rsid w:val="00C55FFD"/>
    <w:rsid w:val="00C561A2"/>
    <w:rsid w:val="00C56321"/>
    <w:rsid w:val="00C56826"/>
    <w:rsid w:val="00C56E5D"/>
    <w:rsid w:val="00C57268"/>
    <w:rsid w:val="00C577AC"/>
    <w:rsid w:val="00C6041C"/>
    <w:rsid w:val="00C62460"/>
    <w:rsid w:val="00C62777"/>
    <w:rsid w:val="00C636C5"/>
    <w:rsid w:val="00C63D88"/>
    <w:rsid w:val="00C64E89"/>
    <w:rsid w:val="00C676A5"/>
    <w:rsid w:val="00C679B0"/>
    <w:rsid w:val="00C67DD4"/>
    <w:rsid w:val="00C708A3"/>
    <w:rsid w:val="00C711A3"/>
    <w:rsid w:val="00C717F1"/>
    <w:rsid w:val="00C71913"/>
    <w:rsid w:val="00C71927"/>
    <w:rsid w:val="00C71B67"/>
    <w:rsid w:val="00C7214E"/>
    <w:rsid w:val="00C73017"/>
    <w:rsid w:val="00C73DAA"/>
    <w:rsid w:val="00C740D2"/>
    <w:rsid w:val="00C7782F"/>
    <w:rsid w:val="00C77929"/>
    <w:rsid w:val="00C77D67"/>
    <w:rsid w:val="00C815BE"/>
    <w:rsid w:val="00C819C7"/>
    <w:rsid w:val="00C824ED"/>
    <w:rsid w:val="00C8273F"/>
    <w:rsid w:val="00C83154"/>
    <w:rsid w:val="00C84507"/>
    <w:rsid w:val="00C86B67"/>
    <w:rsid w:val="00C876A0"/>
    <w:rsid w:val="00C87D2E"/>
    <w:rsid w:val="00C87DD8"/>
    <w:rsid w:val="00C900CC"/>
    <w:rsid w:val="00C91915"/>
    <w:rsid w:val="00C91E55"/>
    <w:rsid w:val="00C92E88"/>
    <w:rsid w:val="00C94EDA"/>
    <w:rsid w:val="00C950B8"/>
    <w:rsid w:val="00C951CA"/>
    <w:rsid w:val="00C95E1E"/>
    <w:rsid w:val="00C96145"/>
    <w:rsid w:val="00C973F4"/>
    <w:rsid w:val="00CA0B6B"/>
    <w:rsid w:val="00CA1074"/>
    <w:rsid w:val="00CA11F7"/>
    <w:rsid w:val="00CA1242"/>
    <w:rsid w:val="00CA2CDF"/>
    <w:rsid w:val="00CA2F73"/>
    <w:rsid w:val="00CA34F4"/>
    <w:rsid w:val="00CA3AB9"/>
    <w:rsid w:val="00CA3ADB"/>
    <w:rsid w:val="00CA4C30"/>
    <w:rsid w:val="00CA5715"/>
    <w:rsid w:val="00CA5852"/>
    <w:rsid w:val="00CA6F0C"/>
    <w:rsid w:val="00CA735C"/>
    <w:rsid w:val="00CB0621"/>
    <w:rsid w:val="00CB0A93"/>
    <w:rsid w:val="00CB0D63"/>
    <w:rsid w:val="00CB1988"/>
    <w:rsid w:val="00CB1CE2"/>
    <w:rsid w:val="00CB2032"/>
    <w:rsid w:val="00CB297A"/>
    <w:rsid w:val="00CB414F"/>
    <w:rsid w:val="00CB4726"/>
    <w:rsid w:val="00CB48D0"/>
    <w:rsid w:val="00CB4B59"/>
    <w:rsid w:val="00CB539F"/>
    <w:rsid w:val="00CB590D"/>
    <w:rsid w:val="00CC03F7"/>
    <w:rsid w:val="00CC18F7"/>
    <w:rsid w:val="00CC267B"/>
    <w:rsid w:val="00CC29A9"/>
    <w:rsid w:val="00CC2FB9"/>
    <w:rsid w:val="00CC5F8D"/>
    <w:rsid w:val="00CC6516"/>
    <w:rsid w:val="00CC66ED"/>
    <w:rsid w:val="00CC6CAC"/>
    <w:rsid w:val="00CC6D06"/>
    <w:rsid w:val="00CC6DC6"/>
    <w:rsid w:val="00CC7F2F"/>
    <w:rsid w:val="00CD00D5"/>
    <w:rsid w:val="00CD0579"/>
    <w:rsid w:val="00CD0868"/>
    <w:rsid w:val="00CD0951"/>
    <w:rsid w:val="00CD0FC0"/>
    <w:rsid w:val="00CD1B1D"/>
    <w:rsid w:val="00CD1BDB"/>
    <w:rsid w:val="00CD1C2F"/>
    <w:rsid w:val="00CD253A"/>
    <w:rsid w:val="00CD2A08"/>
    <w:rsid w:val="00CD3527"/>
    <w:rsid w:val="00CD6E3C"/>
    <w:rsid w:val="00CD71E7"/>
    <w:rsid w:val="00CD747F"/>
    <w:rsid w:val="00CD7EA3"/>
    <w:rsid w:val="00CD7EED"/>
    <w:rsid w:val="00CE0F46"/>
    <w:rsid w:val="00CE2E5A"/>
    <w:rsid w:val="00CE3B81"/>
    <w:rsid w:val="00CE48AA"/>
    <w:rsid w:val="00CE51B3"/>
    <w:rsid w:val="00CE5732"/>
    <w:rsid w:val="00CE7DE9"/>
    <w:rsid w:val="00CF0060"/>
    <w:rsid w:val="00CF071C"/>
    <w:rsid w:val="00CF2AFB"/>
    <w:rsid w:val="00CF2DEC"/>
    <w:rsid w:val="00CF354E"/>
    <w:rsid w:val="00CF69BC"/>
    <w:rsid w:val="00CF740A"/>
    <w:rsid w:val="00CF7963"/>
    <w:rsid w:val="00D025B4"/>
    <w:rsid w:val="00D0375B"/>
    <w:rsid w:val="00D03F45"/>
    <w:rsid w:val="00D05E10"/>
    <w:rsid w:val="00D05E69"/>
    <w:rsid w:val="00D06E02"/>
    <w:rsid w:val="00D07063"/>
    <w:rsid w:val="00D0711C"/>
    <w:rsid w:val="00D078E0"/>
    <w:rsid w:val="00D07A45"/>
    <w:rsid w:val="00D07B41"/>
    <w:rsid w:val="00D07D34"/>
    <w:rsid w:val="00D07F42"/>
    <w:rsid w:val="00D101DA"/>
    <w:rsid w:val="00D1036C"/>
    <w:rsid w:val="00D11EF8"/>
    <w:rsid w:val="00D1296E"/>
    <w:rsid w:val="00D131B9"/>
    <w:rsid w:val="00D15937"/>
    <w:rsid w:val="00D15F80"/>
    <w:rsid w:val="00D16CDC"/>
    <w:rsid w:val="00D16EE2"/>
    <w:rsid w:val="00D17920"/>
    <w:rsid w:val="00D213AB"/>
    <w:rsid w:val="00D21C5B"/>
    <w:rsid w:val="00D220B4"/>
    <w:rsid w:val="00D249FA"/>
    <w:rsid w:val="00D26C2A"/>
    <w:rsid w:val="00D27464"/>
    <w:rsid w:val="00D301D9"/>
    <w:rsid w:val="00D3022D"/>
    <w:rsid w:val="00D304AF"/>
    <w:rsid w:val="00D30AEE"/>
    <w:rsid w:val="00D3204B"/>
    <w:rsid w:val="00D32202"/>
    <w:rsid w:val="00D329A1"/>
    <w:rsid w:val="00D32A63"/>
    <w:rsid w:val="00D334C1"/>
    <w:rsid w:val="00D336F7"/>
    <w:rsid w:val="00D34F06"/>
    <w:rsid w:val="00D35E20"/>
    <w:rsid w:val="00D3672E"/>
    <w:rsid w:val="00D4017F"/>
    <w:rsid w:val="00D401E3"/>
    <w:rsid w:val="00D44D0F"/>
    <w:rsid w:val="00D44DB0"/>
    <w:rsid w:val="00D463CD"/>
    <w:rsid w:val="00D467E6"/>
    <w:rsid w:val="00D46C03"/>
    <w:rsid w:val="00D4708E"/>
    <w:rsid w:val="00D47A91"/>
    <w:rsid w:val="00D47C2A"/>
    <w:rsid w:val="00D504A9"/>
    <w:rsid w:val="00D505E3"/>
    <w:rsid w:val="00D517DC"/>
    <w:rsid w:val="00D51EFE"/>
    <w:rsid w:val="00D536D9"/>
    <w:rsid w:val="00D53840"/>
    <w:rsid w:val="00D54085"/>
    <w:rsid w:val="00D560D7"/>
    <w:rsid w:val="00D57397"/>
    <w:rsid w:val="00D57A8D"/>
    <w:rsid w:val="00D57F34"/>
    <w:rsid w:val="00D618F7"/>
    <w:rsid w:val="00D61EC1"/>
    <w:rsid w:val="00D62D1E"/>
    <w:rsid w:val="00D62D9C"/>
    <w:rsid w:val="00D63505"/>
    <w:rsid w:val="00D63BAD"/>
    <w:rsid w:val="00D65400"/>
    <w:rsid w:val="00D65787"/>
    <w:rsid w:val="00D667F9"/>
    <w:rsid w:val="00D67A3F"/>
    <w:rsid w:val="00D700A2"/>
    <w:rsid w:val="00D70755"/>
    <w:rsid w:val="00D72D76"/>
    <w:rsid w:val="00D7316C"/>
    <w:rsid w:val="00D741B7"/>
    <w:rsid w:val="00D7476B"/>
    <w:rsid w:val="00D7482E"/>
    <w:rsid w:val="00D749C0"/>
    <w:rsid w:val="00D75096"/>
    <w:rsid w:val="00D76E76"/>
    <w:rsid w:val="00D779B7"/>
    <w:rsid w:val="00D77DA7"/>
    <w:rsid w:val="00D77FCD"/>
    <w:rsid w:val="00D8177A"/>
    <w:rsid w:val="00D836D8"/>
    <w:rsid w:val="00D83A5D"/>
    <w:rsid w:val="00D84E95"/>
    <w:rsid w:val="00D85297"/>
    <w:rsid w:val="00D869A2"/>
    <w:rsid w:val="00D86B61"/>
    <w:rsid w:val="00D901AE"/>
    <w:rsid w:val="00D93730"/>
    <w:rsid w:val="00D94AF7"/>
    <w:rsid w:val="00D94B2B"/>
    <w:rsid w:val="00D95071"/>
    <w:rsid w:val="00D958D7"/>
    <w:rsid w:val="00D95D4C"/>
    <w:rsid w:val="00D96147"/>
    <w:rsid w:val="00DA0393"/>
    <w:rsid w:val="00DA0B66"/>
    <w:rsid w:val="00DA0C60"/>
    <w:rsid w:val="00DA258C"/>
    <w:rsid w:val="00DA34B0"/>
    <w:rsid w:val="00DA38BB"/>
    <w:rsid w:val="00DA5479"/>
    <w:rsid w:val="00DA5CB8"/>
    <w:rsid w:val="00DA5CF9"/>
    <w:rsid w:val="00DA75EA"/>
    <w:rsid w:val="00DB0DDC"/>
    <w:rsid w:val="00DB1C8E"/>
    <w:rsid w:val="00DB27BC"/>
    <w:rsid w:val="00DB334F"/>
    <w:rsid w:val="00DB4819"/>
    <w:rsid w:val="00DB58D0"/>
    <w:rsid w:val="00DB67FC"/>
    <w:rsid w:val="00DB6D1A"/>
    <w:rsid w:val="00DB7A32"/>
    <w:rsid w:val="00DB7F65"/>
    <w:rsid w:val="00DC0A03"/>
    <w:rsid w:val="00DC1436"/>
    <w:rsid w:val="00DC2807"/>
    <w:rsid w:val="00DC3A7F"/>
    <w:rsid w:val="00DC604C"/>
    <w:rsid w:val="00DC62E3"/>
    <w:rsid w:val="00DC6C79"/>
    <w:rsid w:val="00DD09E4"/>
    <w:rsid w:val="00DD0A12"/>
    <w:rsid w:val="00DD1784"/>
    <w:rsid w:val="00DD1C22"/>
    <w:rsid w:val="00DD25A8"/>
    <w:rsid w:val="00DD2783"/>
    <w:rsid w:val="00DD3D01"/>
    <w:rsid w:val="00DD57D7"/>
    <w:rsid w:val="00DD7246"/>
    <w:rsid w:val="00DE1565"/>
    <w:rsid w:val="00DE16D3"/>
    <w:rsid w:val="00DE1AC6"/>
    <w:rsid w:val="00DE21C0"/>
    <w:rsid w:val="00DE40FB"/>
    <w:rsid w:val="00DE4C8A"/>
    <w:rsid w:val="00DE5141"/>
    <w:rsid w:val="00DE55DE"/>
    <w:rsid w:val="00DE5922"/>
    <w:rsid w:val="00DE5950"/>
    <w:rsid w:val="00DE6BA4"/>
    <w:rsid w:val="00DE6CA5"/>
    <w:rsid w:val="00DE7A8C"/>
    <w:rsid w:val="00DF0AED"/>
    <w:rsid w:val="00DF23CE"/>
    <w:rsid w:val="00DF2AE0"/>
    <w:rsid w:val="00DF3384"/>
    <w:rsid w:val="00DF3652"/>
    <w:rsid w:val="00DF38CE"/>
    <w:rsid w:val="00DF3E87"/>
    <w:rsid w:val="00DF465A"/>
    <w:rsid w:val="00DF469D"/>
    <w:rsid w:val="00DF79CC"/>
    <w:rsid w:val="00DF7D87"/>
    <w:rsid w:val="00E024AC"/>
    <w:rsid w:val="00E035C4"/>
    <w:rsid w:val="00E040C2"/>
    <w:rsid w:val="00E072A4"/>
    <w:rsid w:val="00E10AF3"/>
    <w:rsid w:val="00E12156"/>
    <w:rsid w:val="00E12F2E"/>
    <w:rsid w:val="00E13028"/>
    <w:rsid w:val="00E13776"/>
    <w:rsid w:val="00E16626"/>
    <w:rsid w:val="00E17D7C"/>
    <w:rsid w:val="00E201F4"/>
    <w:rsid w:val="00E210AB"/>
    <w:rsid w:val="00E21C3D"/>
    <w:rsid w:val="00E241BA"/>
    <w:rsid w:val="00E24B51"/>
    <w:rsid w:val="00E262FB"/>
    <w:rsid w:val="00E264A1"/>
    <w:rsid w:val="00E264F4"/>
    <w:rsid w:val="00E26D3B"/>
    <w:rsid w:val="00E274C8"/>
    <w:rsid w:val="00E30E01"/>
    <w:rsid w:val="00E313FC"/>
    <w:rsid w:val="00E32688"/>
    <w:rsid w:val="00E33397"/>
    <w:rsid w:val="00E414F7"/>
    <w:rsid w:val="00E42418"/>
    <w:rsid w:val="00E42428"/>
    <w:rsid w:val="00E43424"/>
    <w:rsid w:val="00E43B3E"/>
    <w:rsid w:val="00E44DD8"/>
    <w:rsid w:val="00E45C54"/>
    <w:rsid w:val="00E460AE"/>
    <w:rsid w:val="00E461B0"/>
    <w:rsid w:val="00E46814"/>
    <w:rsid w:val="00E46894"/>
    <w:rsid w:val="00E469B7"/>
    <w:rsid w:val="00E476EA"/>
    <w:rsid w:val="00E50D35"/>
    <w:rsid w:val="00E546D5"/>
    <w:rsid w:val="00E5472E"/>
    <w:rsid w:val="00E54C65"/>
    <w:rsid w:val="00E551A1"/>
    <w:rsid w:val="00E554F9"/>
    <w:rsid w:val="00E57476"/>
    <w:rsid w:val="00E60272"/>
    <w:rsid w:val="00E6034C"/>
    <w:rsid w:val="00E603A7"/>
    <w:rsid w:val="00E6110E"/>
    <w:rsid w:val="00E62632"/>
    <w:rsid w:val="00E62756"/>
    <w:rsid w:val="00E62FB3"/>
    <w:rsid w:val="00E63AC0"/>
    <w:rsid w:val="00E63B92"/>
    <w:rsid w:val="00E65439"/>
    <w:rsid w:val="00E665F7"/>
    <w:rsid w:val="00E6746D"/>
    <w:rsid w:val="00E67513"/>
    <w:rsid w:val="00E709AA"/>
    <w:rsid w:val="00E71B9E"/>
    <w:rsid w:val="00E72307"/>
    <w:rsid w:val="00E755DE"/>
    <w:rsid w:val="00E76DF4"/>
    <w:rsid w:val="00E770C6"/>
    <w:rsid w:val="00E80B53"/>
    <w:rsid w:val="00E82349"/>
    <w:rsid w:val="00E82A3F"/>
    <w:rsid w:val="00E85233"/>
    <w:rsid w:val="00E859C1"/>
    <w:rsid w:val="00E85A37"/>
    <w:rsid w:val="00E85E2E"/>
    <w:rsid w:val="00E86DA4"/>
    <w:rsid w:val="00E90764"/>
    <w:rsid w:val="00E9196F"/>
    <w:rsid w:val="00E91FD8"/>
    <w:rsid w:val="00E934DF"/>
    <w:rsid w:val="00E9388B"/>
    <w:rsid w:val="00E957C3"/>
    <w:rsid w:val="00E968BC"/>
    <w:rsid w:val="00E96E61"/>
    <w:rsid w:val="00E970F7"/>
    <w:rsid w:val="00EA0CD3"/>
    <w:rsid w:val="00EA0CD5"/>
    <w:rsid w:val="00EA2EF0"/>
    <w:rsid w:val="00EA33A5"/>
    <w:rsid w:val="00EA3BEE"/>
    <w:rsid w:val="00EA3FF3"/>
    <w:rsid w:val="00EA45B4"/>
    <w:rsid w:val="00EA7E53"/>
    <w:rsid w:val="00EA7FE9"/>
    <w:rsid w:val="00EB0725"/>
    <w:rsid w:val="00EB0799"/>
    <w:rsid w:val="00EB126D"/>
    <w:rsid w:val="00EB1444"/>
    <w:rsid w:val="00EB33A0"/>
    <w:rsid w:val="00EB43B8"/>
    <w:rsid w:val="00EB4DFC"/>
    <w:rsid w:val="00EB7A30"/>
    <w:rsid w:val="00EB7BCA"/>
    <w:rsid w:val="00EB7D40"/>
    <w:rsid w:val="00EB7F78"/>
    <w:rsid w:val="00EC01FA"/>
    <w:rsid w:val="00EC076A"/>
    <w:rsid w:val="00EC12F9"/>
    <w:rsid w:val="00EC183A"/>
    <w:rsid w:val="00EC474A"/>
    <w:rsid w:val="00EC4C79"/>
    <w:rsid w:val="00EC573F"/>
    <w:rsid w:val="00EC6525"/>
    <w:rsid w:val="00ED0E09"/>
    <w:rsid w:val="00ED4B5A"/>
    <w:rsid w:val="00ED5577"/>
    <w:rsid w:val="00ED57E4"/>
    <w:rsid w:val="00ED5B41"/>
    <w:rsid w:val="00ED7007"/>
    <w:rsid w:val="00ED7983"/>
    <w:rsid w:val="00EE1AFB"/>
    <w:rsid w:val="00EE2B17"/>
    <w:rsid w:val="00EE3C24"/>
    <w:rsid w:val="00EE4979"/>
    <w:rsid w:val="00EE4DA7"/>
    <w:rsid w:val="00EE5D1B"/>
    <w:rsid w:val="00EE66CF"/>
    <w:rsid w:val="00EF0383"/>
    <w:rsid w:val="00EF12B9"/>
    <w:rsid w:val="00EF1B7B"/>
    <w:rsid w:val="00EF231D"/>
    <w:rsid w:val="00EF3F36"/>
    <w:rsid w:val="00EF413A"/>
    <w:rsid w:val="00EF4144"/>
    <w:rsid w:val="00EF4760"/>
    <w:rsid w:val="00EF4DF9"/>
    <w:rsid w:val="00EF56A3"/>
    <w:rsid w:val="00EF6B74"/>
    <w:rsid w:val="00EF749B"/>
    <w:rsid w:val="00EF7F24"/>
    <w:rsid w:val="00F00BEE"/>
    <w:rsid w:val="00F00ED9"/>
    <w:rsid w:val="00F013C7"/>
    <w:rsid w:val="00F01445"/>
    <w:rsid w:val="00F0187E"/>
    <w:rsid w:val="00F01F42"/>
    <w:rsid w:val="00F04470"/>
    <w:rsid w:val="00F04810"/>
    <w:rsid w:val="00F048D9"/>
    <w:rsid w:val="00F04B56"/>
    <w:rsid w:val="00F04FF0"/>
    <w:rsid w:val="00F05BB9"/>
    <w:rsid w:val="00F05E39"/>
    <w:rsid w:val="00F07154"/>
    <w:rsid w:val="00F07403"/>
    <w:rsid w:val="00F07B6B"/>
    <w:rsid w:val="00F1085C"/>
    <w:rsid w:val="00F12AE6"/>
    <w:rsid w:val="00F1454D"/>
    <w:rsid w:val="00F14CD8"/>
    <w:rsid w:val="00F150B2"/>
    <w:rsid w:val="00F152AD"/>
    <w:rsid w:val="00F16918"/>
    <w:rsid w:val="00F1719B"/>
    <w:rsid w:val="00F17D18"/>
    <w:rsid w:val="00F20067"/>
    <w:rsid w:val="00F2006F"/>
    <w:rsid w:val="00F20279"/>
    <w:rsid w:val="00F20B57"/>
    <w:rsid w:val="00F20BCB"/>
    <w:rsid w:val="00F21311"/>
    <w:rsid w:val="00F21B4A"/>
    <w:rsid w:val="00F21E00"/>
    <w:rsid w:val="00F21EDD"/>
    <w:rsid w:val="00F220A6"/>
    <w:rsid w:val="00F22D8E"/>
    <w:rsid w:val="00F24A82"/>
    <w:rsid w:val="00F25B36"/>
    <w:rsid w:val="00F25D8F"/>
    <w:rsid w:val="00F276F2"/>
    <w:rsid w:val="00F30DA9"/>
    <w:rsid w:val="00F3325B"/>
    <w:rsid w:val="00F341A1"/>
    <w:rsid w:val="00F35350"/>
    <w:rsid w:val="00F35A87"/>
    <w:rsid w:val="00F362D4"/>
    <w:rsid w:val="00F37F90"/>
    <w:rsid w:val="00F407EF"/>
    <w:rsid w:val="00F40C39"/>
    <w:rsid w:val="00F41275"/>
    <w:rsid w:val="00F415C8"/>
    <w:rsid w:val="00F41CA8"/>
    <w:rsid w:val="00F4213F"/>
    <w:rsid w:val="00F42CD2"/>
    <w:rsid w:val="00F43264"/>
    <w:rsid w:val="00F452F9"/>
    <w:rsid w:val="00F45F5F"/>
    <w:rsid w:val="00F46D42"/>
    <w:rsid w:val="00F47CE9"/>
    <w:rsid w:val="00F47E2A"/>
    <w:rsid w:val="00F50808"/>
    <w:rsid w:val="00F50EB6"/>
    <w:rsid w:val="00F51896"/>
    <w:rsid w:val="00F52936"/>
    <w:rsid w:val="00F52BC7"/>
    <w:rsid w:val="00F535C7"/>
    <w:rsid w:val="00F53BAC"/>
    <w:rsid w:val="00F54990"/>
    <w:rsid w:val="00F552D5"/>
    <w:rsid w:val="00F55465"/>
    <w:rsid w:val="00F60C7A"/>
    <w:rsid w:val="00F6336D"/>
    <w:rsid w:val="00F633B7"/>
    <w:rsid w:val="00F6629C"/>
    <w:rsid w:val="00F66D77"/>
    <w:rsid w:val="00F72075"/>
    <w:rsid w:val="00F74D05"/>
    <w:rsid w:val="00F74FAB"/>
    <w:rsid w:val="00F751B2"/>
    <w:rsid w:val="00F75C47"/>
    <w:rsid w:val="00F75C53"/>
    <w:rsid w:val="00F76388"/>
    <w:rsid w:val="00F767A8"/>
    <w:rsid w:val="00F76B2F"/>
    <w:rsid w:val="00F76DC3"/>
    <w:rsid w:val="00F779E3"/>
    <w:rsid w:val="00F800BB"/>
    <w:rsid w:val="00F800E5"/>
    <w:rsid w:val="00F80AD9"/>
    <w:rsid w:val="00F8101B"/>
    <w:rsid w:val="00F812A7"/>
    <w:rsid w:val="00F81D72"/>
    <w:rsid w:val="00F824B0"/>
    <w:rsid w:val="00F8273D"/>
    <w:rsid w:val="00F83EA7"/>
    <w:rsid w:val="00F8454F"/>
    <w:rsid w:val="00F8552A"/>
    <w:rsid w:val="00F87762"/>
    <w:rsid w:val="00F87F21"/>
    <w:rsid w:val="00F91436"/>
    <w:rsid w:val="00F92976"/>
    <w:rsid w:val="00F9332F"/>
    <w:rsid w:val="00F93359"/>
    <w:rsid w:val="00F935D6"/>
    <w:rsid w:val="00F93ED9"/>
    <w:rsid w:val="00F94707"/>
    <w:rsid w:val="00FA036D"/>
    <w:rsid w:val="00FA07F4"/>
    <w:rsid w:val="00FA0CC5"/>
    <w:rsid w:val="00FA1D47"/>
    <w:rsid w:val="00FA299D"/>
    <w:rsid w:val="00FA3575"/>
    <w:rsid w:val="00FA372C"/>
    <w:rsid w:val="00FA3A8B"/>
    <w:rsid w:val="00FA45C8"/>
    <w:rsid w:val="00FA5261"/>
    <w:rsid w:val="00FA5CFF"/>
    <w:rsid w:val="00FB0663"/>
    <w:rsid w:val="00FB0AD5"/>
    <w:rsid w:val="00FB0C5D"/>
    <w:rsid w:val="00FB0D5A"/>
    <w:rsid w:val="00FB249A"/>
    <w:rsid w:val="00FB291E"/>
    <w:rsid w:val="00FB3713"/>
    <w:rsid w:val="00FB551D"/>
    <w:rsid w:val="00FB5B12"/>
    <w:rsid w:val="00FB5E5B"/>
    <w:rsid w:val="00FB5F11"/>
    <w:rsid w:val="00FC09C7"/>
    <w:rsid w:val="00FC0B1D"/>
    <w:rsid w:val="00FC18F1"/>
    <w:rsid w:val="00FC27C0"/>
    <w:rsid w:val="00FC3887"/>
    <w:rsid w:val="00FC45FB"/>
    <w:rsid w:val="00FC5A10"/>
    <w:rsid w:val="00FC6877"/>
    <w:rsid w:val="00FC69FC"/>
    <w:rsid w:val="00FC6EBB"/>
    <w:rsid w:val="00FC74C8"/>
    <w:rsid w:val="00FD2BDE"/>
    <w:rsid w:val="00FD3E81"/>
    <w:rsid w:val="00FD3FFB"/>
    <w:rsid w:val="00FD5D83"/>
    <w:rsid w:val="00FD742E"/>
    <w:rsid w:val="00FD7F67"/>
    <w:rsid w:val="00FE10A5"/>
    <w:rsid w:val="00FE2616"/>
    <w:rsid w:val="00FE68CF"/>
    <w:rsid w:val="00FE7F06"/>
    <w:rsid w:val="00FF032A"/>
    <w:rsid w:val="00FF0D3E"/>
    <w:rsid w:val="00FF0FA3"/>
    <w:rsid w:val="00FF1045"/>
    <w:rsid w:val="00FF1141"/>
    <w:rsid w:val="00FF3BD8"/>
    <w:rsid w:val="00FF4CF8"/>
    <w:rsid w:val="00FF61E6"/>
    <w:rsid w:val="00FF78D7"/>
    <w:rsid w:val="06BA1F69"/>
    <w:rsid w:val="06DA36C2"/>
    <w:rsid w:val="0771640A"/>
    <w:rsid w:val="08BD2138"/>
    <w:rsid w:val="09095D43"/>
    <w:rsid w:val="0C29134C"/>
    <w:rsid w:val="0C817A02"/>
    <w:rsid w:val="0E89618B"/>
    <w:rsid w:val="107A2538"/>
    <w:rsid w:val="129B1ACC"/>
    <w:rsid w:val="12CF2DD3"/>
    <w:rsid w:val="13EF7F92"/>
    <w:rsid w:val="167F35B9"/>
    <w:rsid w:val="173308F7"/>
    <w:rsid w:val="173C44EE"/>
    <w:rsid w:val="18CD3DC3"/>
    <w:rsid w:val="1DD830A8"/>
    <w:rsid w:val="20CA0FF2"/>
    <w:rsid w:val="210261AB"/>
    <w:rsid w:val="21453DC4"/>
    <w:rsid w:val="21F557DF"/>
    <w:rsid w:val="234A3B67"/>
    <w:rsid w:val="23640459"/>
    <w:rsid w:val="23A6444D"/>
    <w:rsid w:val="25063D37"/>
    <w:rsid w:val="27DA6B50"/>
    <w:rsid w:val="27E24A77"/>
    <w:rsid w:val="28EC3D48"/>
    <w:rsid w:val="29D83054"/>
    <w:rsid w:val="2E153D3D"/>
    <w:rsid w:val="2E471673"/>
    <w:rsid w:val="2EFB348E"/>
    <w:rsid w:val="2F0D7BBA"/>
    <w:rsid w:val="2F445E38"/>
    <w:rsid w:val="2FD1A116"/>
    <w:rsid w:val="30292740"/>
    <w:rsid w:val="3087192E"/>
    <w:rsid w:val="31191DF6"/>
    <w:rsid w:val="32AC366D"/>
    <w:rsid w:val="34F3607A"/>
    <w:rsid w:val="350825A9"/>
    <w:rsid w:val="356E20DC"/>
    <w:rsid w:val="39F92187"/>
    <w:rsid w:val="3A0E20E9"/>
    <w:rsid w:val="3C553FF4"/>
    <w:rsid w:val="3C6856F5"/>
    <w:rsid w:val="3C7904C8"/>
    <w:rsid w:val="3C8F4A1F"/>
    <w:rsid w:val="3CFE5074"/>
    <w:rsid w:val="3D344526"/>
    <w:rsid w:val="3E233EAB"/>
    <w:rsid w:val="3E2D674C"/>
    <w:rsid w:val="3E38153F"/>
    <w:rsid w:val="3E5E1776"/>
    <w:rsid w:val="3EC5147E"/>
    <w:rsid w:val="42BC0151"/>
    <w:rsid w:val="43B249E7"/>
    <w:rsid w:val="45825C39"/>
    <w:rsid w:val="45A401D2"/>
    <w:rsid w:val="46624145"/>
    <w:rsid w:val="47134325"/>
    <w:rsid w:val="475D7D91"/>
    <w:rsid w:val="48AA44A0"/>
    <w:rsid w:val="4A2B3E73"/>
    <w:rsid w:val="4A3C0D19"/>
    <w:rsid w:val="4A3E1DB8"/>
    <w:rsid w:val="4A835B82"/>
    <w:rsid w:val="4AA80D41"/>
    <w:rsid w:val="4BDA2528"/>
    <w:rsid w:val="4D6C27DD"/>
    <w:rsid w:val="4E020979"/>
    <w:rsid w:val="4E1E6066"/>
    <w:rsid w:val="50710DA7"/>
    <w:rsid w:val="5168681E"/>
    <w:rsid w:val="51C156D1"/>
    <w:rsid w:val="52140292"/>
    <w:rsid w:val="53067C19"/>
    <w:rsid w:val="542D0FDF"/>
    <w:rsid w:val="5652439C"/>
    <w:rsid w:val="57081291"/>
    <w:rsid w:val="57ED535F"/>
    <w:rsid w:val="59256E9A"/>
    <w:rsid w:val="593714A4"/>
    <w:rsid w:val="595F68F1"/>
    <w:rsid w:val="598412B4"/>
    <w:rsid w:val="5A521C86"/>
    <w:rsid w:val="5B4F780D"/>
    <w:rsid w:val="5B6D65B1"/>
    <w:rsid w:val="5CAC42F0"/>
    <w:rsid w:val="5CF70BE2"/>
    <w:rsid w:val="5F8E4EA8"/>
    <w:rsid w:val="6086587D"/>
    <w:rsid w:val="6181409D"/>
    <w:rsid w:val="63A86D39"/>
    <w:rsid w:val="63D76462"/>
    <w:rsid w:val="654209BE"/>
    <w:rsid w:val="65EE42A4"/>
    <w:rsid w:val="665357CD"/>
    <w:rsid w:val="675D5EEC"/>
    <w:rsid w:val="67E82883"/>
    <w:rsid w:val="68F152E2"/>
    <w:rsid w:val="69FD0E71"/>
    <w:rsid w:val="6A434362"/>
    <w:rsid w:val="6B8C63C8"/>
    <w:rsid w:val="6CB41C0D"/>
    <w:rsid w:val="6DC8223B"/>
    <w:rsid w:val="6F7138B9"/>
    <w:rsid w:val="70E44463"/>
    <w:rsid w:val="714713A4"/>
    <w:rsid w:val="717A25B2"/>
    <w:rsid w:val="71876AC0"/>
    <w:rsid w:val="719D23FD"/>
    <w:rsid w:val="71B17389"/>
    <w:rsid w:val="724D2990"/>
    <w:rsid w:val="72C200B0"/>
    <w:rsid w:val="75272230"/>
    <w:rsid w:val="75715829"/>
    <w:rsid w:val="75871DCA"/>
    <w:rsid w:val="77A5A32B"/>
    <w:rsid w:val="7BC40A70"/>
    <w:rsid w:val="7CC71767"/>
    <w:rsid w:val="7CF53F77"/>
    <w:rsid w:val="7CF979BA"/>
    <w:rsid w:val="7E63243A"/>
    <w:rsid w:val="7E8C1276"/>
    <w:rsid w:val="7E996E60"/>
    <w:rsid w:val="7E9F7657"/>
    <w:rsid w:val="7EFB16F1"/>
    <w:rsid w:val="7F9D4CCD"/>
    <w:rsid w:val="7FD60E2A"/>
    <w:rsid w:val="BFFFD41C"/>
    <w:rsid w:val="C5FE5806"/>
    <w:rsid w:val="CDFF9530"/>
    <w:rsid w:val="D7EF007E"/>
    <w:rsid w:val="FBB9BE9B"/>
    <w:rsid w:val="FF7F4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qFormat="1" w:uiPriority="99" w:semiHidden="0" w:name="index heading"/>
    <w:lsdException w:qFormat="1" w:unhideWhenUsed="0" w:uiPriority="35" w:semiHidden="0" w:name="caption"/>
    <w:lsdException w:qFormat="1" w:uiPriority="99" w:semiHidden="0" w:name="table of figures"/>
    <w:lsdException w:qFormat="1" w:uiPriority="99" w:semiHidden="0" w:name="envelope address"/>
    <w:lsdException w:qFormat="1" w:uiPriority="99" w:semiHidden="0"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qFormat="1" w:uiPriority="99" w:semiHidden="0" w:name="endnote text"/>
    <w:lsdException w:qFormat="1" w:uiPriority="99" w:semiHidden="0" w:name="table of authorities"/>
    <w:lsdException w:qFormat="1" w:uiPriority="99" w:semiHidden="0" w:name="macro"/>
    <w:lsdException w:qFormat="1" w:uiPriority="99" w:semiHidden="0"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semiHidden="0" w:name="List Bullet 3"/>
    <w:lsdException w:qFormat="1" w:uiPriority="99" w:semiHidden="0" w:name="List Bullet 4"/>
    <w:lsdException w:qFormat="1" w:uiPriority="99" w:semiHidden="0" w:name="List Bullet 5"/>
    <w:lsdException w:qFormat="1" w:uiPriority="99" w:semiHidden="0" w:name="List Number 2"/>
    <w:lsdException w:qFormat="1" w:uiPriority="99" w:semiHidden="0" w:name="List Number 3"/>
    <w:lsdException w:qFormat="1" w:uiPriority="99" w:semiHidden="0" w:name="List Number 4"/>
    <w:lsdException w:qFormat="1" w:uiPriority="99" w:semiHidden="0" w:name="List Number 5"/>
    <w:lsdException w:qFormat="1" w:unhideWhenUsed="0" w:uiPriority="10" w:semiHidden="0" w:name="Title"/>
    <w:lsdException w:qFormat="1" w:uiPriority="99" w:semiHidden="0" w:name="Closing"/>
    <w:lsdException w:qFormat="1" w:uiPriority="99" w:semiHidden="0" w:name="Signature"/>
    <w:lsdException w:qFormat="1" w:uiPriority="1" w:semiHidden="0" w:name="Default Paragraph Font"/>
    <w:lsdException w:qFormat="1" w:uiPriority="1" w:semiHidden="0" w:name="Body Text"/>
    <w:lsdException w:qFormat="1" w:uiPriority="99" w:semiHidden="0" w:name="Body Text Indent"/>
    <w:lsdException w:qFormat="1" w:uiPriority="99" w:semiHidden="0" w:name="List Continue"/>
    <w:lsdException w:qFormat="1" w:uiPriority="99" w:semiHidden="0" w:name="List Continue 2"/>
    <w:lsdException w:qFormat="1" w:uiPriority="99" w:semiHidden="0" w:name="List Continue 3"/>
    <w:lsdException w:qFormat="1" w:uiPriority="99" w:semiHidden="0" w:name="List Continue 4"/>
    <w:lsdException w:qFormat="1" w:uiPriority="99" w:semiHidden="0" w:name="List Continue 5"/>
    <w:lsdException w:qFormat="1" w:uiPriority="99" w:semiHidden="0" w:name="Message Header"/>
    <w:lsdException w:qFormat="1" w:unhideWhenUsed="0" w:uiPriority="11" w:semiHidden="0" w:name="Subtitle"/>
    <w:lsdException w:qFormat="1" w:uiPriority="99" w:semiHidden="0" w:name="Salutation"/>
    <w:lsdException w:qFormat="1" w:uiPriority="99" w:semiHidden="0" w:name="Date"/>
    <w:lsdException w:qFormat="1" w:uiPriority="99" w:semiHidden="0" w:name="Body Text First Indent"/>
    <w:lsdException w:qFormat="1" w:uiPriority="99" w:semiHidden="0" w:name="Body Text First Indent 2"/>
    <w:lsdException w:qFormat="1" w:uiPriority="99"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unhideWhenUsed="0" w:uiPriority="20" w:semiHidden="0" w:name="Emphasis"/>
    <w:lsdException w:qFormat="1" w:uiPriority="99" w:semiHidden="0" w:name="Document Map"/>
    <w:lsdException w:qFormat="1" w:uiPriority="99" w:semiHidden="0" w:name="Plain Text"/>
    <w:lsdException w:qFormat="1" w:uiPriority="99" w:semiHidden="0" w:name="E-mail Signature"/>
    <w:lsdException w:qFormat="1" w:uiPriority="99" w:semiHidden="0" w:name="Normal (Web)"/>
    <w:lsdException w:uiPriority="99" w:name="HTML Acronym"/>
    <w:lsdException w:qFormat="1" w:uiPriority="99" w:semiHidden="0"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100"/>
    <w:qFormat/>
    <w:uiPriority w:val="9"/>
    <w:pPr>
      <w:keepNext/>
      <w:keepLines/>
      <w:pageBreakBefore/>
      <w:widowControl/>
      <w:numPr>
        <w:ilvl w:val="0"/>
        <w:numId w:val="1"/>
      </w:numPr>
      <w:spacing w:before="480" w:after="360" w:line="560" w:lineRule="exact"/>
      <w:jc w:val="center"/>
      <w:outlineLvl w:val="0"/>
    </w:pPr>
    <w:rPr>
      <w:rFonts w:eastAsia="黑体"/>
      <w:b/>
      <w:bCs/>
      <w:kern w:val="44"/>
      <w:sz w:val="44"/>
      <w:szCs w:val="44"/>
    </w:rPr>
  </w:style>
  <w:style w:type="paragraph" w:styleId="6">
    <w:name w:val="heading 2"/>
    <w:basedOn w:val="1"/>
    <w:next w:val="1"/>
    <w:link w:val="97"/>
    <w:unhideWhenUsed/>
    <w:qFormat/>
    <w:uiPriority w:val="9"/>
    <w:pPr>
      <w:keepNext/>
      <w:keepLines/>
      <w:snapToGrid w:val="0"/>
      <w:spacing w:before="156" w:beforeLines="50" w:after="156" w:afterLines="50" w:line="560" w:lineRule="exact"/>
      <w:outlineLvl w:val="1"/>
    </w:pPr>
    <w:rPr>
      <w:rFonts w:ascii="黑体" w:hAnsi="黑体" w:eastAsia="等线" w:cs="Times New Roman"/>
      <w:b/>
      <w:sz w:val="36"/>
      <w:szCs w:val="32"/>
    </w:rPr>
  </w:style>
  <w:style w:type="paragraph" w:styleId="7">
    <w:name w:val="heading 3"/>
    <w:basedOn w:val="1"/>
    <w:next w:val="1"/>
    <w:link w:val="98"/>
    <w:unhideWhenUsed/>
    <w:qFormat/>
    <w:uiPriority w:val="0"/>
    <w:pPr>
      <w:keepNext/>
      <w:keepLines/>
      <w:spacing w:before="260" w:after="260" w:line="416" w:lineRule="auto"/>
      <w:outlineLvl w:val="2"/>
    </w:pPr>
    <w:rPr>
      <w:b/>
      <w:bCs/>
      <w:sz w:val="32"/>
      <w:szCs w:val="32"/>
    </w:rPr>
  </w:style>
  <w:style w:type="paragraph" w:styleId="8">
    <w:name w:val="heading 4"/>
    <w:basedOn w:val="1"/>
    <w:next w:val="1"/>
    <w:link w:val="153"/>
    <w:unhideWhenUsed/>
    <w:qFormat/>
    <w:uiPriority w:val="9"/>
    <w:pPr>
      <w:keepNext/>
      <w:keepLines/>
      <w:numPr>
        <w:ilvl w:val="0"/>
        <w:numId w:val="2"/>
      </w:numPr>
      <w:spacing w:before="50" w:beforeLines="50"/>
      <w:outlineLvl w:val="3"/>
    </w:pPr>
    <w:rPr>
      <w:rFonts w:eastAsia="宋体" w:asciiTheme="majorHAnsi" w:hAnsiTheme="majorHAnsi" w:cstheme="majorBidi"/>
      <w:b/>
      <w:bCs/>
      <w:sz w:val="30"/>
      <w:szCs w:val="28"/>
    </w:rPr>
  </w:style>
  <w:style w:type="paragraph" w:styleId="9">
    <w:name w:val="heading 5"/>
    <w:basedOn w:val="1"/>
    <w:next w:val="1"/>
    <w:link w:val="154"/>
    <w:unhideWhenUsed/>
    <w:qFormat/>
    <w:uiPriority w:val="9"/>
    <w:pPr>
      <w:keepNext/>
      <w:keepLines/>
      <w:numPr>
        <w:ilvl w:val="0"/>
        <w:numId w:val="3"/>
      </w:numPr>
      <w:outlineLvl w:val="4"/>
    </w:pPr>
    <w:rPr>
      <w:b/>
      <w:bCs/>
      <w:sz w:val="30"/>
      <w:szCs w:val="28"/>
    </w:rPr>
  </w:style>
  <w:style w:type="paragraph" w:styleId="10">
    <w:name w:val="heading 6"/>
    <w:basedOn w:val="1"/>
    <w:next w:val="1"/>
    <w:link w:val="155"/>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11">
    <w:name w:val="heading 7"/>
    <w:basedOn w:val="1"/>
    <w:next w:val="1"/>
    <w:link w:val="156"/>
    <w:unhideWhenUsed/>
    <w:qFormat/>
    <w:uiPriority w:val="9"/>
    <w:pPr>
      <w:keepNext/>
      <w:keepLines/>
      <w:spacing w:before="240" w:after="64" w:line="320" w:lineRule="auto"/>
      <w:outlineLvl w:val="6"/>
    </w:pPr>
    <w:rPr>
      <w:b/>
      <w:bCs/>
      <w:sz w:val="24"/>
      <w:szCs w:val="24"/>
    </w:rPr>
  </w:style>
  <w:style w:type="paragraph" w:styleId="12">
    <w:name w:val="heading 8"/>
    <w:basedOn w:val="1"/>
    <w:next w:val="1"/>
    <w:link w:val="157"/>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3">
    <w:name w:val="heading 9"/>
    <w:basedOn w:val="1"/>
    <w:next w:val="1"/>
    <w:link w:val="158"/>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91">
    <w:name w:val="Default Paragraph Font"/>
    <w:unhideWhenUsed/>
    <w:qFormat/>
    <w:uiPriority w:val="1"/>
  </w:style>
  <w:style w:type="table" w:default="1" w:styleId="89">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178"/>
    <w:unhideWhenUsed/>
    <w:qFormat/>
    <w:uiPriority w:val="1"/>
    <w:pPr>
      <w:numPr>
        <w:ilvl w:val="0"/>
        <w:numId w:val="4"/>
      </w:numPr>
      <w:adjustRightInd w:val="0"/>
      <w:snapToGrid w:val="0"/>
      <w:spacing w:before="50" w:beforeLines="50" w:after="50" w:afterLines="50" w:line="560" w:lineRule="exact"/>
      <w:outlineLvl w:val="2"/>
    </w:pPr>
    <w:rPr>
      <w:rFonts w:ascii="仿宋_GB2312" w:hAnsi="Times New Roman" w:eastAsia="宋体"/>
      <w:b/>
      <w:color w:val="000000" w:themeColor="text1"/>
      <w:sz w:val="32"/>
      <w:szCs w:val="32"/>
      <w14:textFill>
        <w14:solidFill>
          <w14:schemeClr w14:val="tx1"/>
        </w14:solidFill>
      </w14:textFill>
    </w:rPr>
  </w:style>
  <w:style w:type="paragraph" w:customStyle="1" w:styleId="3">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styleId="4">
    <w:name w:val="macro"/>
    <w:link w:val="163"/>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4">
    <w:name w:val="List 3"/>
    <w:basedOn w:val="1"/>
    <w:unhideWhenUsed/>
    <w:qFormat/>
    <w:uiPriority w:val="99"/>
    <w:pPr>
      <w:ind w:left="100" w:leftChars="400" w:hanging="200" w:hangingChars="200"/>
      <w:contextualSpacing/>
    </w:pPr>
  </w:style>
  <w:style w:type="paragraph" w:styleId="15">
    <w:name w:val="toc 7"/>
    <w:basedOn w:val="1"/>
    <w:next w:val="1"/>
    <w:unhideWhenUsed/>
    <w:qFormat/>
    <w:uiPriority w:val="39"/>
    <w:pPr>
      <w:ind w:left="2520" w:leftChars="1200"/>
    </w:pPr>
  </w:style>
  <w:style w:type="paragraph" w:styleId="16">
    <w:name w:val="List Number 2"/>
    <w:basedOn w:val="1"/>
    <w:unhideWhenUsed/>
    <w:qFormat/>
    <w:uiPriority w:val="99"/>
    <w:pPr>
      <w:numPr>
        <w:ilvl w:val="0"/>
        <w:numId w:val="5"/>
      </w:numPr>
      <w:contextualSpacing/>
    </w:pPr>
  </w:style>
  <w:style w:type="paragraph" w:styleId="17">
    <w:name w:val="table of authorities"/>
    <w:basedOn w:val="1"/>
    <w:next w:val="1"/>
    <w:unhideWhenUsed/>
    <w:qFormat/>
    <w:uiPriority w:val="99"/>
    <w:pPr>
      <w:ind w:left="420" w:leftChars="200"/>
    </w:pPr>
  </w:style>
  <w:style w:type="paragraph" w:styleId="18">
    <w:name w:val="Note Heading"/>
    <w:basedOn w:val="1"/>
    <w:next w:val="1"/>
    <w:link w:val="186"/>
    <w:unhideWhenUsed/>
    <w:qFormat/>
    <w:uiPriority w:val="99"/>
    <w:pPr>
      <w:jc w:val="center"/>
    </w:pPr>
  </w:style>
  <w:style w:type="paragraph" w:styleId="19">
    <w:name w:val="List Bullet 4"/>
    <w:basedOn w:val="1"/>
    <w:unhideWhenUsed/>
    <w:qFormat/>
    <w:uiPriority w:val="99"/>
    <w:pPr>
      <w:numPr>
        <w:ilvl w:val="0"/>
        <w:numId w:val="6"/>
      </w:numPr>
      <w:contextualSpacing/>
    </w:pPr>
  </w:style>
  <w:style w:type="paragraph" w:styleId="20">
    <w:name w:val="index 8"/>
    <w:basedOn w:val="1"/>
    <w:next w:val="1"/>
    <w:unhideWhenUsed/>
    <w:qFormat/>
    <w:uiPriority w:val="99"/>
    <w:pPr>
      <w:ind w:left="1400" w:leftChars="1400"/>
    </w:pPr>
  </w:style>
  <w:style w:type="paragraph" w:styleId="21">
    <w:name w:val="E-mail Signature"/>
    <w:basedOn w:val="1"/>
    <w:link w:val="161"/>
    <w:unhideWhenUsed/>
    <w:qFormat/>
    <w:uiPriority w:val="99"/>
  </w:style>
  <w:style w:type="paragraph" w:styleId="22">
    <w:name w:val="List Number"/>
    <w:basedOn w:val="1"/>
    <w:unhideWhenUsed/>
    <w:qFormat/>
    <w:uiPriority w:val="99"/>
    <w:pPr>
      <w:numPr>
        <w:ilvl w:val="0"/>
        <w:numId w:val="7"/>
      </w:numPr>
      <w:contextualSpacing/>
    </w:pPr>
  </w:style>
  <w:style w:type="paragraph" w:styleId="23">
    <w:name w:val="Normal Indent"/>
    <w:basedOn w:val="1"/>
    <w:unhideWhenUsed/>
    <w:qFormat/>
    <w:uiPriority w:val="99"/>
    <w:pPr>
      <w:spacing w:before="156" w:beforeLines="50" w:after="156" w:afterLines="50" w:line="480" w:lineRule="exact"/>
      <w:ind w:firstLine="560" w:firstLineChars="200"/>
    </w:pPr>
    <w:rPr>
      <w:rFonts w:ascii="黑体" w:hAnsi="黑体" w:eastAsia="黑体"/>
      <w:sz w:val="30"/>
    </w:rPr>
  </w:style>
  <w:style w:type="paragraph" w:styleId="24">
    <w:name w:val="caption"/>
    <w:basedOn w:val="1"/>
    <w:next w:val="1"/>
    <w:qFormat/>
    <w:uiPriority w:val="35"/>
    <w:pPr>
      <w:widowControl/>
      <w:spacing w:line="360" w:lineRule="auto"/>
      <w:ind w:firstLine="480" w:firstLineChars="200"/>
      <w:textAlignment w:val="baseline"/>
    </w:pPr>
    <w:rPr>
      <w:rFonts w:ascii="Arial" w:hAnsi="Arial" w:eastAsia="黑体" w:cs="Arial"/>
      <w:sz w:val="20"/>
      <w:szCs w:val="20"/>
    </w:rPr>
  </w:style>
  <w:style w:type="paragraph" w:styleId="25">
    <w:name w:val="index 5"/>
    <w:basedOn w:val="1"/>
    <w:next w:val="1"/>
    <w:unhideWhenUsed/>
    <w:qFormat/>
    <w:uiPriority w:val="99"/>
    <w:pPr>
      <w:ind w:left="800" w:leftChars="800"/>
    </w:pPr>
  </w:style>
  <w:style w:type="paragraph" w:styleId="26">
    <w:name w:val="List Bullet"/>
    <w:basedOn w:val="1"/>
    <w:unhideWhenUsed/>
    <w:qFormat/>
    <w:uiPriority w:val="99"/>
    <w:pPr>
      <w:numPr>
        <w:ilvl w:val="0"/>
        <w:numId w:val="8"/>
      </w:numPr>
      <w:contextualSpacing/>
    </w:pPr>
  </w:style>
  <w:style w:type="paragraph" w:styleId="27">
    <w:name w:val="envelope address"/>
    <w:basedOn w:val="1"/>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szCs w:val="24"/>
    </w:rPr>
  </w:style>
  <w:style w:type="paragraph" w:styleId="28">
    <w:name w:val="Document Map"/>
    <w:basedOn w:val="1"/>
    <w:link w:val="173"/>
    <w:unhideWhenUsed/>
    <w:qFormat/>
    <w:uiPriority w:val="99"/>
    <w:rPr>
      <w:rFonts w:ascii="Microsoft YaHei UI" w:eastAsia="Microsoft YaHei UI"/>
      <w:sz w:val="18"/>
      <w:szCs w:val="18"/>
    </w:rPr>
  </w:style>
  <w:style w:type="paragraph" w:styleId="29">
    <w:name w:val="toa heading"/>
    <w:basedOn w:val="1"/>
    <w:next w:val="1"/>
    <w:unhideWhenUsed/>
    <w:qFormat/>
    <w:uiPriority w:val="99"/>
    <w:pPr>
      <w:spacing w:before="120"/>
    </w:pPr>
    <w:rPr>
      <w:rFonts w:asciiTheme="majorHAnsi" w:hAnsiTheme="majorHAnsi" w:eastAsiaTheme="majorEastAsia" w:cstheme="majorBidi"/>
      <w:sz w:val="24"/>
      <w:szCs w:val="24"/>
    </w:rPr>
  </w:style>
  <w:style w:type="paragraph" w:styleId="30">
    <w:name w:val="annotation text"/>
    <w:basedOn w:val="1"/>
    <w:link w:val="167"/>
    <w:unhideWhenUsed/>
    <w:qFormat/>
    <w:uiPriority w:val="99"/>
    <w:pPr>
      <w:jc w:val="left"/>
    </w:pPr>
  </w:style>
  <w:style w:type="paragraph" w:styleId="31">
    <w:name w:val="index 6"/>
    <w:basedOn w:val="1"/>
    <w:next w:val="1"/>
    <w:unhideWhenUsed/>
    <w:qFormat/>
    <w:uiPriority w:val="99"/>
    <w:pPr>
      <w:ind w:left="1000" w:leftChars="1000"/>
    </w:pPr>
  </w:style>
  <w:style w:type="paragraph" w:styleId="32">
    <w:name w:val="Salutation"/>
    <w:basedOn w:val="1"/>
    <w:next w:val="1"/>
    <w:link w:val="159"/>
    <w:unhideWhenUsed/>
    <w:qFormat/>
    <w:uiPriority w:val="99"/>
  </w:style>
  <w:style w:type="paragraph" w:styleId="33">
    <w:name w:val="Body Text 3"/>
    <w:basedOn w:val="1"/>
    <w:link w:val="183"/>
    <w:unhideWhenUsed/>
    <w:qFormat/>
    <w:uiPriority w:val="99"/>
    <w:pPr>
      <w:spacing w:after="120"/>
    </w:pPr>
    <w:rPr>
      <w:sz w:val="16"/>
      <w:szCs w:val="16"/>
    </w:rPr>
  </w:style>
  <w:style w:type="paragraph" w:styleId="34">
    <w:name w:val="Closing"/>
    <w:basedOn w:val="1"/>
    <w:link w:val="164"/>
    <w:unhideWhenUsed/>
    <w:qFormat/>
    <w:uiPriority w:val="99"/>
    <w:pPr>
      <w:ind w:left="100" w:leftChars="2100"/>
    </w:pPr>
  </w:style>
  <w:style w:type="paragraph" w:styleId="35">
    <w:name w:val="List Bullet 3"/>
    <w:basedOn w:val="1"/>
    <w:unhideWhenUsed/>
    <w:qFormat/>
    <w:uiPriority w:val="99"/>
    <w:pPr>
      <w:numPr>
        <w:ilvl w:val="0"/>
        <w:numId w:val="9"/>
      </w:numPr>
      <w:contextualSpacing/>
    </w:pPr>
  </w:style>
  <w:style w:type="paragraph" w:styleId="36">
    <w:name w:val="Body Text Indent"/>
    <w:basedOn w:val="1"/>
    <w:link w:val="180"/>
    <w:unhideWhenUsed/>
    <w:qFormat/>
    <w:uiPriority w:val="99"/>
    <w:pPr>
      <w:spacing w:after="120"/>
      <w:ind w:left="420" w:leftChars="200"/>
    </w:pPr>
  </w:style>
  <w:style w:type="paragraph" w:styleId="37">
    <w:name w:val="List Number 3"/>
    <w:basedOn w:val="1"/>
    <w:unhideWhenUsed/>
    <w:qFormat/>
    <w:uiPriority w:val="99"/>
    <w:pPr>
      <w:numPr>
        <w:ilvl w:val="0"/>
        <w:numId w:val="10"/>
      </w:numPr>
      <w:contextualSpacing/>
    </w:pPr>
  </w:style>
  <w:style w:type="paragraph" w:styleId="38">
    <w:name w:val="List 2"/>
    <w:basedOn w:val="1"/>
    <w:unhideWhenUsed/>
    <w:qFormat/>
    <w:uiPriority w:val="99"/>
    <w:pPr>
      <w:ind w:left="100" w:leftChars="200" w:hanging="200" w:hangingChars="200"/>
      <w:contextualSpacing/>
    </w:pPr>
  </w:style>
  <w:style w:type="paragraph" w:styleId="39">
    <w:name w:val="List Continue"/>
    <w:basedOn w:val="1"/>
    <w:unhideWhenUsed/>
    <w:qFormat/>
    <w:uiPriority w:val="99"/>
    <w:pPr>
      <w:spacing w:after="120"/>
      <w:ind w:left="420" w:leftChars="200"/>
      <w:contextualSpacing/>
    </w:pPr>
  </w:style>
  <w:style w:type="paragraph" w:styleId="40">
    <w:name w:val="Block Text"/>
    <w:basedOn w:val="1"/>
    <w:unhideWhenUsed/>
    <w:qFormat/>
    <w:uiPriority w:val="99"/>
    <w:pPr>
      <w:spacing w:after="120"/>
      <w:ind w:left="1440" w:leftChars="700" w:right="1440" w:rightChars="700"/>
    </w:pPr>
  </w:style>
  <w:style w:type="paragraph" w:styleId="41">
    <w:name w:val="List Bullet 2"/>
    <w:basedOn w:val="1"/>
    <w:unhideWhenUsed/>
    <w:qFormat/>
    <w:uiPriority w:val="99"/>
    <w:pPr>
      <w:numPr>
        <w:ilvl w:val="0"/>
        <w:numId w:val="11"/>
      </w:numPr>
      <w:contextualSpacing/>
    </w:pPr>
  </w:style>
  <w:style w:type="paragraph" w:styleId="42">
    <w:name w:val="HTML Address"/>
    <w:basedOn w:val="1"/>
    <w:link w:val="150"/>
    <w:unhideWhenUsed/>
    <w:qFormat/>
    <w:uiPriority w:val="99"/>
    <w:rPr>
      <w:i/>
      <w:iCs/>
    </w:rPr>
  </w:style>
  <w:style w:type="paragraph" w:styleId="43">
    <w:name w:val="index 4"/>
    <w:basedOn w:val="1"/>
    <w:next w:val="1"/>
    <w:unhideWhenUsed/>
    <w:qFormat/>
    <w:uiPriority w:val="99"/>
    <w:pPr>
      <w:ind w:left="600" w:leftChars="600"/>
    </w:pPr>
  </w:style>
  <w:style w:type="paragraph" w:styleId="44">
    <w:name w:val="toc 5"/>
    <w:basedOn w:val="1"/>
    <w:next w:val="1"/>
    <w:unhideWhenUsed/>
    <w:qFormat/>
    <w:uiPriority w:val="39"/>
    <w:pPr>
      <w:ind w:left="1680" w:leftChars="800"/>
    </w:pPr>
  </w:style>
  <w:style w:type="paragraph" w:styleId="45">
    <w:name w:val="toc 3"/>
    <w:basedOn w:val="1"/>
    <w:next w:val="1"/>
    <w:unhideWhenUsed/>
    <w:qFormat/>
    <w:uiPriority w:val="39"/>
    <w:pPr>
      <w:spacing w:line="400" w:lineRule="exact"/>
      <w:ind w:left="300" w:leftChars="300"/>
    </w:pPr>
    <w:rPr>
      <w:rFonts w:eastAsia="华文宋体"/>
    </w:rPr>
  </w:style>
  <w:style w:type="paragraph" w:styleId="46">
    <w:name w:val="Plain Text"/>
    <w:basedOn w:val="1"/>
    <w:link w:val="160"/>
    <w:unhideWhenUsed/>
    <w:qFormat/>
    <w:uiPriority w:val="99"/>
    <w:rPr>
      <w:rFonts w:hAnsi="Courier New" w:cs="Courier New" w:asciiTheme="minorEastAsia"/>
    </w:rPr>
  </w:style>
  <w:style w:type="paragraph" w:styleId="47">
    <w:name w:val="List Bullet 5"/>
    <w:basedOn w:val="1"/>
    <w:unhideWhenUsed/>
    <w:qFormat/>
    <w:uiPriority w:val="99"/>
    <w:pPr>
      <w:numPr>
        <w:ilvl w:val="0"/>
        <w:numId w:val="12"/>
      </w:numPr>
      <w:contextualSpacing/>
    </w:pPr>
  </w:style>
  <w:style w:type="paragraph" w:styleId="48">
    <w:name w:val="List Number 4"/>
    <w:basedOn w:val="1"/>
    <w:unhideWhenUsed/>
    <w:qFormat/>
    <w:uiPriority w:val="99"/>
    <w:pPr>
      <w:numPr>
        <w:ilvl w:val="0"/>
        <w:numId w:val="13"/>
      </w:numPr>
      <w:contextualSpacing/>
    </w:pPr>
  </w:style>
  <w:style w:type="paragraph" w:styleId="49">
    <w:name w:val="toc 8"/>
    <w:basedOn w:val="1"/>
    <w:next w:val="1"/>
    <w:unhideWhenUsed/>
    <w:qFormat/>
    <w:uiPriority w:val="39"/>
    <w:pPr>
      <w:ind w:left="2940" w:leftChars="1400"/>
    </w:pPr>
  </w:style>
  <w:style w:type="paragraph" w:styleId="50">
    <w:name w:val="index 3"/>
    <w:basedOn w:val="1"/>
    <w:next w:val="1"/>
    <w:unhideWhenUsed/>
    <w:qFormat/>
    <w:uiPriority w:val="99"/>
    <w:pPr>
      <w:ind w:left="400" w:leftChars="400"/>
    </w:pPr>
  </w:style>
  <w:style w:type="paragraph" w:styleId="51">
    <w:name w:val="Date"/>
    <w:basedOn w:val="1"/>
    <w:next w:val="1"/>
    <w:link w:val="170"/>
    <w:unhideWhenUsed/>
    <w:qFormat/>
    <w:uiPriority w:val="99"/>
    <w:pPr>
      <w:ind w:left="100" w:leftChars="2500"/>
    </w:pPr>
  </w:style>
  <w:style w:type="paragraph" w:styleId="52">
    <w:name w:val="Body Text Indent 2"/>
    <w:basedOn w:val="1"/>
    <w:link w:val="184"/>
    <w:unhideWhenUsed/>
    <w:qFormat/>
    <w:uiPriority w:val="99"/>
    <w:pPr>
      <w:spacing w:after="120" w:line="480" w:lineRule="auto"/>
      <w:ind w:left="420" w:leftChars="200"/>
    </w:pPr>
  </w:style>
  <w:style w:type="paragraph" w:styleId="53">
    <w:name w:val="endnote text"/>
    <w:basedOn w:val="1"/>
    <w:link w:val="172"/>
    <w:unhideWhenUsed/>
    <w:qFormat/>
    <w:uiPriority w:val="99"/>
    <w:pPr>
      <w:snapToGrid w:val="0"/>
      <w:jc w:val="left"/>
    </w:pPr>
  </w:style>
  <w:style w:type="paragraph" w:styleId="54">
    <w:name w:val="List Continue 5"/>
    <w:basedOn w:val="1"/>
    <w:unhideWhenUsed/>
    <w:qFormat/>
    <w:uiPriority w:val="99"/>
    <w:pPr>
      <w:spacing w:after="120"/>
      <w:ind w:left="2100" w:leftChars="1000"/>
      <w:contextualSpacing/>
    </w:pPr>
  </w:style>
  <w:style w:type="paragraph" w:styleId="55">
    <w:name w:val="Balloon Text"/>
    <w:basedOn w:val="1"/>
    <w:link w:val="103"/>
    <w:unhideWhenUsed/>
    <w:qFormat/>
    <w:uiPriority w:val="99"/>
    <w:rPr>
      <w:sz w:val="18"/>
      <w:szCs w:val="18"/>
    </w:rPr>
  </w:style>
  <w:style w:type="paragraph" w:styleId="56">
    <w:name w:val="footer"/>
    <w:basedOn w:val="1"/>
    <w:link w:val="107"/>
    <w:unhideWhenUsed/>
    <w:qFormat/>
    <w:uiPriority w:val="99"/>
    <w:pPr>
      <w:tabs>
        <w:tab w:val="center" w:pos="4153"/>
        <w:tab w:val="right" w:pos="8306"/>
      </w:tabs>
      <w:snapToGrid w:val="0"/>
      <w:jc w:val="left"/>
    </w:pPr>
    <w:rPr>
      <w:sz w:val="18"/>
      <w:szCs w:val="18"/>
    </w:rPr>
  </w:style>
  <w:style w:type="paragraph" w:styleId="57">
    <w:name w:val="envelope return"/>
    <w:basedOn w:val="1"/>
    <w:unhideWhenUsed/>
    <w:qFormat/>
    <w:uiPriority w:val="99"/>
    <w:pPr>
      <w:snapToGrid w:val="0"/>
    </w:pPr>
    <w:rPr>
      <w:rFonts w:asciiTheme="majorHAnsi" w:hAnsiTheme="majorHAnsi" w:eastAsiaTheme="majorEastAsia" w:cstheme="majorBidi"/>
    </w:rPr>
  </w:style>
  <w:style w:type="paragraph" w:styleId="58">
    <w:name w:val="header"/>
    <w:basedOn w:val="1"/>
    <w:link w:val="106"/>
    <w:unhideWhenUsed/>
    <w:qFormat/>
    <w:uiPriority w:val="99"/>
    <w:pPr>
      <w:pBdr>
        <w:bottom w:val="single" w:color="auto" w:sz="6" w:space="1"/>
      </w:pBdr>
      <w:tabs>
        <w:tab w:val="center" w:pos="4153"/>
        <w:tab w:val="right" w:pos="8306"/>
      </w:tabs>
      <w:snapToGrid w:val="0"/>
      <w:jc w:val="center"/>
    </w:pPr>
    <w:rPr>
      <w:sz w:val="18"/>
      <w:szCs w:val="18"/>
    </w:rPr>
  </w:style>
  <w:style w:type="paragraph" w:styleId="59">
    <w:name w:val="Signature"/>
    <w:basedOn w:val="1"/>
    <w:link w:val="169"/>
    <w:unhideWhenUsed/>
    <w:qFormat/>
    <w:uiPriority w:val="99"/>
    <w:pPr>
      <w:ind w:left="100" w:leftChars="2100"/>
    </w:pPr>
  </w:style>
  <w:style w:type="paragraph" w:styleId="60">
    <w:name w:val="toc 1"/>
    <w:basedOn w:val="1"/>
    <w:next w:val="1"/>
    <w:unhideWhenUsed/>
    <w:qFormat/>
    <w:uiPriority w:val="39"/>
    <w:pPr>
      <w:tabs>
        <w:tab w:val="right" w:leader="dot" w:pos="8296"/>
      </w:tabs>
      <w:spacing w:line="312" w:lineRule="auto"/>
    </w:pPr>
    <w:rPr>
      <w:rFonts w:ascii="华文中宋" w:hAnsi="华文中宋" w:eastAsia="华文宋体"/>
      <w:b/>
      <w:sz w:val="30"/>
      <w:szCs w:val="24"/>
    </w:rPr>
  </w:style>
  <w:style w:type="paragraph" w:styleId="61">
    <w:name w:val="List Continue 4"/>
    <w:basedOn w:val="1"/>
    <w:unhideWhenUsed/>
    <w:qFormat/>
    <w:uiPriority w:val="99"/>
    <w:pPr>
      <w:spacing w:after="120"/>
      <w:ind w:left="1680" w:leftChars="800"/>
      <w:contextualSpacing/>
    </w:pPr>
  </w:style>
  <w:style w:type="paragraph" w:styleId="62">
    <w:name w:val="toc 4"/>
    <w:basedOn w:val="1"/>
    <w:next w:val="1"/>
    <w:unhideWhenUsed/>
    <w:qFormat/>
    <w:uiPriority w:val="39"/>
    <w:pPr>
      <w:spacing w:line="400" w:lineRule="exact"/>
      <w:ind w:left="300" w:leftChars="300"/>
    </w:pPr>
    <w:rPr>
      <w:rFonts w:eastAsia="华文宋体"/>
    </w:rPr>
  </w:style>
  <w:style w:type="paragraph" w:styleId="63">
    <w:name w:val="index heading"/>
    <w:basedOn w:val="1"/>
    <w:next w:val="64"/>
    <w:unhideWhenUsed/>
    <w:qFormat/>
    <w:uiPriority w:val="99"/>
    <w:rPr>
      <w:rFonts w:asciiTheme="majorHAnsi" w:hAnsiTheme="majorHAnsi" w:eastAsiaTheme="majorEastAsia" w:cstheme="majorBidi"/>
      <w:b/>
      <w:bCs/>
    </w:rPr>
  </w:style>
  <w:style w:type="paragraph" w:styleId="64">
    <w:name w:val="index 1"/>
    <w:basedOn w:val="1"/>
    <w:next w:val="1"/>
    <w:unhideWhenUsed/>
    <w:qFormat/>
    <w:uiPriority w:val="99"/>
  </w:style>
  <w:style w:type="paragraph" w:styleId="65">
    <w:name w:val="Subtitle"/>
    <w:basedOn w:val="1"/>
    <w:next w:val="1"/>
    <w:link w:val="162"/>
    <w:qFormat/>
    <w:uiPriority w:val="11"/>
    <w:pPr>
      <w:spacing w:before="240" w:after="60" w:line="312" w:lineRule="auto"/>
      <w:jc w:val="center"/>
      <w:outlineLvl w:val="1"/>
    </w:pPr>
    <w:rPr>
      <w:b/>
      <w:bCs/>
      <w:kern w:val="28"/>
      <w:sz w:val="32"/>
      <w:szCs w:val="32"/>
    </w:rPr>
  </w:style>
  <w:style w:type="paragraph" w:styleId="66">
    <w:name w:val="List Number 5"/>
    <w:basedOn w:val="1"/>
    <w:unhideWhenUsed/>
    <w:qFormat/>
    <w:uiPriority w:val="99"/>
    <w:pPr>
      <w:numPr>
        <w:ilvl w:val="0"/>
        <w:numId w:val="14"/>
      </w:numPr>
      <w:contextualSpacing/>
    </w:pPr>
  </w:style>
  <w:style w:type="paragraph" w:styleId="67">
    <w:name w:val="List"/>
    <w:basedOn w:val="1"/>
    <w:unhideWhenUsed/>
    <w:qFormat/>
    <w:uiPriority w:val="99"/>
    <w:pPr>
      <w:ind w:left="200" w:hanging="200" w:hangingChars="200"/>
      <w:contextualSpacing/>
    </w:pPr>
  </w:style>
  <w:style w:type="paragraph" w:styleId="68">
    <w:name w:val="footnote text"/>
    <w:basedOn w:val="1"/>
    <w:link w:val="145"/>
    <w:unhideWhenUsed/>
    <w:qFormat/>
    <w:uiPriority w:val="99"/>
    <w:pPr>
      <w:snapToGrid w:val="0"/>
      <w:jc w:val="left"/>
    </w:pPr>
    <w:rPr>
      <w:sz w:val="18"/>
      <w:szCs w:val="18"/>
    </w:rPr>
  </w:style>
  <w:style w:type="paragraph" w:styleId="69">
    <w:name w:val="toc 6"/>
    <w:basedOn w:val="1"/>
    <w:next w:val="1"/>
    <w:unhideWhenUsed/>
    <w:qFormat/>
    <w:uiPriority w:val="39"/>
    <w:pPr>
      <w:ind w:left="2100" w:leftChars="1000"/>
    </w:pPr>
  </w:style>
  <w:style w:type="paragraph" w:styleId="70">
    <w:name w:val="List 5"/>
    <w:basedOn w:val="1"/>
    <w:unhideWhenUsed/>
    <w:qFormat/>
    <w:uiPriority w:val="99"/>
    <w:pPr>
      <w:ind w:left="100" w:leftChars="800" w:hanging="200" w:hangingChars="200"/>
      <w:contextualSpacing/>
    </w:pPr>
  </w:style>
  <w:style w:type="paragraph" w:styleId="71">
    <w:name w:val="Body Text Indent 3"/>
    <w:basedOn w:val="1"/>
    <w:link w:val="185"/>
    <w:unhideWhenUsed/>
    <w:qFormat/>
    <w:uiPriority w:val="99"/>
    <w:pPr>
      <w:spacing w:after="120"/>
      <w:ind w:left="420" w:leftChars="200"/>
    </w:pPr>
    <w:rPr>
      <w:sz w:val="16"/>
      <w:szCs w:val="16"/>
    </w:rPr>
  </w:style>
  <w:style w:type="paragraph" w:styleId="72">
    <w:name w:val="index 7"/>
    <w:basedOn w:val="1"/>
    <w:next w:val="1"/>
    <w:unhideWhenUsed/>
    <w:qFormat/>
    <w:uiPriority w:val="99"/>
    <w:pPr>
      <w:ind w:left="1200" w:leftChars="1200"/>
    </w:pPr>
  </w:style>
  <w:style w:type="paragraph" w:styleId="73">
    <w:name w:val="index 9"/>
    <w:basedOn w:val="1"/>
    <w:next w:val="1"/>
    <w:unhideWhenUsed/>
    <w:qFormat/>
    <w:uiPriority w:val="99"/>
    <w:pPr>
      <w:ind w:left="1600" w:leftChars="1600"/>
    </w:pPr>
  </w:style>
  <w:style w:type="paragraph" w:styleId="74">
    <w:name w:val="table of figures"/>
    <w:basedOn w:val="1"/>
    <w:next w:val="1"/>
    <w:unhideWhenUsed/>
    <w:qFormat/>
    <w:uiPriority w:val="99"/>
    <w:pPr>
      <w:ind w:left="200" w:leftChars="200" w:hanging="200" w:hangingChars="200"/>
    </w:pPr>
  </w:style>
  <w:style w:type="paragraph" w:styleId="75">
    <w:name w:val="toc 2"/>
    <w:basedOn w:val="1"/>
    <w:next w:val="1"/>
    <w:unhideWhenUsed/>
    <w:qFormat/>
    <w:uiPriority w:val="39"/>
    <w:pPr>
      <w:spacing w:line="400" w:lineRule="exact"/>
      <w:ind w:left="200" w:leftChars="200"/>
    </w:pPr>
    <w:rPr>
      <w:rFonts w:eastAsia="华文宋体"/>
      <w:sz w:val="24"/>
    </w:rPr>
  </w:style>
  <w:style w:type="paragraph" w:styleId="76">
    <w:name w:val="toc 9"/>
    <w:basedOn w:val="1"/>
    <w:next w:val="1"/>
    <w:unhideWhenUsed/>
    <w:qFormat/>
    <w:uiPriority w:val="39"/>
    <w:pPr>
      <w:ind w:left="3360" w:leftChars="1600"/>
    </w:pPr>
  </w:style>
  <w:style w:type="paragraph" w:styleId="77">
    <w:name w:val="Body Text 2"/>
    <w:basedOn w:val="1"/>
    <w:link w:val="182"/>
    <w:unhideWhenUsed/>
    <w:qFormat/>
    <w:uiPriority w:val="99"/>
    <w:pPr>
      <w:spacing w:after="120" w:line="480" w:lineRule="auto"/>
    </w:pPr>
  </w:style>
  <w:style w:type="paragraph" w:styleId="78">
    <w:name w:val="List 4"/>
    <w:basedOn w:val="1"/>
    <w:unhideWhenUsed/>
    <w:qFormat/>
    <w:uiPriority w:val="99"/>
    <w:pPr>
      <w:ind w:left="100" w:leftChars="600" w:hanging="200" w:hangingChars="200"/>
      <w:contextualSpacing/>
    </w:pPr>
  </w:style>
  <w:style w:type="paragraph" w:styleId="79">
    <w:name w:val="List Continue 2"/>
    <w:basedOn w:val="1"/>
    <w:unhideWhenUsed/>
    <w:qFormat/>
    <w:uiPriority w:val="99"/>
    <w:pPr>
      <w:spacing w:after="120"/>
      <w:ind w:left="840" w:leftChars="400"/>
      <w:contextualSpacing/>
    </w:pPr>
  </w:style>
  <w:style w:type="paragraph" w:styleId="80">
    <w:name w:val="Message Header"/>
    <w:basedOn w:val="5"/>
    <w:link w:val="175"/>
    <w:unhideWhenUsed/>
    <w:qFormat/>
    <w:uiPriority w:val="99"/>
    <w:pPr>
      <w:pageBreakBefore w:val="0"/>
      <w:numPr>
        <w:numId w:val="15"/>
      </w:numPr>
      <w:adjustRightInd w:val="0"/>
      <w:snapToGrid w:val="0"/>
      <w:spacing w:before="312" w:beforeLines="100" w:after="312" w:afterLines="100"/>
    </w:pPr>
    <w:rPr>
      <w:rFonts w:ascii="方正小标宋简体" w:eastAsia="方正小标宋简体" w:cs="宋体"/>
      <w:b w:val="0"/>
      <w:bCs w:val="0"/>
      <w:sz w:val="40"/>
      <w:szCs w:val="40"/>
    </w:rPr>
  </w:style>
  <w:style w:type="paragraph" w:styleId="81">
    <w:name w:val="HTML Preformatted"/>
    <w:basedOn w:val="1"/>
    <w:link w:val="151"/>
    <w:unhideWhenUsed/>
    <w:qFormat/>
    <w:uiPriority w:val="99"/>
    <w:rPr>
      <w:rFonts w:ascii="Courier New" w:hAnsi="Courier New" w:cs="Courier New"/>
      <w:sz w:val="20"/>
      <w:szCs w:val="20"/>
    </w:rPr>
  </w:style>
  <w:style w:type="paragraph" w:styleId="8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3">
    <w:name w:val="List Continue 3"/>
    <w:basedOn w:val="1"/>
    <w:unhideWhenUsed/>
    <w:qFormat/>
    <w:uiPriority w:val="99"/>
    <w:pPr>
      <w:spacing w:after="120"/>
      <w:ind w:left="1260" w:leftChars="600"/>
      <w:contextualSpacing/>
    </w:pPr>
  </w:style>
  <w:style w:type="paragraph" w:styleId="84">
    <w:name w:val="index 2"/>
    <w:basedOn w:val="1"/>
    <w:next w:val="1"/>
    <w:unhideWhenUsed/>
    <w:qFormat/>
    <w:uiPriority w:val="99"/>
    <w:pPr>
      <w:ind w:left="200" w:leftChars="200"/>
    </w:pPr>
  </w:style>
  <w:style w:type="paragraph" w:styleId="85">
    <w:name w:val="Title"/>
    <w:basedOn w:val="1"/>
    <w:next w:val="1"/>
    <w:link w:val="152"/>
    <w:qFormat/>
    <w:uiPriority w:val="10"/>
    <w:pPr>
      <w:spacing w:before="240" w:after="60"/>
      <w:jc w:val="center"/>
      <w:outlineLvl w:val="0"/>
    </w:pPr>
    <w:rPr>
      <w:rFonts w:asciiTheme="majorHAnsi" w:hAnsiTheme="majorHAnsi" w:eastAsiaTheme="majorEastAsia" w:cstheme="majorBidi"/>
      <w:b/>
      <w:bCs/>
      <w:sz w:val="32"/>
      <w:szCs w:val="32"/>
    </w:rPr>
  </w:style>
  <w:style w:type="paragraph" w:styleId="86">
    <w:name w:val="annotation subject"/>
    <w:basedOn w:val="30"/>
    <w:next w:val="30"/>
    <w:link w:val="168"/>
    <w:unhideWhenUsed/>
    <w:qFormat/>
    <w:uiPriority w:val="99"/>
    <w:rPr>
      <w:b/>
      <w:bCs/>
    </w:rPr>
  </w:style>
  <w:style w:type="paragraph" w:styleId="87">
    <w:name w:val="Body Text First Indent"/>
    <w:basedOn w:val="2"/>
    <w:link w:val="179"/>
    <w:unhideWhenUsed/>
    <w:qFormat/>
    <w:uiPriority w:val="99"/>
    <w:pPr>
      <w:ind w:firstLine="420" w:firstLineChars="100"/>
    </w:pPr>
  </w:style>
  <w:style w:type="paragraph" w:styleId="88">
    <w:name w:val="Body Text First Indent 2"/>
    <w:basedOn w:val="36"/>
    <w:link w:val="181"/>
    <w:unhideWhenUsed/>
    <w:qFormat/>
    <w:uiPriority w:val="99"/>
    <w:pPr>
      <w:ind w:firstLine="420" w:firstLineChars="20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Strong"/>
    <w:basedOn w:val="91"/>
    <w:qFormat/>
    <w:uiPriority w:val="22"/>
    <w:rPr>
      <w:b/>
      <w:bCs/>
    </w:rPr>
  </w:style>
  <w:style w:type="character" w:styleId="93">
    <w:name w:val="FollowedHyperlink"/>
    <w:basedOn w:val="91"/>
    <w:unhideWhenUsed/>
    <w:qFormat/>
    <w:uiPriority w:val="99"/>
    <w:rPr>
      <w:color w:val="954F72"/>
      <w:u w:val="single"/>
    </w:rPr>
  </w:style>
  <w:style w:type="character" w:styleId="94">
    <w:name w:val="Hyperlink"/>
    <w:basedOn w:val="91"/>
    <w:unhideWhenUsed/>
    <w:qFormat/>
    <w:uiPriority w:val="99"/>
    <w:rPr>
      <w:color w:val="0000FF" w:themeColor="hyperlink"/>
      <w:u w:val="single"/>
      <w14:textFill>
        <w14:solidFill>
          <w14:schemeClr w14:val="hlink"/>
        </w14:solidFill>
      </w14:textFill>
    </w:rPr>
  </w:style>
  <w:style w:type="character" w:styleId="95">
    <w:name w:val="annotation reference"/>
    <w:basedOn w:val="91"/>
    <w:unhideWhenUsed/>
    <w:qFormat/>
    <w:uiPriority w:val="99"/>
    <w:rPr>
      <w:sz w:val="21"/>
      <w:szCs w:val="21"/>
    </w:rPr>
  </w:style>
  <w:style w:type="character" w:styleId="96">
    <w:name w:val="footnote reference"/>
    <w:basedOn w:val="91"/>
    <w:unhideWhenUsed/>
    <w:qFormat/>
    <w:uiPriority w:val="99"/>
    <w:rPr>
      <w:vertAlign w:val="superscript"/>
    </w:rPr>
  </w:style>
  <w:style w:type="character" w:customStyle="1" w:styleId="97">
    <w:name w:val="标题 2 字符"/>
    <w:basedOn w:val="91"/>
    <w:link w:val="6"/>
    <w:qFormat/>
    <w:uiPriority w:val="9"/>
    <w:rPr>
      <w:rFonts w:ascii="黑体" w:hAnsi="黑体" w:eastAsia="等线"/>
      <w:b/>
      <w:kern w:val="2"/>
      <w:sz w:val="36"/>
      <w:szCs w:val="32"/>
    </w:rPr>
  </w:style>
  <w:style w:type="character" w:customStyle="1" w:styleId="98">
    <w:name w:val="标题 3 字符"/>
    <w:basedOn w:val="91"/>
    <w:link w:val="7"/>
    <w:qFormat/>
    <w:uiPriority w:val="9"/>
    <w:rPr>
      <w:b/>
      <w:bCs/>
      <w:kern w:val="2"/>
      <w:sz w:val="32"/>
      <w:szCs w:val="32"/>
    </w:rPr>
  </w:style>
  <w:style w:type="paragraph" w:customStyle="1" w:styleId="99">
    <w:name w:val="列表段落1"/>
    <w:basedOn w:val="1"/>
    <w:link w:val="188"/>
    <w:qFormat/>
    <w:uiPriority w:val="34"/>
    <w:pPr>
      <w:ind w:firstLine="420" w:firstLineChars="200"/>
    </w:pPr>
  </w:style>
  <w:style w:type="character" w:customStyle="1" w:styleId="100">
    <w:name w:val="标题 1 字符"/>
    <w:basedOn w:val="91"/>
    <w:link w:val="5"/>
    <w:qFormat/>
    <w:uiPriority w:val="9"/>
    <w:rPr>
      <w:rFonts w:eastAsia="黑体" w:asciiTheme="minorHAnsi" w:hAnsiTheme="minorHAnsi" w:cstheme="minorBidi"/>
      <w:b/>
      <w:bCs/>
      <w:kern w:val="44"/>
      <w:sz w:val="44"/>
      <w:szCs w:val="44"/>
    </w:rPr>
  </w:style>
  <w:style w:type="character" w:customStyle="1" w:styleId="101">
    <w:name w:val="海口标2 Char"/>
    <w:link w:val="102"/>
    <w:qFormat/>
    <w:uiPriority w:val="0"/>
    <w:rPr>
      <w:rFonts w:ascii="Arial" w:hAnsi="Arial" w:eastAsia="华文中宋" w:cstheme="minorBidi"/>
      <w:b/>
      <w:bCs/>
      <w:kern w:val="44"/>
      <w:sz w:val="28"/>
      <w:szCs w:val="30"/>
    </w:rPr>
  </w:style>
  <w:style w:type="paragraph" w:customStyle="1" w:styleId="102">
    <w:name w:val="海口标2"/>
    <w:basedOn w:val="5"/>
    <w:next w:val="5"/>
    <w:link w:val="101"/>
    <w:qFormat/>
    <w:uiPriority w:val="0"/>
    <w:pPr>
      <w:numPr>
        <w:ilvl w:val="1"/>
        <w:numId w:val="16"/>
      </w:numPr>
      <w:tabs>
        <w:tab w:val="left" w:pos="1441"/>
        <w:tab w:val="left" w:pos="1800"/>
      </w:tabs>
      <w:snapToGrid w:val="0"/>
      <w:spacing w:before="249" w:beforeLines="80" w:line="240" w:lineRule="auto"/>
      <w:jc w:val="left"/>
      <w:outlineLvl w:val="1"/>
    </w:pPr>
    <w:rPr>
      <w:rFonts w:ascii="Arial" w:hAnsi="Arial" w:eastAsia="华文中宋"/>
      <w:sz w:val="28"/>
      <w:szCs w:val="30"/>
    </w:rPr>
  </w:style>
  <w:style w:type="character" w:customStyle="1" w:styleId="103">
    <w:name w:val="批注框文本 字符"/>
    <w:basedOn w:val="91"/>
    <w:link w:val="55"/>
    <w:semiHidden/>
    <w:qFormat/>
    <w:uiPriority w:val="99"/>
    <w:rPr>
      <w:sz w:val="18"/>
      <w:szCs w:val="18"/>
    </w:rPr>
  </w:style>
  <w:style w:type="paragraph" w:customStyle="1" w:styleId="104">
    <w:name w:val="表格"/>
    <w:basedOn w:val="1"/>
    <w:link w:val="203"/>
    <w:qFormat/>
    <w:uiPriority w:val="0"/>
    <w:pPr>
      <w:widowControl/>
      <w:overflowPunct w:val="0"/>
      <w:topLinePunct/>
      <w:autoSpaceDE w:val="0"/>
      <w:autoSpaceDN w:val="0"/>
      <w:adjustRightInd w:val="0"/>
      <w:jc w:val="left"/>
      <w:textAlignment w:val="baseline"/>
    </w:pPr>
    <w:rPr>
      <w:rFonts w:ascii="ˎ̥" w:hAnsi="ˎ̥" w:eastAsia="仿宋" w:cs="幼圆"/>
      <w:bCs/>
      <w:color w:val="333333"/>
      <w:szCs w:val="24"/>
    </w:rPr>
  </w:style>
  <w:style w:type="paragraph" w:customStyle="1" w:styleId="105">
    <w:name w:val="1表头"/>
    <w:basedOn w:val="1"/>
    <w:qFormat/>
    <w:uiPriority w:val="0"/>
    <w:pPr>
      <w:keepNext/>
      <w:widowControl/>
      <w:overflowPunct w:val="0"/>
      <w:topLinePunct/>
      <w:autoSpaceDE w:val="0"/>
      <w:autoSpaceDN w:val="0"/>
      <w:jc w:val="center"/>
      <w:textAlignment w:val="baseline"/>
    </w:pPr>
    <w:rPr>
      <w:rFonts w:ascii="ˎ̥" w:hAnsi="ˎ̥" w:eastAsia="华文仿宋" w:cs="幼圆"/>
      <w:color w:val="333333"/>
      <w:sz w:val="24"/>
      <w:szCs w:val="24"/>
    </w:rPr>
  </w:style>
  <w:style w:type="character" w:customStyle="1" w:styleId="106">
    <w:name w:val="页眉 字符"/>
    <w:basedOn w:val="91"/>
    <w:link w:val="58"/>
    <w:qFormat/>
    <w:uiPriority w:val="99"/>
    <w:rPr>
      <w:sz w:val="18"/>
      <w:szCs w:val="18"/>
    </w:rPr>
  </w:style>
  <w:style w:type="character" w:customStyle="1" w:styleId="107">
    <w:name w:val="页脚 字符"/>
    <w:basedOn w:val="91"/>
    <w:link w:val="56"/>
    <w:qFormat/>
    <w:uiPriority w:val="99"/>
    <w:rPr>
      <w:sz w:val="18"/>
      <w:szCs w:val="18"/>
    </w:rPr>
  </w:style>
  <w:style w:type="paragraph" w:customStyle="1" w:styleId="108">
    <w:name w:val="TOC 标题1"/>
    <w:basedOn w:val="5"/>
    <w:next w:val="1"/>
    <w:unhideWhenUsed/>
    <w:qFormat/>
    <w:uiPriority w:val="39"/>
    <w:pPr>
      <w:spacing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09">
    <w:name w:val="Default"/>
    <w:qFormat/>
    <w:uiPriority w:val="0"/>
    <w:pPr>
      <w:widowControl w:val="0"/>
      <w:autoSpaceDE w:val="0"/>
      <w:autoSpaceDN w:val="0"/>
      <w:adjustRightInd w:val="0"/>
    </w:pPr>
    <w:rPr>
      <w:rFonts w:ascii="幼圆" w:eastAsia="幼圆" w:cs="幼圆" w:hAnsiTheme="minorHAnsi"/>
      <w:color w:val="000000"/>
      <w:sz w:val="24"/>
      <w:szCs w:val="24"/>
      <w:lang w:val="en-US" w:eastAsia="zh-CN" w:bidi="ar-SA"/>
    </w:rPr>
  </w:style>
  <w:style w:type="paragraph" w:customStyle="1" w:styleId="110">
    <w:name w:val="zhengwen"/>
    <w:qFormat/>
    <w:uiPriority w:val="0"/>
    <w:pPr>
      <w:widowControl w:val="0"/>
      <w:spacing w:before="156" w:after="156" w:line="288" w:lineRule="auto"/>
      <w:ind w:left="1470" w:firstLine="480"/>
      <w:jc w:val="both"/>
    </w:pPr>
    <w:rPr>
      <w:rFonts w:hint="eastAsia" w:ascii="Arial Unicode MS" w:hAnsi="Arial Unicode MS" w:eastAsia="Arial Unicode MS" w:cs="Arial Unicode MS"/>
      <w:color w:val="000000"/>
      <w:kern w:val="2"/>
      <w:sz w:val="24"/>
      <w:szCs w:val="24"/>
      <w:u w:color="000000"/>
      <w:lang w:val="en-US" w:eastAsia="zh-CN" w:bidi="ar-SA"/>
    </w:rPr>
  </w:style>
  <w:style w:type="table" w:customStyle="1" w:styleId="111">
    <w:name w:val="Table Normal"/>
    <w:qFormat/>
    <w:uiPriority w:val="0"/>
    <w:tblPr>
      <w:tblCellMar>
        <w:top w:w="0" w:type="dxa"/>
        <w:left w:w="0" w:type="dxa"/>
        <w:bottom w:w="0" w:type="dxa"/>
        <w:right w:w="0" w:type="dxa"/>
      </w:tblCellMar>
    </w:tblPr>
  </w:style>
  <w:style w:type="paragraph" w:customStyle="1" w:styleId="112">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1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华文仿宋" w:hAnsi="华文仿宋" w:eastAsia="华文仿宋" w:cs="宋体"/>
      <w:kern w:val="0"/>
      <w:sz w:val="24"/>
      <w:szCs w:val="24"/>
    </w:rPr>
  </w:style>
  <w:style w:type="paragraph" w:customStyle="1" w:styleId="11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1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华文仿宋" w:hAnsi="华文仿宋" w:eastAsia="华文仿宋" w:cs="宋体"/>
      <w:kern w:val="0"/>
      <w:sz w:val="24"/>
      <w:szCs w:val="24"/>
    </w:rPr>
  </w:style>
  <w:style w:type="paragraph" w:customStyle="1" w:styleId="11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D6DCE4"/>
      <w:spacing w:before="100" w:beforeAutospacing="1" w:after="100" w:afterAutospacing="1"/>
      <w:jc w:val="left"/>
    </w:pPr>
    <w:rPr>
      <w:rFonts w:ascii="华文仿宋" w:hAnsi="华文仿宋" w:eastAsia="华文仿宋" w:cs="宋体"/>
      <w:b/>
      <w:bCs/>
      <w:kern w:val="0"/>
      <w:sz w:val="24"/>
      <w:szCs w:val="24"/>
    </w:rPr>
  </w:style>
  <w:style w:type="paragraph" w:customStyle="1" w:styleId="119">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华文仿宋" w:hAnsi="华文仿宋" w:eastAsia="华文仿宋" w:cs="宋体"/>
      <w:kern w:val="0"/>
      <w:sz w:val="24"/>
      <w:szCs w:val="24"/>
    </w:rPr>
  </w:style>
  <w:style w:type="paragraph" w:customStyle="1" w:styleId="120">
    <w:name w:val="xl71"/>
    <w:basedOn w:val="1"/>
    <w:qFormat/>
    <w:uiPriority w:val="0"/>
    <w:pPr>
      <w:widowControl/>
      <w:pBdr>
        <w:top w:val="single" w:color="auto" w:sz="4" w:space="0"/>
        <w:bottom w:val="single" w:color="auto" w:sz="4" w:space="0"/>
        <w:right w:val="single" w:color="auto" w:sz="4" w:space="0"/>
      </w:pBdr>
      <w:shd w:val="clear" w:color="000000" w:fill="D6DCE4"/>
      <w:spacing w:before="100" w:beforeAutospacing="1" w:after="100" w:afterAutospacing="1"/>
      <w:jc w:val="center"/>
    </w:pPr>
    <w:rPr>
      <w:rFonts w:ascii="华文仿宋" w:hAnsi="华文仿宋" w:eastAsia="华文仿宋" w:cs="宋体"/>
      <w:b/>
      <w:bCs/>
      <w:kern w:val="0"/>
      <w:sz w:val="24"/>
      <w:szCs w:val="24"/>
    </w:rPr>
  </w:style>
  <w:style w:type="paragraph" w:customStyle="1" w:styleId="121">
    <w:name w:val="xl72"/>
    <w:basedOn w:val="1"/>
    <w:qFormat/>
    <w:uiPriority w:val="0"/>
    <w:pPr>
      <w:widowControl/>
      <w:spacing w:before="100" w:beforeAutospacing="1" w:after="100" w:afterAutospacing="1"/>
      <w:jc w:val="left"/>
    </w:pPr>
    <w:rPr>
      <w:rFonts w:ascii="仿宋" w:hAnsi="仿宋" w:eastAsia="仿宋" w:cs="宋体"/>
      <w:color w:val="000000"/>
      <w:kern w:val="0"/>
      <w:sz w:val="24"/>
      <w:szCs w:val="24"/>
    </w:rPr>
  </w:style>
  <w:style w:type="paragraph" w:customStyle="1" w:styleId="122">
    <w:name w:val="xl73"/>
    <w:basedOn w:val="1"/>
    <w:qFormat/>
    <w:uiPriority w:val="0"/>
    <w:pPr>
      <w:widowControl/>
      <w:spacing w:before="100" w:beforeAutospacing="1" w:after="100" w:afterAutospacing="1"/>
      <w:jc w:val="left"/>
    </w:pPr>
    <w:rPr>
      <w:rFonts w:ascii="仿宋" w:hAnsi="仿宋" w:eastAsia="仿宋" w:cs="宋体"/>
      <w:color w:val="000000"/>
      <w:kern w:val="0"/>
      <w:sz w:val="24"/>
      <w:szCs w:val="24"/>
    </w:rPr>
  </w:style>
  <w:style w:type="paragraph" w:customStyle="1" w:styleId="123">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4">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5">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26">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7">
    <w:name w:val="xl78"/>
    <w:basedOn w:val="1"/>
    <w:qFormat/>
    <w:uiPriority w:val="0"/>
    <w:pPr>
      <w:widowControl/>
      <w:pBdr>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8">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9">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0">
    <w:name w:val="xl81"/>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1">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2">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3">
    <w:name w:val="xl84"/>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4">
    <w:name w:val="xl85"/>
    <w:basedOn w:val="1"/>
    <w:qFormat/>
    <w:uiPriority w:val="0"/>
    <w:pPr>
      <w:widowControl/>
      <w:pBdr>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35">
    <w:name w:val="xl86"/>
    <w:basedOn w:val="1"/>
    <w:qFormat/>
    <w:uiPriority w:val="0"/>
    <w:pPr>
      <w:widowControl/>
      <w:pBdr>
        <w:top w:val="single" w:color="auto" w:sz="4" w:space="0"/>
        <w:left w:val="single" w:color="auto" w:sz="4" w:space="0"/>
        <w:bottom w:val="single" w:color="auto" w:sz="4" w:space="0"/>
      </w:pBdr>
      <w:shd w:val="clear" w:color="000000" w:fill="D6DCE4"/>
      <w:spacing w:before="100" w:beforeAutospacing="1" w:after="100" w:afterAutospacing="1"/>
      <w:jc w:val="center"/>
    </w:pPr>
    <w:rPr>
      <w:rFonts w:ascii="华文仿宋" w:hAnsi="华文仿宋" w:eastAsia="华文仿宋" w:cs="宋体"/>
      <w:b/>
      <w:bCs/>
      <w:kern w:val="0"/>
      <w:sz w:val="24"/>
      <w:szCs w:val="24"/>
    </w:rPr>
  </w:style>
  <w:style w:type="paragraph" w:customStyle="1" w:styleId="136">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7">
    <w:name w:val="xl8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8">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9">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40">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41">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42">
    <w:name w:val="TOC 标题2"/>
    <w:basedOn w:val="5"/>
    <w:next w:val="1"/>
    <w:unhideWhenUsed/>
    <w:qFormat/>
    <w:uiPriority w:val="39"/>
    <w:pPr>
      <w:outlineLvl w:val="9"/>
    </w:pPr>
  </w:style>
  <w:style w:type="paragraph" w:customStyle="1" w:styleId="143">
    <w:name w:val="条"/>
    <w:basedOn w:val="1"/>
    <w:link w:val="144"/>
    <w:qFormat/>
    <w:uiPriority w:val="0"/>
    <w:rPr>
      <w:rFonts w:ascii="华文仿宋" w:hAnsi="华文仿宋" w:eastAsia="华文仿宋"/>
      <w:b/>
      <w:sz w:val="28"/>
      <w:szCs w:val="32"/>
    </w:rPr>
  </w:style>
  <w:style w:type="character" w:customStyle="1" w:styleId="144">
    <w:name w:val="条 字符"/>
    <w:basedOn w:val="91"/>
    <w:link w:val="143"/>
    <w:qFormat/>
    <w:uiPriority w:val="0"/>
    <w:rPr>
      <w:rFonts w:ascii="华文仿宋" w:hAnsi="华文仿宋" w:eastAsia="华文仿宋"/>
      <w:b/>
      <w:kern w:val="2"/>
      <w:sz w:val="28"/>
      <w:szCs w:val="32"/>
    </w:rPr>
  </w:style>
  <w:style w:type="character" w:customStyle="1" w:styleId="145">
    <w:name w:val="脚注文本 字符"/>
    <w:basedOn w:val="91"/>
    <w:link w:val="68"/>
    <w:semiHidden/>
    <w:qFormat/>
    <w:uiPriority w:val="99"/>
    <w:rPr>
      <w:kern w:val="2"/>
      <w:sz w:val="18"/>
      <w:szCs w:val="18"/>
    </w:rPr>
  </w:style>
  <w:style w:type="paragraph" w:customStyle="1" w:styleId="146">
    <w:name w:val="正文字体"/>
    <w:basedOn w:val="1"/>
    <w:link w:val="148"/>
    <w:qFormat/>
    <w:uiPriority w:val="0"/>
    <w:pPr>
      <w:spacing w:line="300" w:lineRule="auto"/>
      <w:ind w:firstLine="454"/>
    </w:pPr>
    <w:rPr>
      <w:rFonts w:ascii="华文仿宋" w:hAnsi="华文仿宋" w:eastAsia="华文仿宋" w:cs="仿宋_GB2312"/>
      <w:sz w:val="24"/>
      <w:szCs w:val="24"/>
      <w:lang w:val="zh-TW" w:eastAsia="zh-TW"/>
    </w:rPr>
  </w:style>
  <w:style w:type="paragraph" w:customStyle="1" w:styleId="147">
    <w:name w:val="1表格3"/>
    <w:basedOn w:val="1"/>
    <w:qFormat/>
    <w:uiPriority w:val="0"/>
    <w:pPr>
      <w:widowControl/>
      <w:overflowPunct w:val="0"/>
      <w:topLinePunct/>
      <w:autoSpaceDE w:val="0"/>
      <w:autoSpaceDN w:val="0"/>
      <w:adjustRightInd w:val="0"/>
      <w:spacing w:before="163" w:after="93" w:afterLines="30"/>
      <w:jc w:val="center"/>
      <w:textAlignment w:val="baseline"/>
    </w:pPr>
    <w:rPr>
      <w:rFonts w:ascii="ˎ̥" w:hAnsi="ˎ̥" w:eastAsia="幼圆" w:cs="幼圆"/>
      <w:bCs/>
      <w:color w:val="333333"/>
      <w:szCs w:val="24"/>
    </w:rPr>
  </w:style>
  <w:style w:type="character" w:customStyle="1" w:styleId="148">
    <w:name w:val="正文字体 字符"/>
    <w:basedOn w:val="91"/>
    <w:link w:val="146"/>
    <w:qFormat/>
    <w:uiPriority w:val="0"/>
    <w:rPr>
      <w:rFonts w:ascii="华文仿宋" w:hAnsi="华文仿宋" w:eastAsia="华文仿宋" w:cs="仿宋_GB2312"/>
      <w:kern w:val="2"/>
      <w:sz w:val="24"/>
      <w:szCs w:val="24"/>
      <w:lang w:val="zh-TW" w:eastAsia="zh-TW"/>
    </w:rPr>
  </w:style>
  <w:style w:type="paragraph" w:customStyle="1" w:styleId="149">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50">
    <w:name w:val="HTML 地址 字符"/>
    <w:basedOn w:val="91"/>
    <w:link w:val="42"/>
    <w:semiHidden/>
    <w:qFormat/>
    <w:uiPriority w:val="99"/>
    <w:rPr>
      <w:i/>
      <w:iCs/>
      <w:kern w:val="2"/>
      <w:sz w:val="21"/>
      <w:szCs w:val="22"/>
    </w:rPr>
  </w:style>
  <w:style w:type="character" w:customStyle="1" w:styleId="151">
    <w:name w:val="HTML 预设格式 字符"/>
    <w:basedOn w:val="91"/>
    <w:link w:val="81"/>
    <w:semiHidden/>
    <w:qFormat/>
    <w:uiPriority w:val="99"/>
    <w:rPr>
      <w:rFonts w:ascii="Courier New" w:hAnsi="Courier New" w:cs="Courier New"/>
      <w:kern w:val="2"/>
    </w:rPr>
  </w:style>
  <w:style w:type="character" w:customStyle="1" w:styleId="152">
    <w:name w:val="标题 字符"/>
    <w:basedOn w:val="91"/>
    <w:link w:val="85"/>
    <w:qFormat/>
    <w:uiPriority w:val="10"/>
    <w:rPr>
      <w:rFonts w:asciiTheme="majorHAnsi" w:hAnsiTheme="majorHAnsi" w:eastAsiaTheme="majorEastAsia" w:cstheme="majorBidi"/>
      <w:b/>
      <w:bCs/>
      <w:kern w:val="2"/>
      <w:sz w:val="32"/>
      <w:szCs w:val="32"/>
    </w:rPr>
  </w:style>
  <w:style w:type="character" w:customStyle="1" w:styleId="153">
    <w:name w:val="标题 4 字符"/>
    <w:basedOn w:val="91"/>
    <w:link w:val="8"/>
    <w:qFormat/>
    <w:uiPriority w:val="9"/>
    <w:rPr>
      <w:rFonts w:asciiTheme="majorHAnsi" w:hAnsiTheme="majorHAnsi" w:cstheme="majorBidi"/>
      <w:b/>
      <w:bCs/>
      <w:kern w:val="2"/>
      <w:sz w:val="30"/>
      <w:szCs w:val="28"/>
    </w:rPr>
  </w:style>
  <w:style w:type="character" w:customStyle="1" w:styleId="154">
    <w:name w:val="标题 5 字符"/>
    <w:basedOn w:val="91"/>
    <w:link w:val="9"/>
    <w:qFormat/>
    <w:uiPriority w:val="9"/>
    <w:rPr>
      <w:rFonts w:asciiTheme="minorHAnsi" w:hAnsiTheme="minorHAnsi" w:eastAsiaTheme="minorEastAsia" w:cstheme="minorBidi"/>
      <w:b/>
      <w:bCs/>
      <w:kern w:val="2"/>
      <w:sz w:val="30"/>
      <w:szCs w:val="28"/>
    </w:rPr>
  </w:style>
  <w:style w:type="character" w:customStyle="1" w:styleId="155">
    <w:name w:val="标题 6 字符"/>
    <w:basedOn w:val="91"/>
    <w:link w:val="10"/>
    <w:semiHidden/>
    <w:qFormat/>
    <w:uiPriority w:val="9"/>
    <w:rPr>
      <w:rFonts w:asciiTheme="majorHAnsi" w:hAnsiTheme="majorHAnsi" w:eastAsiaTheme="majorEastAsia" w:cstheme="majorBidi"/>
      <w:b/>
      <w:bCs/>
      <w:kern w:val="2"/>
      <w:sz w:val="24"/>
      <w:szCs w:val="24"/>
    </w:rPr>
  </w:style>
  <w:style w:type="character" w:customStyle="1" w:styleId="156">
    <w:name w:val="标题 7 字符"/>
    <w:basedOn w:val="91"/>
    <w:link w:val="11"/>
    <w:semiHidden/>
    <w:qFormat/>
    <w:uiPriority w:val="9"/>
    <w:rPr>
      <w:b/>
      <w:bCs/>
      <w:kern w:val="2"/>
      <w:sz w:val="24"/>
      <w:szCs w:val="24"/>
    </w:rPr>
  </w:style>
  <w:style w:type="character" w:customStyle="1" w:styleId="157">
    <w:name w:val="标题 8 字符"/>
    <w:basedOn w:val="91"/>
    <w:link w:val="12"/>
    <w:semiHidden/>
    <w:qFormat/>
    <w:uiPriority w:val="9"/>
    <w:rPr>
      <w:rFonts w:asciiTheme="majorHAnsi" w:hAnsiTheme="majorHAnsi" w:eastAsiaTheme="majorEastAsia" w:cstheme="majorBidi"/>
      <w:kern w:val="2"/>
      <w:sz w:val="24"/>
      <w:szCs w:val="24"/>
    </w:rPr>
  </w:style>
  <w:style w:type="character" w:customStyle="1" w:styleId="158">
    <w:name w:val="标题 9 字符"/>
    <w:basedOn w:val="91"/>
    <w:link w:val="13"/>
    <w:semiHidden/>
    <w:qFormat/>
    <w:uiPriority w:val="9"/>
    <w:rPr>
      <w:rFonts w:asciiTheme="majorHAnsi" w:hAnsiTheme="majorHAnsi" w:eastAsiaTheme="majorEastAsia" w:cstheme="majorBidi"/>
      <w:kern w:val="2"/>
      <w:sz w:val="21"/>
      <w:szCs w:val="21"/>
    </w:rPr>
  </w:style>
  <w:style w:type="character" w:customStyle="1" w:styleId="159">
    <w:name w:val="称呼 字符"/>
    <w:basedOn w:val="91"/>
    <w:link w:val="32"/>
    <w:semiHidden/>
    <w:qFormat/>
    <w:uiPriority w:val="99"/>
    <w:rPr>
      <w:kern w:val="2"/>
      <w:sz w:val="21"/>
      <w:szCs w:val="22"/>
    </w:rPr>
  </w:style>
  <w:style w:type="character" w:customStyle="1" w:styleId="160">
    <w:name w:val="纯文本 字符"/>
    <w:basedOn w:val="91"/>
    <w:link w:val="46"/>
    <w:semiHidden/>
    <w:qFormat/>
    <w:uiPriority w:val="99"/>
    <w:rPr>
      <w:rFonts w:hAnsi="Courier New" w:cs="Courier New" w:asciiTheme="minorEastAsia"/>
      <w:kern w:val="2"/>
      <w:sz w:val="21"/>
      <w:szCs w:val="22"/>
    </w:rPr>
  </w:style>
  <w:style w:type="character" w:customStyle="1" w:styleId="161">
    <w:name w:val="电子邮件签名 字符"/>
    <w:basedOn w:val="91"/>
    <w:link w:val="21"/>
    <w:semiHidden/>
    <w:qFormat/>
    <w:uiPriority w:val="99"/>
    <w:rPr>
      <w:kern w:val="2"/>
      <w:sz w:val="21"/>
      <w:szCs w:val="22"/>
    </w:rPr>
  </w:style>
  <w:style w:type="character" w:customStyle="1" w:styleId="162">
    <w:name w:val="副标题 字符"/>
    <w:basedOn w:val="91"/>
    <w:link w:val="65"/>
    <w:qFormat/>
    <w:uiPriority w:val="11"/>
    <w:rPr>
      <w:b/>
      <w:bCs/>
      <w:kern w:val="28"/>
      <w:sz w:val="32"/>
      <w:szCs w:val="32"/>
    </w:rPr>
  </w:style>
  <w:style w:type="character" w:customStyle="1" w:styleId="163">
    <w:name w:val="宏文本 字符"/>
    <w:basedOn w:val="91"/>
    <w:link w:val="4"/>
    <w:semiHidden/>
    <w:qFormat/>
    <w:uiPriority w:val="99"/>
    <w:rPr>
      <w:rFonts w:ascii="Courier New" w:hAnsi="Courier New" w:eastAsia="宋体" w:cs="Courier New"/>
      <w:kern w:val="2"/>
      <w:sz w:val="24"/>
      <w:szCs w:val="24"/>
    </w:rPr>
  </w:style>
  <w:style w:type="character" w:customStyle="1" w:styleId="164">
    <w:name w:val="结束语 字符"/>
    <w:basedOn w:val="91"/>
    <w:link w:val="34"/>
    <w:semiHidden/>
    <w:qFormat/>
    <w:uiPriority w:val="99"/>
    <w:rPr>
      <w:kern w:val="2"/>
      <w:sz w:val="21"/>
      <w:szCs w:val="22"/>
    </w:rPr>
  </w:style>
  <w:style w:type="paragraph" w:customStyle="1" w:styleId="165">
    <w:name w:val="明显引用1"/>
    <w:basedOn w:val="1"/>
    <w:next w:val="1"/>
    <w:link w:val="166"/>
    <w:qFormat/>
    <w:uiPriority w:val="99"/>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166">
    <w:name w:val="明显引用 字符"/>
    <w:basedOn w:val="91"/>
    <w:link w:val="165"/>
    <w:qFormat/>
    <w:uiPriority w:val="99"/>
    <w:rPr>
      <w:i/>
      <w:iCs/>
      <w:color w:val="4F81BD" w:themeColor="accent1"/>
      <w:kern w:val="2"/>
      <w:sz w:val="21"/>
      <w:szCs w:val="22"/>
      <w14:textFill>
        <w14:solidFill>
          <w14:schemeClr w14:val="accent1"/>
        </w14:solidFill>
      </w14:textFill>
    </w:rPr>
  </w:style>
  <w:style w:type="character" w:customStyle="1" w:styleId="167">
    <w:name w:val="批注文字 字符"/>
    <w:basedOn w:val="91"/>
    <w:link w:val="30"/>
    <w:semiHidden/>
    <w:qFormat/>
    <w:uiPriority w:val="99"/>
    <w:rPr>
      <w:kern w:val="2"/>
      <w:sz w:val="21"/>
      <w:szCs w:val="22"/>
    </w:rPr>
  </w:style>
  <w:style w:type="character" w:customStyle="1" w:styleId="168">
    <w:name w:val="批注主题 字符"/>
    <w:basedOn w:val="167"/>
    <w:link w:val="86"/>
    <w:semiHidden/>
    <w:qFormat/>
    <w:uiPriority w:val="99"/>
    <w:rPr>
      <w:b/>
      <w:bCs/>
      <w:kern w:val="2"/>
      <w:sz w:val="21"/>
      <w:szCs w:val="22"/>
    </w:rPr>
  </w:style>
  <w:style w:type="character" w:customStyle="1" w:styleId="169">
    <w:name w:val="签名 字符"/>
    <w:basedOn w:val="91"/>
    <w:link w:val="59"/>
    <w:semiHidden/>
    <w:qFormat/>
    <w:uiPriority w:val="99"/>
    <w:rPr>
      <w:kern w:val="2"/>
      <w:sz w:val="21"/>
      <w:szCs w:val="22"/>
    </w:rPr>
  </w:style>
  <w:style w:type="character" w:customStyle="1" w:styleId="170">
    <w:name w:val="日期 字符"/>
    <w:basedOn w:val="91"/>
    <w:link w:val="51"/>
    <w:semiHidden/>
    <w:qFormat/>
    <w:uiPriority w:val="99"/>
    <w:rPr>
      <w:kern w:val="2"/>
      <w:sz w:val="21"/>
      <w:szCs w:val="22"/>
    </w:rPr>
  </w:style>
  <w:style w:type="paragraph" w:customStyle="1" w:styleId="171">
    <w:name w:val="书目1"/>
    <w:basedOn w:val="1"/>
    <w:next w:val="1"/>
    <w:unhideWhenUsed/>
    <w:qFormat/>
    <w:uiPriority w:val="37"/>
  </w:style>
  <w:style w:type="character" w:customStyle="1" w:styleId="172">
    <w:name w:val="尾注文本 字符"/>
    <w:basedOn w:val="91"/>
    <w:link w:val="53"/>
    <w:semiHidden/>
    <w:qFormat/>
    <w:uiPriority w:val="99"/>
    <w:rPr>
      <w:kern w:val="2"/>
      <w:sz w:val="21"/>
      <w:szCs w:val="22"/>
    </w:rPr>
  </w:style>
  <w:style w:type="character" w:customStyle="1" w:styleId="173">
    <w:name w:val="文档结构图 字符"/>
    <w:basedOn w:val="91"/>
    <w:link w:val="28"/>
    <w:semiHidden/>
    <w:qFormat/>
    <w:uiPriority w:val="99"/>
    <w:rPr>
      <w:rFonts w:ascii="Microsoft YaHei UI" w:eastAsia="Microsoft YaHei UI"/>
      <w:kern w:val="2"/>
      <w:sz w:val="18"/>
      <w:szCs w:val="18"/>
    </w:rPr>
  </w:style>
  <w:style w:type="paragraph" w:customStyle="1" w:styleId="174">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75">
    <w:name w:val="信息标题 字符"/>
    <w:basedOn w:val="91"/>
    <w:link w:val="80"/>
    <w:qFormat/>
    <w:uiPriority w:val="99"/>
    <w:rPr>
      <w:rFonts w:ascii="方正小标宋简体" w:eastAsia="方正小标宋简体" w:cs="宋体" w:hAnsiTheme="minorHAnsi"/>
      <w:kern w:val="44"/>
      <w:sz w:val="40"/>
      <w:szCs w:val="40"/>
    </w:rPr>
  </w:style>
  <w:style w:type="paragraph" w:customStyle="1" w:styleId="176">
    <w:name w:val="引用1"/>
    <w:basedOn w:val="1"/>
    <w:next w:val="1"/>
    <w:link w:val="177"/>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77">
    <w:name w:val="引用 字符"/>
    <w:basedOn w:val="91"/>
    <w:link w:val="176"/>
    <w:qFormat/>
    <w:uiPriority w:val="99"/>
    <w:rPr>
      <w:i/>
      <w:iCs/>
      <w:color w:val="404040" w:themeColor="text1" w:themeTint="BF"/>
      <w:kern w:val="2"/>
      <w:sz w:val="21"/>
      <w:szCs w:val="22"/>
      <w14:textFill>
        <w14:solidFill>
          <w14:schemeClr w14:val="tx1">
            <w14:lumMod w14:val="75000"/>
            <w14:lumOff w14:val="25000"/>
          </w14:schemeClr>
        </w14:solidFill>
      </w14:textFill>
    </w:rPr>
  </w:style>
  <w:style w:type="character" w:customStyle="1" w:styleId="178">
    <w:name w:val="正文文本 字符"/>
    <w:basedOn w:val="91"/>
    <w:link w:val="2"/>
    <w:qFormat/>
    <w:uiPriority w:val="1"/>
    <w:rPr>
      <w:rFonts w:ascii="仿宋_GB2312" w:cstheme="minorBidi"/>
      <w:b/>
      <w:color w:val="000000" w:themeColor="text1"/>
      <w:kern w:val="2"/>
      <w:sz w:val="32"/>
      <w:szCs w:val="32"/>
      <w14:textFill>
        <w14:solidFill>
          <w14:schemeClr w14:val="tx1"/>
        </w14:solidFill>
      </w14:textFill>
    </w:rPr>
  </w:style>
  <w:style w:type="character" w:customStyle="1" w:styleId="179">
    <w:name w:val="正文文本首行缩进 字符"/>
    <w:basedOn w:val="178"/>
    <w:link w:val="87"/>
    <w:qFormat/>
    <w:uiPriority w:val="99"/>
    <w:rPr>
      <w:rFonts w:ascii="仿宋_GB2312" w:cstheme="minorBidi"/>
      <w:color w:val="000000" w:themeColor="text1"/>
      <w:kern w:val="2"/>
      <w:sz w:val="32"/>
      <w:szCs w:val="32"/>
      <w14:textFill>
        <w14:solidFill>
          <w14:schemeClr w14:val="tx1"/>
        </w14:solidFill>
      </w14:textFill>
    </w:rPr>
  </w:style>
  <w:style w:type="character" w:customStyle="1" w:styleId="180">
    <w:name w:val="正文文本缩进 字符"/>
    <w:basedOn w:val="91"/>
    <w:link w:val="36"/>
    <w:semiHidden/>
    <w:qFormat/>
    <w:uiPriority w:val="99"/>
    <w:rPr>
      <w:kern w:val="2"/>
      <w:sz w:val="21"/>
      <w:szCs w:val="22"/>
    </w:rPr>
  </w:style>
  <w:style w:type="character" w:customStyle="1" w:styleId="181">
    <w:name w:val="正文文本首行缩进 2 字符"/>
    <w:basedOn w:val="180"/>
    <w:link w:val="88"/>
    <w:semiHidden/>
    <w:qFormat/>
    <w:uiPriority w:val="99"/>
    <w:rPr>
      <w:kern w:val="2"/>
      <w:sz w:val="21"/>
      <w:szCs w:val="22"/>
    </w:rPr>
  </w:style>
  <w:style w:type="character" w:customStyle="1" w:styleId="182">
    <w:name w:val="正文文本 2 字符"/>
    <w:basedOn w:val="91"/>
    <w:link w:val="77"/>
    <w:semiHidden/>
    <w:qFormat/>
    <w:uiPriority w:val="99"/>
    <w:rPr>
      <w:kern w:val="2"/>
      <w:sz w:val="21"/>
      <w:szCs w:val="22"/>
    </w:rPr>
  </w:style>
  <w:style w:type="character" w:customStyle="1" w:styleId="183">
    <w:name w:val="正文文本 3 字符"/>
    <w:basedOn w:val="91"/>
    <w:link w:val="33"/>
    <w:semiHidden/>
    <w:qFormat/>
    <w:uiPriority w:val="99"/>
    <w:rPr>
      <w:kern w:val="2"/>
      <w:sz w:val="16"/>
      <w:szCs w:val="16"/>
    </w:rPr>
  </w:style>
  <w:style w:type="character" w:customStyle="1" w:styleId="184">
    <w:name w:val="正文文本缩进 2 字符"/>
    <w:basedOn w:val="91"/>
    <w:link w:val="52"/>
    <w:semiHidden/>
    <w:qFormat/>
    <w:uiPriority w:val="99"/>
    <w:rPr>
      <w:kern w:val="2"/>
      <w:sz w:val="21"/>
      <w:szCs w:val="22"/>
    </w:rPr>
  </w:style>
  <w:style w:type="character" w:customStyle="1" w:styleId="185">
    <w:name w:val="正文文本缩进 3 字符"/>
    <w:basedOn w:val="91"/>
    <w:link w:val="71"/>
    <w:semiHidden/>
    <w:qFormat/>
    <w:uiPriority w:val="99"/>
    <w:rPr>
      <w:kern w:val="2"/>
      <w:sz w:val="16"/>
      <w:szCs w:val="16"/>
    </w:rPr>
  </w:style>
  <w:style w:type="character" w:customStyle="1" w:styleId="186">
    <w:name w:val="注释标题 字符"/>
    <w:basedOn w:val="91"/>
    <w:link w:val="18"/>
    <w:semiHidden/>
    <w:qFormat/>
    <w:uiPriority w:val="99"/>
    <w:rPr>
      <w:kern w:val="2"/>
      <w:sz w:val="21"/>
      <w:szCs w:val="22"/>
    </w:rPr>
  </w:style>
  <w:style w:type="paragraph" w:customStyle="1" w:styleId="187">
    <w:name w:val="文本2级-条"/>
    <w:next w:val="1"/>
    <w:link w:val="189"/>
    <w:qFormat/>
    <w:uiPriority w:val="0"/>
    <w:pPr>
      <w:numPr>
        <w:ilvl w:val="0"/>
        <w:numId w:val="17"/>
      </w:numPr>
    </w:pPr>
    <w:rPr>
      <w:rFonts w:ascii="Arial" w:hAnsi="Arial" w:eastAsia="宋体" w:cstheme="minorBidi"/>
      <w:kern w:val="2"/>
      <w:sz w:val="21"/>
      <w:szCs w:val="22"/>
      <w:lang w:val="en-US" w:eastAsia="zh-CN" w:bidi="ar-SA"/>
    </w:rPr>
  </w:style>
  <w:style w:type="character" w:customStyle="1" w:styleId="188">
    <w:name w:val="列表段落 字符"/>
    <w:basedOn w:val="91"/>
    <w:link w:val="99"/>
    <w:qFormat/>
    <w:uiPriority w:val="34"/>
    <w:rPr>
      <w:kern w:val="2"/>
      <w:sz w:val="21"/>
      <w:szCs w:val="22"/>
    </w:rPr>
  </w:style>
  <w:style w:type="character" w:customStyle="1" w:styleId="189">
    <w:name w:val="文本2级-条 字符"/>
    <w:basedOn w:val="188"/>
    <w:link w:val="187"/>
    <w:qFormat/>
    <w:uiPriority w:val="0"/>
    <w:rPr>
      <w:rFonts w:ascii="Arial" w:hAnsi="Arial" w:cstheme="minorBidi"/>
      <w:kern w:val="2"/>
      <w:sz w:val="21"/>
      <w:szCs w:val="22"/>
    </w:rPr>
  </w:style>
  <w:style w:type="paragraph" w:customStyle="1" w:styleId="190">
    <w:name w:val="Table Paragraph"/>
    <w:basedOn w:val="1"/>
    <w:qFormat/>
    <w:uiPriority w:val="1"/>
    <w:pPr>
      <w:autoSpaceDE w:val="0"/>
      <w:autoSpaceDN w:val="0"/>
      <w:adjustRightInd w:val="0"/>
      <w:jc w:val="left"/>
    </w:pPr>
    <w:rPr>
      <w:rFonts w:ascii="Times New Roman" w:hAnsi="Times New Roman" w:cs="Times New Roman"/>
      <w:kern w:val="0"/>
      <w:sz w:val="24"/>
      <w:szCs w:val="24"/>
    </w:rPr>
  </w:style>
  <w:style w:type="table" w:customStyle="1" w:styleId="191">
    <w:name w:val="无格式表格 21"/>
    <w:basedOn w:val="89"/>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92">
    <w:name w:val="网格型浅色1"/>
    <w:basedOn w:val="8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193">
    <w:name w:val="列表段落2"/>
    <w:basedOn w:val="1"/>
    <w:qFormat/>
    <w:uiPriority w:val="99"/>
    <w:pPr>
      <w:ind w:firstLine="420" w:firstLineChars="200"/>
    </w:pPr>
  </w:style>
  <w:style w:type="character" w:customStyle="1" w:styleId="194">
    <w:name w:val="content"/>
    <w:basedOn w:val="91"/>
    <w:qFormat/>
    <w:uiPriority w:val="0"/>
  </w:style>
  <w:style w:type="paragraph" w:customStyle="1" w:styleId="195">
    <w:name w:val="列表段落3"/>
    <w:basedOn w:val="1"/>
    <w:qFormat/>
    <w:uiPriority w:val="34"/>
    <w:pPr>
      <w:ind w:firstLine="420" w:firstLineChars="200"/>
    </w:pPr>
  </w:style>
  <w:style w:type="paragraph" w:customStyle="1" w:styleId="196">
    <w:name w:val="明显引用2"/>
    <w:basedOn w:val="1"/>
    <w:next w:val="1"/>
    <w:qFormat/>
    <w:uiPriority w:val="99"/>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197">
    <w:name w:val="明显引用 字符1"/>
    <w:basedOn w:val="91"/>
    <w:qFormat/>
    <w:uiPriority w:val="99"/>
    <w:rPr>
      <w:rFonts w:asciiTheme="minorHAnsi" w:hAnsiTheme="minorHAnsi" w:eastAsiaTheme="minorEastAsia" w:cstheme="minorBidi"/>
      <w:i/>
      <w:iCs/>
      <w:color w:val="4F81BD" w:themeColor="accent1"/>
      <w:kern w:val="2"/>
      <w:sz w:val="21"/>
      <w:szCs w:val="22"/>
      <w14:textFill>
        <w14:solidFill>
          <w14:schemeClr w14:val="accent1"/>
        </w14:solidFill>
      </w14:textFill>
    </w:rPr>
  </w:style>
  <w:style w:type="paragraph" w:customStyle="1" w:styleId="198">
    <w:name w:val="无间隔2"/>
    <w:qFormat/>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
    <w:name w:val="引用2"/>
    <w:basedOn w:val="1"/>
    <w:next w:val="1"/>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00">
    <w:name w:val="引用 字符1"/>
    <w:basedOn w:val="91"/>
    <w:qFormat/>
    <w:uiPriority w:val="99"/>
    <w:rPr>
      <w:rFonts w:asciiTheme="minorHAnsi" w:hAnsiTheme="minorHAnsi" w:eastAsiaTheme="minorEastAsia" w:cstheme="minorBidi"/>
      <w:i/>
      <w:iCs/>
      <w:color w:val="404040" w:themeColor="text1" w:themeTint="BF"/>
      <w:kern w:val="2"/>
      <w:sz w:val="21"/>
      <w:szCs w:val="22"/>
      <w14:textFill>
        <w14:solidFill>
          <w14:schemeClr w14:val="tx1">
            <w14:lumMod w14:val="75000"/>
            <w14:lumOff w14:val="25000"/>
          </w14:schemeClr>
        </w14:solidFill>
      </w14:textFill>
    </w:rPr>
  </w:style>
  <w:style w:type="paragraph" w:customStyle="1" w:styleId="201">
    <w:name w:val="第一条"/>
    <w:basedOn w:val="1"/>
    <w:next w:val="1"/>
    <w:qFormat/>
    <w:uiPriority w:val="0"/>
    <w:pPr>
      <w:numPr>
        <w:ilvl w:val="0"/>
        <w:numId w:val="18"/>
      </w:numPr>
      <w:spacing w:before="100" w:beforeLines="100" w:after="100" w:afterLines="100" w:line="440" w:lineRule="exact"/>
      <w:ind w:left="0" w:firstLine="0"/>
      <w:jc w:val="left"/>
      <w:outlineLvl w:val="3"/>
    </w:pPr>
    <w:rPr>
      <w:rFonts w:ascii="Times New Roman Bold" w:hAnsi="Times New Roman Bold" w:eastAsia="华文宋体"/>
      <w:b/>
      <w:sz w:val="30"/>
      <w:szCs w:val="24"/>
    </w:rPr>
  </w:style>
  <w:style w:type="paragraph" w:customStyle="1" w:styleId="202">
    <w:name w:val="表格注解"/>
    <w:basedOn w:val="104"/>
    <w:qFormat/>
    <w:uiPriority w:val="0"/>
    <w:pPr>
      <w:widowControl w:val="0"/>
      <w:overflowPunct/>
      <w:topLinePunct w:val="0"/>
      <w:autoSpaceDE/>
      <w:autoSpaceDN/>
      <w:spacing w:before="197" w:beforeLines="50" w:after="197" w:afterLines="50"/>
      <w:textAlignment w:val="auto"/>
    </w:pPr>
    <w:rPr>
      <w:rFonts w:ascii="Times New Roman" w:hAnsi="Times New Roman" w:eastAsia="宋体" w:cstheme="minorBidi"/>
      <w:bCs w:val="0"/>
      <w:color w:val="auto"/>
    </w:rPr>
  </w:style>
  <w:style w:type="character" w:customStyle="1" w:styleId="203">
    <w:name w:val="表格 Char"/>
    <w:link w:val="104"/>
    <w:qFormat/>
    <w:uiPriority w:val="0"/>
    <w:rPr>
      <w:rFonts w:ascii="ˎ̥" w:hAnsi="ˎ̥" w:eastAsia="仿宋" w:cs="幼圆"/>
      <w:bCs/>
      <w:color w:val="333333"/>
      <w:kern w:val="2"/>
      <w:sz w:val="21"/>
      <w:szCs w:val="24"/>
    </w:rPr>
  </w:style>
  <w:style w:type="paragraph" w:customStyle="1" w:styleId="204">
    <w:name w:val="正文样式-终"/>
    <w:basedOn w:val="1"/>
    <w:link w:val="206"/>
    <w:qFormat/>
    <w:uiPriority w:val="0"/>
    <w:pPr>
      <w:snapToGrid w:val="0"/>
      <w:spacing w:after="50" w:afterLines="50" w:line="560" w:lineRule="exact"/>
      <w:ind w:firstLine="200" w:firstLineChars="200"/>
    </w:pPr>
    <w:rPr>
      <w:rFonts w:ascii="仿宋_GB2312" w:hAnsi="仿宋" w:eastAsia="宋体" w:cs="仿宋"/>
      <w:sz w:val="30"/>
      <w:szCs w:val="32"/>
    </w:rPr>
  </w:style>
  <w:style w:type="paragraph" w:customStyle="1" w:styleId="205">
    <w:name w:val="表格标题"/>
    <w:basedOn w:val="1"/>
    <w:link w:val="208"/>
    <w:qFormat/>
    <w:uiPriority w:val="0"/>
    <w:pPr>
      <w:widowControl/>
      <w:spacing w:before="50" w:beforeLines="50" w:after="50" w:afterLines="50"/>
      <w:jc w:val="center"/>
    </w:pPr>
    <w:rPr>
      <w:rFonts w:ascii="仿宋_GB2312" w:eastAsia="仿宋_GB2312" w:cs="仿宋_GB2312"/>
      <w:bCs/>
      <w:szCs w:val="28"/>
    </w:rPr>
  </w:style>
  <w:style w:type="character" w:customStyle="1" w:styleId="206">
    <w:name w:val="正文样式-终 字符"/>
    <w:basedOn w:val="91"/>
    <w:link w:val="204"/>
    <w:qFormat/>
    <w:uiPriority w:val="0"/>
    <w:rPr>
      <w:rFonts w:ascii="仿宋_GB2312" w:hAnsi="仿宋" w:cs="仿宋"/>
      <w:kern w:val="2"/>
      <w:sz w:val="30"/>
      <w:szCs w:val="32"/>
    </w:rPr>
  </w:style>
  <w:style w:type="paragraph" w:customStyle="1" w:styleId="207">
    <w:name w:val="第三季标题"/>
    <w:basedOn w:val="1"/>
    <w:link w:val="209"/>
    <w:qFormat/>
    <w:uiPriority w:val="0"/>
    <w:pPr>
      <w:autoSpaceDE w:val="0"/>
      <w:autoSpaceDN w:val="0"/>
      <w:adjustRightInd w:val="0"/>
      <w:ind w:firstLine="640" w:firstLineChars="200"/>
      <w:jc w:val="left"/>
    </w:pPr>
    <w:rPr>
      <w:rFonts w:ascii="仿宋_GB2312" w:eastAsia="仿宋_GB2312" w:cs="仿宋_GB2312"/>
      <w:b/>
      <w:bCs/>
      <w:kern w:val="0"/>
      <w:sz w:val="30"/>
      <w:szCs w:val="32"/>
    </w:rPr>
  </w:style>
  <w:style w:type="character" w:customStyle="1" w:styleId="208">
    <w:name w:val="表格标题 字符"/>
    <w:basedOn w:val="91"/>
    <w:link w:val="205"/>
    <w:qFormat/>
    <w:uiPriority w:val="0"/>
    <w:rPr>
      <w:rFonts w:ascii="仿宋_GB2312" w:eastAsia="仿宋_GB2312" w:cs="仿宋_GB2312" w:hAnsiTheme="minorHAnsi"/>
      <w:bCs/>
      <w:kern w:val="2"/>
      <w:sz w:val="21"/>
      <w:szCs w:val="28"/>
    </w:rPr>
  </w:style>
  <w:style w:type="character" w:customStyle="1" w:styleId="209">
    <w:name w:val="第三季标题 字符"/>
    <w:basedOn w:val="91"/>
    <w:link w:val="207"/>
    <w:qFormat/>
    <w:uiPriority w:val="0"/>
    <w:rPr>
      <w:rFonts w:ascii="仿宋_GB2312" w:eastAsia="仿宋_GB2312" w:cs="仿宋_GB2312" w:hAnsiTheme="minorHAnsi"/>
      <w:b/>
      <w:bCs/>
      <w:sz w:val="30"/>
      <w:szCs w:val="32"/>
    </w:rPr>
  </w:style>
  <w:style w:type="paragraph" w:customStyle="1" w:styleId="210">
    <w:name w:val="表格内容"/>
    <w:basedOn w:val="1"/>
    <w:qFormat/>
    <w:uiPriority w:val="0"/>
    <w:pPr>
      <w:spacing w:line="288" w:lineRule="auto"/>
      <w:jc w:val="center"/>
    </w:pPr>
  </w:style>
  <w:style w:type="character" w:customStyle="1" w:styleId="211">
    <w:name w:val="未处理的提及1"/>
    <w:basedOn w:val="91"/>
    <w:unhideWhenUsed/>
    <w:qFormat/>
    <w:uiPriority w:val="99"/>
    <w:rPr>
      <w:color w:val="605E5C"/>
      <w:shd w:val="clear" w:color="auto" w:fill="E1DFDD"/>
    </w:rPr>
  </w:style>
  <w:style w:type="paragraph" w:customStyle="1" w:styleId="212">
    <w:name w:val="正文首行缩进 21"/>
    <w:basedOn w:val="213"/>
    <w:qFormat/>
    <w:uiPriority w:val="0"/>
    <w:pPr>
      <w:ind w:firstLine="420"/>
    </w:pPr>
  </w:style>
  <w:style w:type="paragraph" w:customStyle="1" w:styleId="213">
    <w:name w:val="正文文本缩进1"/>
    <w:basedOn w:val="1"/>
    <w:qFormat/>
    <w:uiPriority w:val="0"/>
    <w:pPr>
      <w:spacing w:after="120"/>
      <w:ind w:left="420" w:leftChars="200"/>
    </w:pPr>
  </w:style>
  <w:style w:type="character" w:customStyle="1" w:styleId="214">
    <w:name w:val="NormalCharacter"/>
    <w:link w:val="215"/>
    <w:qFormat/>
    <w:uiPriority w:val="0"/>
  </w:style>
  <w:style w:type="paragraph" w:customStyle="1" w:styleId="215">
    <w:name w:val="UserStyle_19"/>
    <w:basedOn w:val="1"/>
    <w:link w:val="214"/>
    <w:qFormat/>
    <w:uiPriority w:val="0"/>
    <w:pPr>
      <w:textAlignment w:val="baseline"/>
    </w:pPr>
  </w:style>
  <w:style w:type="paragraph" w:customStyle="1" w:styleId="216">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customStyle="1" w:styleId="217">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emf"/><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BC83DB-3A72-448E-9C36-17D792F0A4E6}">
  <ds:schemaRefs/>
</ds:datastoreItem>
</file>

<file path=docProps/app.xml><?xml version="1.0" encoding="utf-8"?>
<Properties xmlns="http://schemas.openxmlformats.org/officeDocument/2006/extended-properties" xmlns:vt="http://schemas.openxmlformats.org/officeDocument/2006/docPropsVTypes">
  <Template>Normal</Template>
  <Company>thdli.com</Company>
  <Pages>69</Pages>
  <Words>24965</Words>
  <Characters>27076</Characters>
  <Lines>2517</Lines>
  <Paragraphs>2815</Paragraphs>
  <TotalTime>0</TotalTime>
  <ScaleCrop>false</ScaleCrop>
  <LinksUpToDate>false</LinksUpToDate>
  <CharactersWithSpaces>27276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2022-09-18T15:06:00Z</dcterms:created>
  <dc:creator>Administrator</dc:creator>
  <cp:lastModifiedBy>洪硕</cp:lastModifiedBy>
  <cp:lastPrinted>2022-08-26T23:14:00Z</cp:lastPrinted>
  <dcterms:modified xsi:type="dcterms:W3CDTF">2023-04-04T06:39:09Z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RubyTemplateID" linkTarget="0">
    <vt:lpwstr>6</vt:lpwstr>
  </property>
  <property fmtid="{D5CDD505-2E9C-101B-9397-08002B2CF9AE}" pid="4" name="ICV">
    <vt:lpwstr>F1B23477D2CC4F94968040FECF316002_12</vt:lpwstr>
  </property>
</Properties>
</file>