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eastAsia="宋体"/>
          <w:bCs w:val="0"/>
          <w:color w:val="auto"/>
          <w:lang w:eastAsia="zh-CN"/>
        </w:rPr>
      </w:pPr>
      <w:r>
        <w:rPr>
          <w:rFonts w:hint="eastAsia"/>
          <w:bCs w:val="0"/>
          <w:color w:val="auto"/>
        </w:rPr>
        <w:t>北京市城市管理委员会 2026年</w:t>
      </w:r>
      <w:r>
        <w:rPr>
          <w:rFonts w:hint="eastAsia"/>
          <w:bCs w:val="0"/>
          <w:color w:val="auto"/>
          <w:lang w:val="en-US" w:eastAsia="zh-CN"/>
        </w:rPr>
        <w:t>1</w:t>
      </w:r>
      <w:r>
        <w:rPr>
          <w:rFonts w:hint="eastAsia"/>
          <w:bCs w:val="0"/>
          <w:color w:val="auto"/>
        </w:rPr>
        <w:t xml:space="preserve">至12月 </w:t>
      </w:r>
      <w:r>
        <w:rPr>
          <w:rFonts w:hint="eastAsia"/>
          <w:bCs w:val="0"/>
          <w:color w:val="auto"/>
        </w:rPr>
        <w:br w:type="textWrapping"/>
      </w:r>
      <w:r>
        <w:rPr>
          <w:rFonts w:hint="eastAsia"/>
          <w:bCs w:val="0"/>
          <w:color w:val="auto"/>
        </w:rPr>
        <w:t>政府采购意向</w:t>
      </w:r>
      <w:r>
        <w:rPr>
          <w:rFonts w:hint="eastAsia"/>
          <w:bCs w:val="0"/>
          <w:color w:val="auto"/>
          <w:lang w:eastAsia="zh-CN"/>
        </w:rPr>
        <w:t>（第一批）</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480" w:firstLineChars="200"/>
        <w:jc w:val="left"/>
        <w:textAlignment w:val="auto"/>
        <w:outlineLvl w:val="9"/>
        <w:rPr>
          <w:rFonts w:ascii="Times New Roman" w:hAnsi="Times New Roman" w:eastAsia="宋体" w:cs="Times New Roman"/>
          <w:color w:val="auto"/>
          <w:szCs w:val="22"/>
        </w:rPr>
      </w:pPr>
      <w:r>
        <w:rPr>
          <w:rFonts w:hint="eastAsia" w:ascii="Times New Roman" w:hAnsi="Times New Roman" w:eastAsia="宋体" w:cs="Times New Roman"/>
          <w:color w:val="auto"/>
          <w:szCs w:val="22"/>
        </w:rPr>
        <w:t>为便于供应商及时了解政府采购信息，根据《财政部关于开展政府采购意向公开工作的通知》（财库[2020]10号）等有关规定， 现将北京市城市管理委员会 2026 年 1 （至） 12 月采购意向公开如下：</w:t>
      </w:r>
    </w:p>
    <w:tbl>
      <w:tblPr>
        <w:tblStyle w:val="4"/>
        <w:tblW w:w="8483"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5"/>
        <w:gridCol w:w="770"/>
        <w:gridCol w:w="1358"/>
        <w:gridCol w:w="3335"/>
        <w:gridCol w:w="850"/>
        <w:gridCol w:w="636"/>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90" w:type="dxa"/>
            <w:tcBorders>
              <w:top w:val="single" w:color="EBEEF5" w:sz="6" w:space="0"/>
              <w:left w:val="single" w:color="EBEEF5" w:sz="6" w:space="0"/>
              <w:bottom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序号</w:t>
            </w:r>
          </w:p>
        </w:tc>
        <w:tc>
          <w:tcPr>
            <w:tcW w:w="740" w:type="dxa"/>
            <w:tcBorders>
              <w:top w:val="single" w:color="EBEEF5" w:sz="6" w:space="0"/>
              <w:left w:val="single" w:color="EBEEF5" w:sz="6" w:space="0"/>
              <w:bottom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采购单位名称</w:t>
            </w:r>
          </w:p>
        </w:tc>
        <w:tc>
          <w:tcPr>
            <w:tcW w:w="1328" w:type="dxa"/>
            <w:tcBorders>
              <w:top w:val="single" w:color="EBEEF5" w:sz="6" w:space="0"/>
              <w:left w:val="single" w:color="EBEEF5" w:sz="6" w:space="0"/>
              <w:bottom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采购项目名称</w:t>
            </w:r>
          </w:p>
        </w:tc>
        <w:tc>
          <w:tcPr>
            <w:tcW w:w="3305" w:type="dxa"/>
            <w:tcBorders>
              <w:top w:val="single" w:color="EBEEF5" w:sz="6" w:space="0"/>
              <w:left w:val="single" w:color="EBEEF5" w:sz="6" w:space="0"/>
              <w:bottom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采购需求概况</w:t>
            </w:r>
          </w:p>
        </w:tc>
        <w:tc>
          <w:tcPr>
            <w:tcW w:w="820" w:type="dxa"/>
            <w:tcBorders>
              <w:top w:val="single" w:color="EBEEF5" w:sz="6" w:space="0"/>
              <w:left w:val="single" w:color="EBEEF5" w:sz="6" w:space="0"/>
              <w:bottom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预算金额（万元）</w:t>
            </w:r>
          </w:p>
        </w:tc>
        <w:tc>
          <w:tcPr>
            <w:tcW w:w="606" w:type="dxa"/>
            <w:tcBorders>
              <w:top w:val="single" w:color="EBEEF5" w:sz="6" w:space="0"/>
              <w:left w:val="single" w:color="EBEEF5" w:sz="6" w:space="0"/>
              <w:bottom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预计采购时间</w:t>
            </w:r>
          </w:p>
        </w:tc>
        <w:tc>
          <w:tcPr>
            <w:tcW w:w="1154" w:type="dxa"/>
            <w:tcBorders>
              <w:top w:val="single" w:color="EBEEF5" w:sz="6" w:space="0"/>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北京市城市管理委员会机关</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城市景观管理服务</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确保10处城市景观整体干净整洁，色彩均匀，字体完整，功能完好；复兴门桥西北角、复兴门桥西南角、北京西站北广场、建国门桥东北角、建国门桥东南角、四元桥东南角、四元桥东北角共7处灯光景观实现远程控制开、关灯，景观前后两面增加监控摄像头，实现远程视频监控，保持良好夜景效果，按相关规定及甲方要求启停景观照明，重点保证口号单体字不缺亮、不断亮。采购要求：服务期内（一年）定期进行结构安全检查，确保安全运行；按照计划配件更换，确保景观展示效果；做好应急处置，如发生缺亮、断亮等电路故障情况，立即关闭电源，并在24小时之内排查、恢复；如疑有安全隐患，立即通知甲方，并在 24小时之内处理解决；遇有极端天气，根据气象预警，及时启动应急预案，加强巡查检查，落实值班值守，发现安全隐患立即采取措施，安排专人看守，严防次生事故发生。</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218.238843</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2026-04</w:t>
            </w:r>
          </w:p>
        </w:tc>
        <w:tc>
          <w:tcPr>
            <w:tcW w:w="1154" w:type="dxa"/>
            <w:tcBorders>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2026年10处城市景观维护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北京市城市管理委员会机关</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督查考评管理服务</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深入了解首都市民对城市环境建设管理的满意度、意见和建议等，畅通社会公众参与环境建设的渠道，推动群众关注的城市管理热点问题、难点问题、焦点问题有效解决，实现共建共治共享；以量化评价为着力点评估首都城乡环境建设管理水平，为提高首都环境服务水平、提升城市精细化管理水平提供科学依据。采购要求：调查需覆盖北京市16区、北京经济技术开发区和重点站区。按照月度开展、季度通报、全年汇总的工作节奏，遵循科学的调查研究流程，严格把关各种调研方式的过程审核，确保数据分析如实反映实际情况，能够对各区、街道（乡镇）和被考评部门进行画像，撰写高质量研究报告。</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167.46568</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2026-09</w:t>
            </w:r>
          </w:p>
        </w:tc>
        <w:tc>
          <w:tcPr>
            <w:tcW w:w="1154" w:type="dxa"/>
            <w:tcBorders>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2026年首都城市环境建设管理满意度社会评价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北京市城市管理委员会机关</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督查考评管理服务</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根据首都城市环境建设管理工作和业务需要，并考虑到季节因素、重大活动保障等，建立科学系统的监督体系，将检查内容进行整合，制定工作计划和工作方案，按月开展检查工作，以点带面，监督指导各区做好环境建设管理工作，切实解决群众身边的环境问题。采购要求：每月结合首都城市环境建设管理、重点区域和重要通道沿线常态化环境整治提升、背街小巷环境整治提升，围绕重大活动环境保障及长安街市容环境景观，户外广告、牌匾标识及标语宣传品，道路公共服务设施及二维码等重点内容，按计划完成环境综合检查和资料整合，并提供行业环境卫生监督检查服务。服务时限为12个月。</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930.98677</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2026-07</w:t>
            </w:r>
          </w:p>
        </w:tc>
        <w:tc>
          <w:tcPr>
            <w:tcW w:w="1154" w:type="dxa"/>
            <w:tcBorders>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2026年首都城市环境建设管理综合检查项目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北京市城市管理委员会机关</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科技信息管理服务</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运用卫星遥感技术开展首都城市管理监测工作，为首都环境建设提供技术支撑与服务，进一步提升城市管理水平。采购要求：利用卫星遥感技术开展为期一年的首都城市管理监测工作，内容包括：全市大型垃圾堆放点分布及变化监测（卫星技术监测及分析），全市大型垃圾堆放点分布及变化监测（外业勘察核验），全市废品回收站分布情况监测，全市疑似违规大型户外广告设施监测，石油天然气管道疑似违法占压监测，在用管道高后果区周边环境变化监测，电力设施保护区内的施工监测，外力破坏监测及隐患排查，输电电缆地面覆盖物信息识别，遥感影像基础数据处理等。</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474.3607</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2026-04</w:t>
            </w:r>
          </w:p>
        </w:tc>
        <w:tc>
          <w:tcPr>
            <w:tcW w:w="1154" w:type="dxa"/>
            <w:tcBorders>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2026年基于卫星图像的城市管理要素监测数据服务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北京市城市管理委员会机关</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液化石油气政府应急储备服务</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实物储存5000（暂定）吨液化石油气作为政府应急储备，当北京市出现液化石油气供应紧张、中断，发生自然灾害、公共安全事件、恐怖袭击等突发事件等情况时，按要求采取动用储备、紧急调度等措施，实施供应保障</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非调用期间每日应保持不少于5000（暂定）吨液化石油气；调用期间每日不少于5000（暂定）吨扣除同意调用储备量后的剩余量并限期完成补库。合同期间按照市政府要求需要调整政府应急储备量和储备费用时应配合开展相关工作。储备质量应符合现行国家和本市液化石油气质量相关法律法规和标准规范要求。储备设施运行安全应按照现行国家和本市液化石油气储备设施合法合规安全运行的各项要求。</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3862.65</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2026-04</w:t>
            </w:r>
          </w:p>
        </w:tc>
        <w:tc>
          <w:tcPr>
            <w:tcW w:w="1154" w:type="dxa"/>
            <w:tcBorders>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液化石油气政府应急储备服务-市城市管理委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6</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北京市城市管理委员会机关</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环境卫生管理服务</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2026年7月-2027年6月，按时完成抽选道路的路面尘土残存量检测，并形成规范的日报、月报、季报、年报等评价文件。按照冬季北京地区使用融雪剂产品质量监管相关要求，及国标《融雪剂》进行融雪剂样本抽检。采购要求：根据《城市道路清扫保洁质量与作业要求》（DB11/T353--2021）要求，开展路面尘土残存量检测工作，检测完成后形成日报，并按要求提供月报、季报和年报等监督评价材料。检测车辆由我方提供，车辆燃油费、停车及过路费、车辆保险费、维修费等交通费用待合同期满后按实际数额结算。融雪剂抽样取样预计从10月开始至次年3月结束，对北京市主要采购单位开展现场抽检。</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160.880662</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2026-04</w:t>
            </w:r>
          </w:p>
        </w:tc>
        <w:tc>
          <w:tcPr>
            <w:tcW w:w="1154" w:type="dxa"/>
            <w:tcBorders>
              <w:left w:val="single" w:color="EBEEF5" w:sz="6" w:space="0"/>
              <w:bottom w:val="single" w:color="EBEEF5" w:sz="6" w:space="0"/>
              <w:right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2026年道路尘土残存量及融雪剂监测评价项目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7</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运维类项目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采购数量：1,采购目标：服务于本市辖区内工程量相对较小、分布较散、临时紧急维修更换的照明设施维护工程及常用物资供应。运维工作质量须符合DB11/T 1876-2021《城市道路照明设施运行维护规范》、《城市道路照明工程施工及验收规范》CJJ89-2012等相关标准规范要求。采购要求：对中心所辖路灯设备进行日常巡视，对发现的设备隐患进行处缺；对日常紧急故障进行应急处理；根据设备运行情况进行箱变、配电室清扫检修和电缆绝缘测试等专项处缺和检修；对路灯管线进行测绘；开展特殊设备检修如天安门长安街华灯的年度检修等。项目实施周期为2026年7月至2027年6月，须达到提升城市照明设施运行安全可靠性的目标。</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7515.387506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2026-04</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8</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运维类项目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完成中心消防设施维保、技防安防系统运行维护；辅助中心开展生产作业现场安全管控；针对城六区路灯设施提供公共责任保险。采购要求：自2026年7月1日至2027年6月30日完成中心消防设施维保、技防安防系统运行维护，满足国家和行业标准要求；安全管控服务及时发现和制止现场违章，确保作业现场安全；路灯设施公共责任险应覆盖中心所属照明设施。</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204.18536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9</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北京市环境卫生管理事务中心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专用设备及材料购置项目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4,采购目标：按照市城市管理委工作部署，我中心组织对全市机扫作业道路进行尘土残存量监测。目前,全市路面尘土残存量检测工作存在检测速度慢的问题，每日检测数量偏少。通过对现有4辆路面尘土残存量检测车进行升级改造，加装路面尘土残存量快速检测系统以及可见垃圾自动识别系统,提升该车检测能力，扩展每月检测范围，促进全市道路清扫保洁作业水平提升。采购要求：质量方面，设备安装验收合格率100%。服务方面，委托具备车辆改装资质企业实施改造，售后服务响应及维护周期需明确。安全方面，设备需通过相关安全认证，安装操作需安全可靠。时限方面，项目当年执行，计划3～5月招标，6-8月改造，8-12月验收试运行。</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176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10</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运维类项目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本项目由专业技术公司对北京市城市照明管理中心多个信息系统及机房设施提供运维服务、安全防护及备品备件供应，确保系统安全、稳定运行。采购要求：项目包括对照明监控系统、生产管理系统、箱变防盗系统、运维管理系统、地理信息系统等多个信息系统及机房设施提供运维服务、安全防护及备品备件供应，并根据需求提供驻场服务。项目期为2026年7月1日至2027年6月30日。</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588.0003</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2026-06</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11</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技改项目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本项目根据照明中心监控终端设备的投运年限和设备运行状况，对东西城、朝阳、海淀、丰台、石景山等区域老旧终端进行更换和提升，在原有遥控、遥测、遥信、遥调等功能的基础上，着重考虑终端的设备安全、通讯安全、数据传输安全和保密等因素，增加测量装置数量，改进测量装置的接线工艺，进一步提升数据采集颗粒度，使道路照明监控更加智能精准，系统更加安全稳定。采购要求：设备满足照明中心规定的技术标准，工程按照设计图纸施工，预留终端设备拓展功能接口。施工质量和数据核验符合《道路照明工程施工及验收规范》。项目实现支持多种通讯方式、提升处理速度、增强运行稳定性和可扩展性等改造目标。</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608.606117</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2026-06</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12</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北京市城市管理委员会宣传教育中心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专用设备购置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采购涵盖演播室、录音室、摄影室所需用专业设备及材料，并包含后期设备系统集成安装调试，实现搭建满足音视频录制、图片棚拍、后期加工等宣传需求的设备系统。采购要求：计划执行周期为2026年6月至10月，采购所需专业主要设备及材料必须符合现行国家标准（GB/T）、行业标准及地方标准的合格要求，符合国家相关安全标准，具备防火、防爆、防漏电等安全功能，设备及材料技术性能、规格参数须满足采购单位工作实际需求，供货方应具有履行合同的能力，具备完善的售后服务体系</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152.527</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2026-04</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13</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西南四环路大修及环境提升-道路照明设施消隐改造工程</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该项目随西南四环（南沙窝桥南至榴乡桥东）道路大修进程计划实施主导，路灯专业同步跟进，对路灯设施进行消隐改造,从而根治隐患，提升安全质量，解决电缆外挂问题，涉及道路长度19.49公里。在主路路基段，对照明不通段管道进行拆除换新，对破损检修井进行原位复建，对旧电缆进行更换；在主路桥梁段，对照明管道进行拆除原位复建换新，对检修井进行原位复建，对旧电缆进行更换</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采购要求：项目实施应符合《城市道路照明工程施工及验收规范》（CJJ89-2012），确保设备安全稳定运行。项目施工工作计划于2026年完成。</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1849.577996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14</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西南四环路大修及环境提升-道路照明设施消隐改造工程（辅路）</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该项目随西南四环（南沙窝桥南至榴乡桥东）道路大修进程计划实施辅路范围内路灯设备消隐与提升，从而根治隐患，提升安全质量，涉及道路长度19.49公里。对辅路沿线照明不通路段进行管道拆除换新，对破损检修井进行原位复建，对老旧电缆进行更换；对辅路沿线路灯电源低压出线进行消隐改造，更换管线，优化出线方式</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采购要求：项目实施应符合《城市道路照明工程施工及验收规范》（CJJ89-2012），确保设备安全稳定运行。项目施工工作计划于2026年完成。</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1223.313636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15</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运维类项目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采购数量：1,采购目标：从新材料、新装置、新系统等多方面攻克技术难题，切实解决运维工作中重复出现的设备隐患以及系统智能化发展滞后等问题，最终形</w:t>
            </w:r>
            <w:r>
              <w:rPr>
                <w:rFonts w:ascii="宋体" w:hAnsi="宋体" w:eastAsia="宋体" w:cs="宋体"/>
                <w:kern w:val="0"/>
                <w:sz w:val="24"/>
                <w:szCs w:val="24"/>
                <w:highlight w:val="none"/>
                <w:lang w:val="en-US" w:eastAsia="zh-CN" w:bidi="ar"/>
              </w:rPr>
              <w:t>成5</w:t>
            </w:r>
            <w:r>
              <w:rPr>
                <w:rFonts w:hint="eastAsia" w:ascii="宋体" w:hAnsi="宋体" w:eastAsia="宋体" w:cs="宋体"/>
                <w:kern w:val="0"/>
                <w:sz w:val="24"/>
                <w:szCs w:val="24"/>
                <w:highlight w:val="none"/>
                <w:lang w:val="en-US" w:eastAsia="zh-CN" w:bidi="ar"/>
              </w:rPr>
              <w:t>份</w:t>
            </w:r>
            <w:r>
              <w:rPr>
                <w:rFonts w:ascii="宋体" w:hAnsi="宋体" w:eastAsia="宋体" w:cs="宋体"/>
                <w:kern w:val="0"/>
                <w:sz w:val="24"/>
                <w:szCs w:val="24"/>
                <w:lang w:val="en-US" w:eastAsia="zh-CN" w:bidi="ar"/>
              </w:rPr>
              <w:t>研究技术报告和相关产品</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w:t>
            </w:r>
            <w:r>
              <w:rPr>
                <w:rFonts w:hint="eastAsia" w:ascii="宋体" w:hAnsi="宋体" w:eastAsia="宋体" w:cs="宋体"/>
                <w:kern w:val="0"/>
                <w:sz w:val="24"/>
                <w:szCs w:val="24"/>
                <w:lang w:val="en-US" w:eastAsia="zh-CN" w:bidi="ar"/>
              </w:rPr>
              <w:t>提</w:t>
            </w:r>
            <w:r>
              <w:rPr>
                <w:rFonts w:ascii="宋体" w:hAnsi="宋体" w:eastAsia="宋体" w:cs="宋体"/>
                <w:kern w:val="0"/>
                <w:sz w:val="24"/>
                <w:szCs w:val="24"/>
                <w:lang w:val="en-US" w:eastAsia="zh-CN" w:bidi="ar"/>
              </w:rPr>
              <w:t>升中心科技创新能力，解决实际工作中存在的安全隐患、技术迭代与产品升级问题。项目要求2026年开始研究，2026年底完成《研究技术报告》初稿的编写，2027年6月前定稿并组织审议工作。</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102</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2026-06</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16</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运维类项目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采购数量：1,采购目标：为职工在工作日以及节假日期间的值班、抢修人员提供早、中、晚餐，满足政治保电时期、华灯清扫时期等重大任务的正常工作运转提供有力的后勤保障服务</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采购要求：1.质量要求：需符合《食品安全法》等相关法规，食材采购可溯源，餐食营养搭配合理，满足职工健康需求；服务流程规范，环境卫生达标。 2.服务要求：工作日以及节假日期间的值班、抢修人员提供早、中、晚餐按时供应；重大任务保障期（政治保电、华灯清扫等）按需延长供餐时间，保障应急值守人员就餐</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444.9965</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17</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北京市城市照明管理中心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技改项目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采购数量：1,采购目标：通过安装1500个井盖安全防护装置，切实解决井盖管理中面临的监管难题，能实时对井盖进行监控，加强井盖安全性。并且可以及时上报故障井盖所处位置。安装35000</w:t>
            </w:r>
            <w:r>
              <w:rPr>
                <w:rFonts w:hint="eastAsia" w:ascii="宋体" w:hAnsi="宋体" w:eastAsia="宋体" w:cs="宋体"/>
                <w:kern w:val="0"/>
                <w:sz w:val="24"/>
                <w:szCs w:val="24"/>
                <w:lang w:val="en-US" w:eastAsia="zh-CN" w:bidi="ar"/>
              </w:rPr>
              <w:t>个</w:t>
            </w:r>
            <w:r>
              <w:rPr>
                <w:rFonts w:ascii="宋体" w:hAnsi="宋体" w:eastAsia="宋体" w:cs="宋体"/>
                <w:kern w:val="0"/>
                <w:sz w:val="24"/>
                <w:szCs w:val="24"/>
                <w:lang w:val="en-US" w:eastAsia="zh-CN" w:bidi="ar"/>
              </w:rPr>
              <w:t>标识牌工作，使用新型路灯电子标识牌</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采购要求：2026年完成项目的施工和验收工作。</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633.359028</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18</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北京市城市运行管理事务中心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信息化运行保障维护项目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采购数量：1份。 采购需求：外网网站界面和栏目维护、网站运行监测、策划、政策解读类工作、网站信息公开平台的运行保障、网站无障碍功能的运行保障和网站移动版功能的运行保障等工作，并且针对网站日常的发布与维护按月、全年提供运维报告，分析总结运维工作，提出运维提升建议</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采购要求：质量要求：确保门户网站无障碍功能正常使用并优化改造系统，以及完成信息公开平台的运行、服务、保障相关工作。 服务要求：成立服务小组，专门提供技术及相关服务支持工作，任何情况下严格按照北京市城市管理委员会的指示完成各项任务；提供7 ×24小时的值守服务。 安全要求：符合信息安全及集约化平台标准；年信息安全保障率要求为100%。 时限要求：服务期为1年。 处理网民纠错意见，全年每次处理时间≤2日</w:t>
            </w:r>
            <w:r>
              <w:rPr>
                <w:rFonts w:hint="eastAsia" w:ascii="宋体" w:hAnsi="宋体" w:eastAsia="宋体" w:cs="宋体"/>
                <w:kern w:val="0"/>
                <w:sz w:val="24"/>
                <w:szCs w:val="24"/>
                <w:lang w:val="en-US" w:eastAsia="zh-CN" w:bidi="ar"/>
              </w:rPr>
              <w:t>。</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127.2</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2026-05</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19</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北京市城市运行管理事务中心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运维与信息安全项目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采购数量：1,采购要求：对信息系统开展安全巡检、访问监控、渗透测试、源代码检测、脆弱性检查。对应急时间及时处置，定期开展应急演练。对等级保护和密码安全性评估进行技术支撑。服务期一年。</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218.96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2026-10</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北京市城市运行管理事务中心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运维与信息安全项目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要求：保障系统及中间件的稳定运行。根据业务需求或系统故障，及时对系统程序进行更新或修正。监控数据库运行情况和慢查询及时优化SQL性能提升响应速度。对内外接口进行监控，接口运行状态稳定，同时处置接口失效、链接异常等问题。按照业务需求对现有的系统功能进行更新。按照信息系统安全检查反馈的问题，对系统漏洞、安全隐患进行整改。 服务期一年。</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308.3</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2026-10</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21</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北京市城市运行管理事务中心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运维与信息安全项目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要求：保障系统及中间件的稳定运行。根据业务需求或系统故障，及时对系统程序进行更新或修正。监控数据库运行情况和慢查询及时优化SQL性能提升响应速度。对内外接口进行监控，接口运行状态稳定，同时处置接口失效、链接异常等问题。按照信息系统安全检查反馈的问题，对系统漏洞、安全隐患进行整改。 服务期一年。</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135</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2026-10</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22</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北京市城市运行管理事务中心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运维与信息安全项目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数量：1,采购要求：对委工作人员使用的办公终端及外设的软件进行上门维护，并对操作系统、办公软件的正版化情况进行定期检查。开展视频会议系统技术保障工作，利用“二级高清视频联网共享平台”开展垃圾分类、广告牌匾、城市环境等视频巡查。 服务期一年。</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236.07</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2026-10</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9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23</w:t>
            </w:r>
          </w:p>
        </w:tc>
        <w:tc>
          <w:tcPr>
            <w:tcW w:w="74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北京市城市运行管理事务中心</w:t>
            </w:r>
          </w:p>
        </w:tc>
        <w:tc>
          <w:tcPr>
            <w:tcW w:w="1328"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运维与信息安全项目</w:t>
            </w:r>
          </w:p>
        </w:tc>
        <w:tc>
          <w:tcPr>
            <w:tcW w:w="3305"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bookmarkStart w:id="0" w:name="_GoBack"/>
            <w:bookmarkEnd w:id="0"/>
            <w:r>
              <w:rPr>
                <w:rFonts w:ascii="宋体" w:hAnsi="宋体" w:eastAsia="宋体" w:cs="宋体"/>
                <w:kern w:val="0"/>
                <w:sz w:val="24"/>
                <w:szCs w:val="24"/>
                <w:lang w:val="en-US" w:eastAsia="zh-CN" w:bidi="ar"/>
              </w:rPr>
              <w:t>采购数量：1,采购要求：政务云租用类主要是为运行在政务云上的信息系统租用云服务商提供的基础资源和扩展资源，需要提供计算服务、存储服务、网络服务、云主机深度监控服务、备份服务、基础软件支撑服务、安全监测、审计服务、数据备份服务等。 服务期一年。</w:t>
            </w:r>
          </w:p>
        </w:tc>
        <w:tc>
          <w:tcPr>
            <w:tcW w:w="820"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1699.6</w:t>
            </w:r>
          </w:p>
        </w:tc>
        <w:tc>
          <w:tcPr>
            <w:tcW w:w="606" w:type="dxa"/>
            <w:tcBorders>
              <w:left w:val="single" w:color="EBEEF5" w:sz="6" w:space="0"/>
              <w:bottom w:val="single" w:color="EBEEF5"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2026-09</w:t>
            </w:r>
          </w:p>
        </w:tc>
        <w:tc>
          <w:tcPr>
            <w:tcW w:w="1154" w:type="dxa"/>
            <w:tcBorders>
              <w:left w:val="single" w:color="EBEEF5" w:sz="6" w:space="0"/>
              <w:bottom w:val="single" w:color="EBEEF5" w:sz="6" w:space="0"/>
              <w:right w:val="single" w:color="EBEEF5" w:sz="6" w:space="0"/>
            </w:tcBorders>
            <w:shd w:val="clear" w:color="auto" w:fill="auto"/>
            <w:vAlign w:val="center"/>
          </w:tcPr>
          <w:p>
            <w:pPr>
              <w:jc w:val="center"/>
              <w:rPr>
                <w:rFonts w:hint="eastAsia" w:ascii="宋体"/>
                <w:sz w:val="24"/>
                <w:szCs w:val="24"/>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right="0" w:rightChars="0" w:firstLine="480" w:firstLineChars="200"/>
        <w:jc w:val="left"/>
        <w:textAlignment w:val="auto"/>
        <w:outlineLvl w:val="9"/>
        <w:rPr>
          <w:rFonts w:ascii="Times New Roman" w:hAnsi="Times New Roman" w:eastAsia="宋体" w:cs="Times New Roman"/>
          <w:color w:val="auto"/>
          <w:szCs w:val="22"/>
        </w:rPr>
      </w:pPr>
      <w:r>
        <w:rPr>
          <w:rFonts w:hint="eastAsia" w:ascii="Times New Roman" w:hAnsi="Times New Roman" w:eastAsia="宋体" w:cs="Times New Roman"/>
          <w:color w:val="auto"/>
          <w:szCs w:val="22"/>
        </w:rPr>
        <w:t>本次公开的采购意向是本单位及下级单位政府采购工作的初步安排，具体采购项目情况以相关采购公告和采购文件为准。</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right="0" w:rightChars="0" w:firstLine="480" w:firstLineChars="200"/>
        <w:jc w:val="right"/>
        <w:textAlignment w:val="auto"/>
        <w:outlineLvl w:val="9"/>
        <w:rPr>
          <w:rFonts w:ascii="Times New Roman" w:hAnsi="Times New Roman" w:eastAsia="宋体" w:cs="Times New Roman"/>
          <w:color w:val="auto"/>
          <w:szCs w:val="22"/>
        </w:rPr>
      </w:pPr>
      <w:r>
        <w:rPr>
          <w:rFonts w:hint="eastAsia" w:ascii="Times New Roman" w:hAnsi="Times New Roman" w:eastAsia="宋体" w:cs="Times New Roman"/>
          <w:color w:val="auto"/>
          <w:szCs w:val="22"/>
        </w:rPr>
        <w:t>北京市城市管理委员会</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right="0" w:rightChars="0" w:firstLine="480" w:firstLineChars="200"/>
        <w:jc w:val="right"/>
        <w:textAlignment w:val="auto"/>
        <w:outlineLvl w:val="9"/>
        <w:rPr>
          <w:rFonts w:ascii="Times New Roman" w:hAnsi="Times New Roman" w:eastAsia="宋体" w:cs="Times New Roman"/>
          <w:color w:val="auto"/>
          <w:szCs w:val="22"/>
        </w:rPr>
      </w:pPr>
      <w:r>
        <w:rPr>
          <w:rFonts w:hint="eastAsia" w:ascii="Times New Roman" w:hAnsi="Times New Roman" w:eastAsia="宋体" w:cs="Times New Roman"/>
          <w:color w:val="auto"/>
          <w:szCs w:val="22"/>
        </w:rPr>
        <w:t>2026 年 3 月 18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A271B"/>
    <w:rsid w:val="268A6B22"/>
    <w:rsid w:val="3FD76CB7"/>
    <w:rsid w:val="431A271B"/>
    <w:rsid w:val="44CD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2026-03-18T08:14:00Z</dcterms:created>
  <dc:creator> </dc:creator>
  <cp:lastModifiedBy> </cp:lastModifiedBy>
  <dcterms:modified xsi:type="dcterms:W3CDTF">2026-03-19T01:40:13Z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DA829E5AA9BE408A8298E8D0F6E180BC</vt:lpwstr>
  </property>
</Properties>
</file>