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91.2</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P53</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11</w:t>
            </w:r>
            <w:r>
              <w:fldChar w:fldCharType="end"/>
            </w:r>
            <w:bookmarkEnd w:id="3"/>
          </w:p>
        </w:tc>
      </w:tr>
    </w:tbl>
    <w:p>
      <w:pPr>
        <w:pStyle w:val="50"/>
        <w:framePr w:w="9639" w:h="624" w:hRule="exact" w:hSpace="181" w:vSpace="181"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北京市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11</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p>
    <w:p>
      <w:pPr>
        <w:pStyle w:val="50"/>
        <w:framePr w:w="9639" w:h="6976" w:hRule="exact" w:hSpace="0" w:vSpace="0"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城市道路电力箱体三化设置规范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 xml:space="preserve">Specification for the three transformations setting of electrical </w:t>
      </w:r>
    </w:p>
    <w:p>
      <w:pPr>
        <w:pStyle w:val="125"/>
        <w:framePr w:w="9639" w:h="6974" w:hRule="exact" w:wrap="around" w:vAnchor="page" w:hAnchor="page" w:x="1419" w:y="6408" w:anchorLock="1"/>
        <w:textAlignment w:val="bottom"/>
        <w:rPr>
          <w:rFonts w:eastAsia="黑体"/>
          <w:szCs w:val="28"/>
        </w:rPr>
      </w:pPr>
      <w:r>
        <w:rPr>
          <w:rFonts w:eastAsia="黑体"/>
          <w:szCs w:val="28"/>
        </w:rPr>
        <w:t xml:space="preserve">power cabinets on urban roads </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北京市市场</w:t>
      </w:r>
      <w:r>
        <w:rPr>
          <w:rFonts w:hAnsi="黑体"/>
          <w:w w:val="100"/>
          <w:sz w:val="28"/>
        </w:rPr>
        <w:t>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v:fill on="f" focussize="0,0"/>
                <v:stroke color="#000000" joinstyle="round"/>
                <v:imagedata o:title=""/>
                <o:lock v:ext="edit" aspectratio="f"/>
                <w10:anchorlock/>
              </v:line>
            </w:pict>
          </mc:Fallback>
        </mc:AlternateContent>
      </w:r>
    </w:p>
    <w:p>
      <w:pPr>
        <w:pStyle w:val="91"/>
        <w:spacing w:after="468"/>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"_Toc209076713" </w:instrText>
      </w:r>
      <w:r>
        <w:fldChar w:fldCharType="separate"/>
      </w:r>
      <w:r>
        <w:rPr>
          <w:rStyle w:val="32"/>
          <w:spacing w:val="320"/>
        </w:rPr>
        <w:t>前</w:t>
      </w:r>
      <w:r>
        <w:rPr>
          <w:rStyle w:val="32"/>
        </w:rPr>
        <w:t>言</w:t>
      </w:r>
      <w:r>
        <w:tab/>
      </w:r>
      <w:r>
        <w:fldChar w:fldCharType="begin"/>
      </w:r>
      <w:r>
        <w:instrText xml:space="preserve"> PAGEREF _Toc209076713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"_Toc209076714" </w:instrText>
      </w:r>
      <w:r>
        <w:fldChar w:fldCharType="separate"/>
      </w:r>
      <w:r>
        <w:rPr>
          <w:rStyle w:val="32"/>
        </w:rPr>
        <w:t>1 范围</w:t>
      </w:r>
      <w:r>
        <w:tab/>
      </w:r>
      <w:r>
        <w:fldChar w:fldCharType="begin"/>
      </w:r>
      <w:r>
        <w:instrText xml:space="preserve"> PAGEREF _Toc209076714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"_Toc209076715" </w:instrText>
      </w:r>
      <w:r>
        <w:fldChar w:fldCharType="separate"/>
      </w:r>
      <w:r>
        <w:rPr>
          <w:rStyle w:val="32"/>
        </w:rPr>
        <w:t>2 规范性引用文件</w:t>
      </w:r>
      <w:r>
        <w:tab/>
      </w:r>
      <w:r>
        <w:fldChar w:fldCharType="begin"/>
      </w:r>
      <w:r>
        <w:instrText xml:space="preserve"> PAGEREF _Toc209076715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"_Toc209076716" </w:instrText>
      </w:r>
      <w:r>
        <w:fldChar w:fldCharType="separate"/>
      </w:r>
      <w:r>
        <w:rPr>
          <w:rStyle w:val="32"/>
        </w:rPr>
        <w:t>3 术语和定义</w:t>
      </w:r>
      <w:r>
        <w:tab/>
      </w:r>
      <w:r>
        <w:fldChar w:fldCharType="begin"/>
      </w:r>
      <w:r>
        <w:instrText xml:space="preserve"> PAGEREF _Toc209076716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"_Toc209076717" </w:instrText>
      </w:r>
      <w:r>
        <w:fldChar w:fldCharType="separate"/>
      </w:r>
      <w:r>
        <w:rPr>
          <w:rStyle w:val="32"/>
        </w:rPr>
        <w:t>4 一般要求</w:t>
      </w:r>
      <w:r>
        <w:tab/>
      </w:r>
      <w:r>
        <w:fldChar w:fldCharType="begin"/>
      </w:r>
      <w:r>
        <w:instrText xml:space="preserve"> PAGEREF _Toc209076717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"_Toc209076718" </w:instrText>
      </w:r>
      <w:r>
        <w:fldChar w:fldCharType="separate"/>
      </w:r>
      <w:r>
        <w:rPr>
          <w:rStyle w:val="32"/>
        </w:rPr>
        <w:t>5 隐形化要求</w:t>
      </w:r>
      <w:r>
        <w:tab/>
      </w:r>
      <w:r>
        <w:fldChar w:fldCharType="begin"/>
      </w:r>
      <w:r>
        <w:instrText xml:space="preserve"> PAGEREF _Toc209076718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"_Toc209076719" </w:instrText>
      </w:r>
      <w:r>
        <w:fldChar w:fldCharType="separate"/>
      </w:r>
      <w:r>
        <w:rPr>
          <w:rStyle w:val="32"/>
        </w:rPr>
        <w:t>6 小型化要求</w:t>
      </w:r>
      <w:r>
        <w:tab/>
      </w:r>
      <w:r>
        <w:fldChar w:fldCharType="begin"/>
      </w:r>
      <w:r>
        <w:instrText xml:space="preserve"> PAGEREF _Toc209076719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"_Toc209076720" </w:instrText>
      </w:r>
      <w:r>
        <w:fldChar w:fldCharType="separate"/>
      </w:r>
      <w:r>
        <w:rPr>
          <w:rStyle w:val="32"/>
        </w:rPr>
        <w:t>7 景观化要求</w:t>
      </w:r>
      <w:r>
        <w:tab/>
      </w:r>
      <w:r>
        <w:fldChar w:fldCharType="begin"/>
      </w:r>
      <w:r>
        <w:instrText xml:space="preserve"> PAGEREF _Toc209076720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"_Toc209076721" </w:instrText>
      </w:r>
      <w:r>
        <w:fldChar w:fldCharType="separate"/>
      </w:r>
      <w:r>
        <w:rPr>
          <w:rStyle w:val="32"/>
        </w:rPr>
        <w:t>8 箱体基础外观要求</w:t>
      </w:r>
      <w:r>
        <w:tab/>
      </w:r>
      <w:r>
        <w:fldChar w:fldCharType="begin"/>
      </w:r>
      <w:r>
        <w:instrText xml:space="preserve"> PAGEREF _Toc209076721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"_Toc209076722" </w:instrText>
      </w:r>
      <w:r>
        <w:fldChar w:fldCharType="separate"/>
      </w:r>
      <w:r>
        <w:rPr>
          <w:rStyle w:val="32"/>
        </w:rPr>
        <w:t>9 验证方法与持续改进</w:t>
      </w:r>
      <w:r>
        <w:tab/>
      </w:r>
      <w:r>
        <w:fldChar w:fldCharType="begin"/>
      </w:r>
      <w:r>
        <w:instrText xml:space="preserve"> PAGEREF _Toc209076722 \h </w:instrText>
      </w:r>
      <w:r>
        <w:fldChar w:fldCharType="separate"/>
      </w:r>
      <w:r>
        <w:t>5</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"_Toc209076723" </w:instrText>
      </w:r>
      <w:r>
        <w:fldChar w:fldCharType="separate"/>
      </w:r>
      <w:r>
        <w:rPr>
          <w:rStyle w:val="32"/>
          <w14:scene3d>
            <w14:lightRig w14:rig="threePt" w14:dir="t">
              <w14:rot w14:lat="0" w14:lon="0" w14:rev="0"/>
            </w14:lightRig>
          </w14:scene3d>
        </w:rPr>
        <w:t>9.1</w:t>
      </w:r>
      <w:r>
        <w:rPr>
          <w:rStyle w:val="32"/>
        </w:rPr>
        <w:t xml:space="preserve"> 验证方法</w:t>
      </w:r>
      <w:r>
        <w:tab/>
      </w:r>
      <w:r>
        <w:fldChar w:fldCharType="begin"/>
      </w:r>
      <w:r>
        <w:instrText xml:space="preserve"> PAGEREF _Toc209076723 \h </w:instrText>
      </w:r>
      <w:r>
        <w:fldChar w:fldCharType="separate"/>
      </w:r>
      <w:r>
        <w:t>5</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"_Toc209076724" </w:instrText>
      </w:r>
      <w:r>
        <w:fldChar w:fldCharType="separate"/>
      </w:r>
      <w:r>
        <w:rPr>
          <w:rStyle w:val="32"/>
          <w14:scene3d>
            <w14:lightRig w14:rig="threePt" w14:dir="t">
              <w14:rot w14:lat="0" w14:lon="0" w14:rev="0"/>
            </w14:lightRig>
          </w14:scene3d>
        </w:rPr>
        <w:t>9.2</w:t>
      </w:r>
      <w:r>
        <w:rPr>
          <w:rStyle w:val="32"/>
        </w:rPr>
        <w:t xml:space="preserve"> 持续改进</w:t>
      </w:r>
      <w:r>
        <w:tab/>
      </w:r>
      <w:r>
        <w:fldChar w:fldCharType="begin"/>
      </w:r>
      <w:r>
        <w:instrText xml:space="preserve"> PAGEREF _Toc209076724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"_Toc209076725" </w:instrText>
      </w:r>
      <w:r>
        <w:fldChar w:fldCharType="separate"/>
      </w:r>
      <w:r>
        <w:rPr>
          <w:rStyle w:val="32"/>
          <w:spacing w:val="100"/>
        </w:rPr>
        <w:t>附录A</w:t>
      </w:r>
      <w:r>
        <w:rPr>
          <w:rStyle w:val="32"/>
        </w:rPr>
        <w:t xml:space="preserve"> （资料性） 电力箱体示意图</w:t>
      </w:r>
      <w:r>
        <w:tab/>
      </w:r>
      <w:r>
        <w:fldChar w:fldCharType="begin"/>
      </w:r>
      <w:r>
        <w:instrText xml:space="preserve"> PAGEREF _Toc209076725 \h </w:instrText>
      </w:r>
      <w:r>
        <w:fldChar w:fldCharType="separate"/>
      </w:r>
      <w:r>
        <w:t>6</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"_Toc209076726" </w:instrText>
      </w:r>
      <w:r>
        <w:fldChar w:fldCharType="separate"/>
      </w:r>
      <w:r>
        <w:rPr>
          <w:rStyle w:val="32"/>
          <w:spacing w:val="100"/>
        </w:rPr>
        <w:t>附录B</w:t>
      </w:r>
      <w:r>
        <w:rPr>
          <w:rStyle w:val="32"/>
        </w:rPr>
        <w:t xml:space="preserve"> （资料性） 电力箱体景观化样式示例</w:t>
      </w:r>
      <w:r>
        <w:tab/>
      </w:r>
      <w:r>
        <w:fldChar w:fldCharType="begin"/>
      </w:r>
      <w:r>
        <w:instrText xml:space="preserve"> PAGEREF _Toc209076726 \h </w:instrText>
      </w:r>
      <w:r>
        <w:fldChar w:fldCharType="separate"/>
      </w:r>
      <w:r>
        <w:t>8</w:t>
      </w:r>
      <w:r>
        <w:fldChar w:fldCharType="end"/>
      </w:r>
      <w:r>
        <w:fldChar w:fldCharType="end"/>
      </w:r>
    </w:p>
    <w:p>
      <w:pPr>
        <w:pStyle w:val="91"/>
        <w:spacing w:after="468"/>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after="468"/>
      </w:pPr>
      <w:bookmarkStart w:id="22" w:name="_Toc209076713"/>
      <w:bookmarkStart w:id="23" w:name="BookMark2"/>
      <w:r>
        <w:rPr>
          <w:spacing w:val="320"/>
        </w:rPr>
        <w:t>前</w:t>
      </w:r>
      <w:r>
        <w:t>言</w:t>
      </w:r>
      <w:bookmarkEnd w:id="22"/>
    </w:p>
    <w:p>
      <w:pPr>
        <w:pStyle w:val="56"/>
        <w:ind w:firstLine="420"/>
      </w:pPr>
      <w:r>
        <w:rPr>
          <w:rFonts w:hint="eastAsia"/>
        </w:rPr>
        <w:t>本文件按照GB/T 1.1—2020《标准化工作导则  第1部分：标准化文件的结构和起草规则》的规定起草。</w:t>
      </w:r>
    </w:p>
    <w:p>
      <w:pPr>
        <w:pStyle w:val="56"/>
        <w:ind w:firstLine="420"/>
      </w:pPr>
      <w:r>
        <w:rPr>
          <w:rFonts w:hint="eastAsia"/>
        </w:rPr>
        <w:t>本文件由北京市城市管理委员会提出并归口。</w:t>
      </w:r>
    </w:p>
    <w:p>
      <w:pPr>
        <w:pStyle w:val="56"/>
        <w:ind w:firstLine="420"/>
      </w:pPr>
      <w:r>
        <w:rPr>
          <w:rFonts w:hint="eastAsia"/>
        </w:rPr>
        <w:t>本文件由北京市城市管理委员会组织实施。</w:t>
      </w:r>
    </w:p>
    <w:p>
      <w:pPr>
        <w:pStyle w:val="56"/>
        <w:ind w:firstLine="420"/>
      </w:pPr>
      <w:r>
        <w:rPr>
          <w:rFonts w:hint="eastAsia"/>
        </w:rPr>
        <w:t>本文件起草单位：</w:t>
      </w:r>
      <w:bookmarkStart w:id="96" w:name="_GoBack"/>
      <w:bookmarkEnd w:id="96"/>
      <w:r>
        <w:rPr>
          <w:rFonts w:hint="eastAsia"/>
        </w:rPr>
        <w:t>。</w:t>
      </w:r>
    </w:p>
    <w:p>
      <w:pPr>
        <w:pStyle w:val="56"/>
        <w:ind w:firstLine="420"/>
      </w:pPr>
      <w:r>
        <w:rPr>
          <w:rFonts w:hint="eastAsia"/>
        </w:rPr>
        <w:t>本文件主要起草人：。</w:t>
      </w:r>
    </w:p>
    <w:p>
      <w:pPr>
        <w:pStyle w:val="56"/>
        <w:ind w:left="0" w:leftChars="0" w:firstLine="0" w:firstLineChars="0"/>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FED66C7CABAC4107A4A6F3205F3F8D70"/>
        </w:placeholder>
      </w:sdtPr>
      <w:sdtContent>
        <w:p>
          <w:pPr>
            <w:pStyle w:val="177"/>
            <w:spacing w:before="312" w:beforeLines="100" w:after="686" w:afterLines="220"/>
          </w:pPr>
          <w:bookmarkStart w:id="25" w:name="NEW_STAND_NAME"/>
          <w:r>
            <w:rPr>
              <w:rFonts w:hint="eastAsia"/>
            </w:rPr>
            <w:t>城市道路电力箱体三化设置规范</w:t>
          </w:r>
        </w:p>
      </w:sdtContent>
    </w:sdt>
    <w:bookmarkEnd w:id="25"/>
    <w:p>
      <w:pPr>
        <w:pStyle w:val="104"/>
        <w:spacing w:before="312" w:after="312"/>
      </w:pPr>
      <w:bookmarkStart w:id="26" w:name="_Toc24884211"/>
      <w:bookmarkStart w:id="27" w:name="_Toc26986530"/>
      <w:bookmarkStart w:id="28" w:name="_Toc17233325"/>
      <w:bookmarkStart w:id="29" w:name="_Toc26718930"/>
      <w:bookmarkStart w:id="30" w:name="_Toc26986771"/>
      <w:bookmarkStart w:id="31" w:name="_Toc209076714"/>
      <w:bookmarkStart w:id="32" w:name="_Toc26648465"/>
      <w:bookmarkStart w:id="33" w:name="_Toc24884218"/>
      <w:bookmarkStart w:id="34" w:name="_Toc17233333"/>
      <w:bookmarkStart w:id="35" w:name="_Toc97191423"/>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pPr>
      <w:bookmarkStart w:id="36" w:name="_Toc24884219"/>
      <w:bookmarkStart w:id="37" w:name="_Toc24884212"/>
      <w:bookmarkStart w:id="38" w:name="_Toc17233326"/>
      <w:bookmarkStart w:id="39" w:name="_Toc17233334"/>
      <w:bookmarkStart w:id="40" w:name="_Toc26648466"/>
      <w:r>
        <w:rPr>
          <w:rFonts w:hint="eastAsia"/>
        </w:rPr>
        <w:t>本文件规定了城市道路电力箱体设置的一般要求、隐形化、小型化、景观化（简称“三化”）要求、箱体基础外观要求及验证方法与持续改进。</w:t>
      </w:r>
    </w:p>
    <w:p>
      <w:pPr>
        <w:pStyle w:val="56"/>
        <w:ind w:firstLine="420"/>
      </w:pPr>
      <w:r>
        <w:rPr>
          <w:rFonts w:hint="eastAsia"/>
        </w:rPr>
        <w:t>本文件适用于城市道路电力箱体的三化建设工作。因重大活动保障、应急抢修、突发自然灾害等设置的临时电力箱体可参照使用。</w:t>
      </w:r>
    </w:p>
    <w:p>
      <w:pPr>
        <w:pStyle w:val="56"/>
        <w:ind w:firstLine="420"/>
      </w:pPr>
      <w:r>
        <w:rPr>
          <w:rFonts w:hint="eastAsia"/>
        </w:rPr>
        <w:t>本文件不适用于特定节日或者庆典活动期间设置的临时电力箱体。</w:t>
      </w:r>
    </w:p>
    <w:p>
      <w:pPr>
        <w:pStyle w:val="104"/>
        <w:spacing w:before="312" w:after="312"/>
      </w:pPr>
      <w:bookmarkStart w:id="41" w:name="_Toc97191424"/>
      <w:bookmarkStart w:id="42" w:name="_Toc209076715"/>
      <w:bookmarkStart w:id="43" w:name="_Toc26718931"/>
      <w:bookmarkStart w:id="44" w:name="_Toc26986531"/>
      <w:bookmarkStart w:id="45" w:name="_Toc26986772"/>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D504249FCB614576BC4E0221BAA809B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GB 2894  安全</w:t>
      </w:r>
      <w:r>
        <w:t>色和安全标志</w:t>
      </w:r>
    </w:p>
    <w:p>
      <w:pPr>
        <w:pStyle w:val="56"/>
        <w:ind w:firstLine="420"/>
      </w:pPr>
      <w:bookmarkStart w:id="46" w:name="OLE_LINK4"/>
      <w:bookmarkStart w:id="47" w:name="OLE_LINK5"/>
      <w:r>
        <w:rPr>
          <w:rFonts w:hint="eastAsia"/>
        </w:rPr>
        <w:t>GB 5768.2</w:t>
      </w:r>
      <w:bookmarkEnd w:id="46"/>
      <w:bookmarkEnd w:id="47"/>
      <w:r>
        <w:rPr>
          <w:rFonts w:hint="eastAsia"/>
        </w:rPr>
        <w:t xml:space="preserve">  道路交通标志和标线 第2部分：道路交通标志</w:t>
      </w:r>
    </w:p>
    <w:p>
      <w:pPr>
        <w:pStyle w:val="56"/>
        <w:ind w:firstLine="420"/>
      </w:pPr>
      <w:bookmarkStart w:id="48" w:name="OLE_LINK7"/>
      <w:bookmarkStart w:id="49" w:name="OLE_LINK6"/>
      <w:r>
        <w:rPr>
          <w:rFonts w:hint="eastAsia"/>
        </w:rPr>
        <w:t xml:space="preserve">GB/T 10001.1 </w:t>
      </w:r>
      <w:bookmarkEnd w:id="48"/>
      <w:bookmarkEnd w:id="49"/>
      <w:r>
        <w:rPr>
          <w:rFonts w:hint="eastAsia"/>
        </w:rPr>
        <w:t xml:space="preserve"> 公共信息图形符号 第1部分:通用符号</w:t>
      </w:r>
    </w:p>
    <w:p>
      <w:pPr>
        <w:pStyle w:val="56"/>
        <w:ind w:firstLine="420"/>
      </w:pPr>
      <w:r>
        <w:rPr>
          <w:rFonts w:hint="eastAsia"/>
        </w:rPr>
        <w:t xml:space="preserve">GB/T </w:t>
      </w:r>
      <w:bookmarkStart w:id="50" w:name="OLE_LINK8"/>
      <w:r>
        <w:rPr>
          <w:rFonts w:hint="eastAsia"/>
        </w:rPr>
        <w:t>29481</w:t>
      </w:r>
      <w:bookmarkEnd w:id="50"/>
      <w:r>
        <w:rPr>
          <w:rFonts w:hint="eastAsia"/>
        </w:rPr>
        <w:t xml:space="preserve">  电气安全标志</w:t>
      </w:r>
    </w:p>
    <w:p>
      <w:pPr>
        <w:pStyle w:val="56"/>
        <w:ind w:firstLine="420"/>
        <w:rPr>
          <w:color w:val="000000" w:themeColor="text1"/>
          <w14:textFill>
            <w14:solidFill>
              <w14:schemeClr w14:val="tx1"/>
            </w14:solidFill>
          </w14:textFill>
        </w:rPr>
      </w:pPr>
      <w:bookmarkStart w:id="51" w:name="OLE_LINK10"/>
      <w:bookmarkStart w:id="52" w:name="OLE_LINK9"/>
      <w:r>
        <w:rPr>
          <w:rFonts w:hint="eastAsia"/>
          <w:color w:val="000000" w:themeColor="text1"/>
          <w14:textFill>
            <w14:solidFill>
              <w14:schemeClr w14:val="tx1"/>
            </w14:solidFill>
          </w14:textFill>
        </w:rPr>
        <w:t>GB 50014</w:t>
      </w:r>
      <w:bookmarkEnd w:id="51"/>
      <w:bookmarkEnd w:id="52"/>
      <w:r>
        <w:rPr>
          <w:rFonts w:hint="eastAsia"/>
          <w:color w:val="000000" w:themeColor="text1"/>
          <w14:textFill>
            <w14:solidFill>
              <w14:schemeClr w14:val="tx1"/>
            </w14:solidFill>
          </w14:textFill>
        </w:rPr>
        <w:t xml:space="preserve">  室外排水设计标准</w:t>
      </w:r>
    </w:p>
    <w:p>
      <w:pPr>
        <w:pStyle w:val="56"/>
        <w:ind w:firstLine="420"/>
      </w:pPr>
      <w:bookmarkStart w:id="53" w:name="OLE_LINK13"/>
      <w:bookmarkStart w:id="54" w:name="OLE_LINK14"/>
      <w:r>
        <w:rPr>
          <w:rFonts w:hint="eastAsia"/>
        </w:rPr>
        <w:t xml:space="preserve">GB 50052  </w:t>
      </w:r>
      <w:bookmarkEnd w:id="53"/>
      <w:bookmarkEnd w:id="54"/>
      <w:r>
        <w:rPr>
          <w:rFonts w:hint="eastAsia"/>
        </w:rPr>
        <w:t xml:space="preserve">供配电系统设计规范   </w:t>
      </w:r>
    </w:p>
    <w:p>
      <w:pPr>
        <w:pStyle w:val="56"/>
        <w:ind w:firstLine="420"/>
      </w:pPr>
      <w:r>
        <w:rPr>
          <w:rFonts w:hint="eastAsia"/>
        </w:rPr>
        <w:t>GB 50054  低压配电设计规范</w:t>
      </w:r>
    </w:p>
    <w:p>
      <w:pPr>
        <w:pStyle w:val="56"/>
        <w:ind w:firstLine="420"/>
      </w:pPr>
      <w:r>
        <w:rPr>
          <w:rFonts w:hint="eastAsia"/>
        </w:rPr>
        <w:t xml:space="preserve">GB 50060  </w:t>
      </w:r>
      <w:r>
        <w:t> 3</w:t>
      </w:r>
      <w:r>
        <w:rPr>
          <w:rFonts w:hint="eastAsia"/>
        </w:rPr>
        <w:t>～</w:t>
      </w:r>
      <w:r>
        <w:t>110kV高压配电装置设计规范</w:t>
      </w:r>
    </w:p>
    <w:p>
      <w:pPr>
        <w:pStyle w:val="56"/>
        <w:ind w:firstLine="420"/>
      </w:pPr>
      <w:r>
        <w:rPr>
          <w:rFonts w:hint="eastAsia"/>
        </w:rPr>
        <w:t>GB 50169  电气装置安装工程 接地装置施工及验收规范</w:t>
      </w:r>
    </w:p>
    <w:p>
      <w:pPr>
        <w:pStyle w:val="56"/>
        <w:ind w:firstLine="420"/>
      </w:pPr>
      <w:r>
        <w:rPr>
          <w:rFonts w:hint="eastAsia"/>
        </w:rPr>
        <w:t xml:space="preserve">GB 50217  电力工程电缆设计标准   </w:t>
      </w:r>
    </w:p>
    <w:p>
      <w:pPr>
        <w:pStyle w:val="56"/>
        <w:ind w:firstLine="420"/>
      </w:pPr>
      <w:r>
        <w:rPr>
          <w:rFonts w:hint="eastAsia"/>
        </w:rPr>
        <w:t>GB/T 50293  城市电力规划规范</w:t>
      </w:r>
    </w:p>
    <w:p>
      <w:pPr>
        <w:pStyle w:val="56"/>
        <w:ind w:firstLine="420"/>
      </w:pPr>
      <w:r>
        <w:rPr>
          <w:rFonts w:hint="eastAsia"/>
        </w:rPr>
        <w:t>GB 50348  安全防范工程技术标准</w:t>
      </w:r>
    </w:p>
    <w:p>
      <w:pPr>
        <w:pStyle w:val="56"/>
        <w:ind w:firstLine="420"/>
      </w:pPr>
      <w:r>
        <w:rPr>
          <w:rFonts w:hint="eastAsia"/>
        </w:rPr>
        <w:t>GB 50420  城市绿地设计规范</w:t>
      </w:r>
    </w:p>
    <w:p>
      <w:pPr>
        <w:pStyle w:val="56"/>
        <w:ind w:firstLine="420"/>
      </w:pPr>
      <w:r>
        <w:rPr>
          <w:rFonts w:hint="eastAsia"/>
        </w:rPr>
        <w:t>GB 50449  城市容貌标准</w:t>
      </w:r>
    </w:p>
    <w:p>
      <w:pPr>
        <w:pStyle w:val="56"/>
        <w:ind w:firstLine="420"/>
      </w:pPr>
      <w:r>
        <w:rPr>
          <w:rFonts w:hint="eastAsia"/>
        </w:rPr>
        <w:t>GB 50688  城市道路交通设施设计规范</w:t>
      </w:r>
    </w:p>
    <w:p>
      <w:pPr>
        <w:pStyle w:val="56"/>
        <w:ind w:firstLine="420"/>
      </w:pPr>
      <w:r>
        <w:rPr>
          <w:rFonts w:hint="eastAsia"/>
        </w:rPr>
        <w:t>GB 50763  无障碍设计规范</w:t>
      </w:r>
    </w:p>
    <w:p>
      <w:pPr>
        <w:pStyle w:val="56"/>
        <w:ind w:firstLine="420"/>
      </w:pPr>
      <w:r>
        <w:rPr>
          <w:rFonts w:hint="eastAsia"/>
        </w:rPr>
        <w:t>GB/T 51439  城市步行和自行车交通系统规划标准</w:t>
      </w:r>
    </w:p>
    <w:p>
      <w:pPr>
        <w:pStyle w:val="56"/>
        <w:ind w:firstLine="420"/>
      </w:pPr>
      <w:r>
        <w:rPr>
          <w:rFonts w:hint="eastAsia"/>
        </w:rPr>
        <w:t>DL/T 599  中低压配电网改造技术导则</w:t>
      </w:r>
    </w:p>
    <w:p>
      <w:pPr>
        <w:pStyle w:val="56"/>
        <w:ind w:firstLine="420"/>
      </w:pPr>
      <w:bookmarkStart w:id="55" w:name="OLE_LINK15"/>
      <w:bookmarkStart w:id="56" w:name="OLE_LINK1"/>
      <w:bookmarkStart w:id="57" w:name="OLE_LINK2"/>
      <w:bookmarkStart w:id="58" w:name="OLE_LINK3"/>
      <w:r>
        <w:rPr>
          <w:rFonts w:hint="eastAsia"/>
        </w:rPr>
        <w:t>DB11/T 500</w:t>
      </w:r>
      <w:bookmarkEnd w:id="55"/>
      <w:bookmarkEnd w:id="56"/>
      <w:bookmarkEnd w:id="57"/>
      <w:bookmarkEnd w:id="58"/>
      <w:r>
        <w:rPr>
          <w:rFonts w:hint="eastAsia"/>
        </w:rPr>
        <w:t xml:space="preserve">  城市道路城市家具设置与管理规范</w:t>
      </w:r>
    </w:p>
    <w:p>
      <w:pPr>
        <w:pStyle w:val="56"/>
        <w:ind w:firstLine="420"/>
        <w:rPr>
          <w:b/>
          <w:highlight w:val="yellow"/>
        </w:rPr>
      </w:pPr>
      <w:bookmarkStart w:id="59" w:name="OLE_LINK17"/>
      <w:bookmarkStart w:id="60" w:name="OLE_LINK16"/>
      <w:r>
        <w:rPr>
          <w:rFonts w:hint="eastAsia"/>
        </w:rPr>
        <w:t xml:space="preserve">DB11/T 1116 </w:t>
      </w:r>
      <w:bookmarkEnd w:id="59"/>
      <w:bookmarkEnd w:id="60"/>
      <w:r>
        <w:rPr>
          <w:rFonts w:hint="eastAsia"/>
        </w:rPr>
        <w:t xml:space="preserve">城市道路空间规划设计标准   </w:t>
      </w:r>
    </w:p>
    <w:p>
      <w:pPr>
        <w:pStyle w:val="56"/>
        <w:ind w:firstLine="420"/>
      </w:pPr>
      <w:bookmarkStart w:id="61" w:name="OLE_LINK18"/>
      <w:bookmarkStart w:id="62" w:name="OLE_LINK19"/>
      <w:r>
        <w:rPr>
          <w:rFonts w:hint="eastAsia"/>
        </w:rPr>
        <w:t xml:space="preserve">DB11/ 1761 </w:t>
      </w:r>
      <w:bookmarkEnd w:id="61"/>
      <w:bookmarkEnd w:id="62"/>
      <w:r>
        <w:rPr>
          <w:rFonts w:hint="eastAsia"/>
        </w:rPr>
        <w:t xml:space="preserve"> 步行和自行车交通环境规划设计标准  </w:t>
      </w:r>
    </w:p>
    <w:p>
      <w:pPr>
        <w:pStyle w:val="56"/>
        <w:ind w:firstLine="420"/>
      </w:pPr>
      <w:bookmarkStart w:id="63" w:name="OLE_LINK20"/>
      <w:bookmarkStart w:id="64" w:name="OLE_LINK21"/>
      <w:r>
        <w:rPr>
          <w:rFonts w:hint="eastAsia"/>
        </w:rPr>
        <w:t>DB11/T 1894</w:t>
      </w:r>
      <w:bookmarkEnd w:id="63"/>
      <w:bookmarkEnd w:id="64"/>
      <w:r>
        <w:rPr>
          <w:rFonts w:hint="eastAsia"/>
        </w:rPr>
        <w:t xml:space="preserve">  10kV及以下配电网设施配置技术规范</w:t>
      </w:r>
    </w:p>
    <w:p>
      <w:pPr>
        <w:pStyle w:val="104"/>
        <w:spacing w:before="312" w:after="312"/>
      </w:pPr>
      <w:bookmarkStart w:id="65" w:name="_Toc97191425"/>
      <w:bookmarkStart w:id="66" w:name="_Toc209076716"/>
      <w:r>
        <w:rPr>
          <w:rFonts w:hint="eastAsia"/>
          <w:szCs w:val="21"/>
        </w:rPr>
        <w:t>术语和定义</w:t>
      </w:r>
      <w:bookmarkEnd w:id="65"/>
      <w:bookmarkEnd w:id="66"/>
    </w:p>
    <w:sdt>
      <w:sdtPr>
        <w:id w:val="-1909835108"/>
        <w:placeholder>
          <w:docPart w:val="AA61351804174DC39B95CE3ECA1D148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67" w:name="_Toc26986532"/>
          <w:bookmarkEnd w:id="67"/>
          <w:r>
            <w:t>下列术语和定义适用于本文件。</w:t>
          </w:r>
        </w:p>
      </w:sdtContent>
    </w:sdt>
    <w:p>
      <w:pPr>
        <w:pStyle w:val="223"/>
        <w:ind w:left="420" w:hanging="420" w:hangingChars="200"/>
        <w:rPr>
          <w:rFonts w:ascii="黑体" w:hAnsi="黑体" w:eastAsia="黑体"/>
        </w:rPr>
      </w:pPr>
    </w:p>
    <w:p>
      <w:pPr>
        <w:pStyle w:val="56"/>
        <w:ind w:firstLine="420"/>
        <w:rPr>
          <w:rFonts w:ascii="黑体" w:hAnsi="黑体" w:eastAsia="黑体"/>
        </w:rPr>
      </w:pPr>
      <w:r>
        <w:rPr>
          <w:rFonts w:hint="eastAsia" w:ascii="黑体" w:hAnsi="黑体" w:eastAsia="黑体"/>
        </w:rPr>
        <w:t>城市道路 urban roads</w:t>
      </w:r>
    </w:p>
    <w:p>
      <w:pPr>
        <w:pStyle w:val="56"/>
        <w:ind w:firstLine="420"/>
      </w:pPr>
      <w:r>
        <w:rPr>
          <w:rFonts w:hint="eastAsia"/>
        </w:rPr>
        <w:t>城市中供车辆和行人通行的道路，包括与道路相邻的广场、公共绿地等公共空间。</w:t>
      </w:r>
    </w:p>
    <w:p>
      <w:pPr>
        <w:pStyle w:val="223"/>
        <w:ind w:left="420" w:hanging="420" w:hangingChars="200"/>
      </w:pPr>
    </w:p>
    <w:p>
      <w:pPr>
        <w:pStyle w:val="56"/>
        <w:ind w:firstLine="420"/>
        <w:rPr>
          <w:rFonts w:ascii="黑体" w:hAnsi="黑体" w:eastAsia="黑体"/>
        </w:rPr>
      </w:pPr>
      <w:r>
        <w:rPr>
          <w:rFonts w:hint="eastAsia" w:ascii="黑体" w:hAnsi="黑体" w:eastAsia="黑体"/>
        </w:rPr>
        <w:t>电力箱体 electric power cabinet</w:t>
      </w:r>
    </w:p>
    <w:p>
      <w:pPr>
        <w:pStyle w:val="56"/>
        <w:ind w:firstLine="420"/>
      </w:pPr>
      <w:r>
        <w:rPr>
          <w:rFonts w:hint="eastAsia"/>
        </w:rPr>
        <w:t>用于集中安装电力设备、电气元件的箱体，包括箱式变电站、环网箱、低压配电箱、低压计量箱、低压电缆分支箱等。</w:t>
      </w:r>
    </w:p>
    <w:p>
      <w:pPr>
        <w:pStyle w:val="223"/>
        <w:ind w:left="420" w:hanging="420" w:hangingChars="200"/>
      </w:pPr>
    </w:p>
    <w:p>
      <w:pPr>
        <w:pStyle w:val="56"/>
        <w:ind w:firstLine="420"/>
        <w:rPr>
          <w:rFonts w:ascii="黑体" w:hAnsi="黑体" w:eastAsia="黑体"/>
        </w:rPr>
      </w:pPr>
      <w:r>
        <w:rPr>
          <w:rFonts w:hint="eastAsia" w:ascii="黑体" w:hAnsi="黑体" w:eastAsia="黑体"/>
        </w:rPr>
        <w:t>箱式变电站 cabinet/pad-mounted distribution substation</w:t>
      </w:r>
    </w:p>
    <w:p>
      <w:pPr>
        <w:pStyle w:val="56"/>
        <w:ind w:firstLine="420"/>
      </w:pPr>
      <w:r>
        <w:rPr>
          <w:rFonts w:hint="eastAsia"/>
        </w:rPr>
        <w:t xml:space="preserve">由10kV开关、配电变压器、低压出线开关、无功补偿装置、计量装置等设备共同安装于一个封闭箱体内的户外配电装置，也称预装式变电站或组合式变电站。 </w:t>
      </w:r>
    </w:p>
    <w:p>
      <w:pPr>
        <w:pStyle w:val="56"/>
        <w:ind w:firstLine="420"/>
      </w:pPr>
      <w:r>
        <w:rPr>
          <w:rFonts w:hint="eastAsia"/>
        </w:rPr>
        <w:t>[来源：DB11/T 1894 - 2021，3.12]</w:t>
      </w:r>
    </w:p>
    <w:p>
      <w:pPr>
        <w:pStyle w:val="223"/>
        <w:ind w:left="420" w:hanging="420" w:hangingChars="200"/>
      </w:pPr>
    </w:p>
    <w:p>
      <w:pPr>
        <w:pStyle w:val="56"/>
        <w:ind w:firstLine="420"/>
        <w:rPr>
          <w:rFonts w:ascii="黑体" w:hAnsi="黑体" w:eastAsia="黑体"/>
        </w:rPr>
      </w:pPr>
      <w:r>
        <w:rPr>
          <w:rFonts w:hint="eastAsia" w:ascii="黑体" w:hAnsi="黑体" w:eastAsia="黑体"/>
        </w:rPr>
        <w:t>环网箱 ring main unit cabinet</w:t>
      </w:r>
    </w:p>
    <w:p>
      <w:pPr>
        <w:pStyle w:val="56"/>
        <w:ind w:firstLine="420"/>
      </w:pPr>
      <w:r>
        <w:rPr>
          <w:rFonts w:hint="eastAsia"/>
        </w:rPr>
        <w:t>或称户外开关箱，是安装于户外、由多面环网柜组成、有外箱壳防护、用于中压电压线路环进环出及分接负荷且不含配电变压器的配电设施。</w:t>
      </w:r>
    </w:p>
    <w:p>
      <w:pPr>
        <w:pStyle w:val="56"/>
        <w:ind w:firstLine="420"/>
      </w:pPr>
      <w:r>
        <w:rPr>
          <w:rFonts w:hint="eastAsia"/>
        </w:rPr>
        <w:t>[来源：DL/T 599 - 2016，3.5]</w:t>
      </w:r>
    </w:p>
    <w:p>
      <w:pPr>
        <w:pStyle w:val="223"/>
        <w:ind w:left="420" w:hanging="420" w:hangingChars="200"/>
      </w:pPr>
    </w:p>
    <w:p>
      <w:pPr>
        <w:pStyle w:val="56"/>
        <w:ind w:firstLine="420"/>
        <w:rPr>
          <w:rFonts w:ascii="黑体" w:hAnsi="黑体" w:eastAsia="黑体"/>
        </w:rPr>
      </w:pPr>
      <w:r>
        <w:rPr>
          <w:rFonts w:hint="eastAsia" w:ascii="黑体" w:hAnsi="黑体" w:eastAsia="黑体"/>
        </w:rPr>
        <w:t>低压配电箱 low voltage distribution board</w:t>
      </w:r>
    </w:p>
    <w:p>
      <w:pPr>
        <w:pStyle w:val="56"/>
        <w:ind w:firstLine="420"/>
      </w:pPr>
      <w:r>
        <w:rPr>
          <w:rFonts w:hint="eastAsia"/>
        </w:rPr>
        <w:t>用于低压电能的分配和控制且内部安装电气元件的金属或非金属箱体。</w:t>
      </w:r>
    </w:p>
    <w:p>
      <w:pPr>
        <w:pStyle w:val="223"/>
        <w:ind w:left="420" w:hanging="420" w:hangingChars="200"/>
      </w:pPr>
    </w:p>
    <w:p>
      <w:pPr>
        <w:pStyle w:val="56"/>
        <w:ind w:firstLine="420"/>
        <w:rPr>
          <w:rFonts w:ascii="黑体" w:hAnsi="黑体" w:eastAsia="黑体"/>
        </w:rPr>
      </w:pPr>
      <w:r>
        <w:rPr>
          <w:rFonts w:hint="eastAsia" w:ascii="黑体" w:hAnsi="黑体" w:eastAsia="黑体"/>
        </w:rPr>
        <w:t>低压计量箱 low voltage metering cabinet</w:t>
      </w:r>
    </w:p>
    <w:p>
      <w:pPr>
        <w:pStyle w:val="56"/>
        <w:ind w:firstLine="420"/>
      </w:pPr>
      <w:r>
        <w:rPr>
          <w:rFonts w:hint="eastAsia"/>
        </w:rPr>
        <w:t>由各种类型的电能表或计量用电压、电流互感器及其二次回路相连接组成的、用于低压计量电能的装置。</w:t>
      </w:r>
    </w:p>
    <w:p>
      <w:pPr>
        <w:pStyle w:val="223"/>
        <w:ind w:left="420" w:hanging="420" w:hangingChars="200"/>
      </w:pPr>
    </w:p>
    <w:p>
      <w:pPr>
        <w:pStyle w:val="56"/>
        <w:ind w:firstLine="420"/>
        <w:rPr>
          <w:rFonts w:ascii="黑体" w:hAnsi="黑体" w:eastAsia="黑体"/>
        </w:rPr>
      </w:pPr>
      <w:r>
        <w:rPr>
          <w:rFonts w:hint="eastAsia" w:ascii="黑体" w:hAnsi="黑体" w:eastAsia="黑体"/>
        </w:rPr>
        <w:t>低压电缆分支箱 low voltage cable branch box</w:t>
      </w:r>
    </w:p>
    <w:p>
      <w:pPr>
        <w:pStyle w:val="56"/>
        <w:ind w:firstLine="420"/>
      </w:pPr>
      <w:r>
        <w:rPr>
          <w:rFonts w:hint="eastAsia"/>
        </w:rPr>
        <w:t>或称低压电缆分接箱，可完成配电系统中电缆线路的汇集和分接功能、配置塑壳式断路器保护或熔断器—刀闸保护、一般采取户外或户内的落地或挂墙安装的装置。</w:t>
      </w:r>
    </w:p>
    <w:p>
      <w:pPr>
        <w:pStyle w:val="56"/>
        <w:ind w:firstLine="420"/>
      </w:pPr>
      <w:r>
        <w:rPr>
          <w:rFonts w:hint="eastAsia"/>
        </w:rPr>
        <w:t>[来源：DL/T 599 - 2016，3.9]</w:t>
      </w:r>
    </w:p>
    <w:p>
      <w:pPr>
        <w:pStyle w:val="223"/>
        <w:ind w:left="420" w:hanging="420" w:hangingChars="200"/>
      </w:pPr>
    </w:p>
    <w:p>
      <w:pPr>
        <w:pStyle w:val="56"/>
        <w:ind w:firstLine="420"/>
        <w:rPr>
          <w:rFonts w:ascii="黑体" w:hAnsi="黑体" w:eastAsia="黑体"/>
        </w:rPr>
      </w:pPr>
      <w:r>
        <w:rPr>
          <w:rFonts w:hint="eastAsia" w:ascii="黑体" w:hAnsi="黑体" w:eastAsia="黑体"/>
        </w:rPr>
        <w:t>电力箱体三化 three transformations of electric power cabinet</w:t>
      </w:r>
    </w:p>
    <w:p>
      <w:pPr>
        <w:pStyle w:val="56"/>
        <w:ind w:firstLine="420"/>
      </w:pPr>
      <w:r>
        <w:rPr>
          <w:rFonts w:hint="eastAsia"/>
        </w:rPr>
        <w:t>使电力箱体满足“隐形化、小型化、景观化”的设置。</w:t>
      </w:r>
    </w:p>
    <w:p>
      <w:pPr>
        <w:pStyle w:val="223"/>
        <w:ind w:left="420" w:hanging="420" w:hangingChars="200"/>
      </w:pPr>
    </w:p>
    <w:p>
      <w:pPr>
        <w:pStyle w:val="56"/>
        <w:ind w:firstLine="420"/>
        <w:rPr>
          <w:rFonts w:ascii="黑体" w:hAnsi="黑体" w:eastAsia="黑体"/>
        </w:rPr>
      </w:pPr>
      <w:r>
        <w:rPr>
          <w:rFonts w:hint="eastAsia" w:ascii="黑体" w:hAnsi="黑体" w:eastAsia="黑体"/>
        </w:rPr>
        <w:t xml:space="preserve">隐形化 invisible installation </w:t>
      </w:r>
    </w:p>
    <w:p>
      <w:pPr>
        <w:pStyle w:val="56"/>
        <w:ind w:firstLine="420"/>
      </w:pPr>
      <w:r>
        <w:rPr>
          <w:rFonts w:hint="eastAsia"/>
        </w:rPr>
        <w:t>通过采用迁移入建（构）筑物、伪装技术等方式，实现电力箱体隐蔽的设置。</w:t>
      </w:r>
    </w:p>
    <w:p>
      <w:pPr>
        <w:pStyle w:val="223"/>
        <w:ind w:left="420" w:hanging="420" w:hangingChars="200"/>
      </w:pPr>
    </w:p>
    <w:p>
      <w:pPr>
        <w:pStyle w:val="56"/>
        <w:ind w:firstLine="420"/>
        <w:rPr>
          <w:rFonts w:ascii="黑体" w:hAnsi="黑体" w:eastAsia="黑体"/>
        </w:rPr>
      </w:pPr>
      <w:r>
        <w:rPr>
          <w:rFonts w:hint="eastAsia" w:ascii="黑体" w:hAnsi="黑体" w:eastAsia="黑体"/>
        </w:rPr>
        <w:t>小型化 miniaturized installation</w:t>
      </w:r>
    </w:p>
    <w:p>
      <w:pPr>
        <w:pStyle w:val="56"/>
        <w:ind w:firstLine="420"/>
      </w:pPr>
      <w:r>
        <w:rPr>
          <w:rFonts w:hint="eastAsia"/>
        </w:rPr>
        <w:t>通过新技术、新材料、新工艺等，实现电力箱体外形尺寸和占地面积小型化的设置。</w:t>
      </w:r>
    </w:p>
    <w:p>
      <w:pPr>
        <w:pStyle w:val="223"/>
        <w:ind w:left="420" w:hanging="420" w:hangingChars="200"/>
      </w:pPr>
    </w:p>
    <w:p>
      <w:pPr>
        <w:pStyle w:val="56"/>
        <w:ind w:firstLine="420"/>
        <w:rPr>
          <w:rFonts w:ascii="黑体" w:hAnsi="黑体" w:eastAsia="黑体"/>
        </w:rPr>
      </w:pPr>
      <w:r>
        <w:rPr>
          <w:rFonts w:hint="eastAsia" w:ascii="黑体" w:hAnsi="黑体" w:eastAsia="黑体"/>
        </w:rPr>
        <w:t>景观化 landscaped installation</w:t>
      </w:r>
    </w:p>
    <w:p>
      <w:pPr>
        <w:pStyle w:val="56"/>
        <w:ind w:firstLine="420"/>
      </w:pPr>
      <w:r>
        <w:rPr>
          <w:rFonts w:hint="eastAsia"/>
        </w:rPr>
        <w:t>通过外形设计、外观装饰等方式，实现电力箱体景观化的设置。</w:t>
      </w:r>
    </w:p>
    <w:p>
      <w:pPr>
        <w:pStyle w:val="104"/>
        <w:spacing w:before="312" w:after="312"/>
      </w:pPr>
      <w:bookmarkStart w:id="68" w:name="_Toc209076717"/>
      <w:r>
        <w:rPr>
          <w:rFonts w:hint="eastAsia"/>
        </w:rPr>
        <w:t>一般</w:t>
      </w:r>
      <w:r>
        <w:t>要求</w:t>
      </w:r>
      <w:bookmarkEnd w:id="68"/>
    </w:p>
    <w:p>
      <w:pPr>
        <w:pStyle w:val="162"/>
      </w:pPr>
      <w:r>
        <w:rPr>
          <w:rFonts w:hint="eastAsia"/>
        </w:rPr>
        <w:t xml:space="preserve"> </w:t>
      </w:r>
      <w:bookmarkStart w:id="69" w:name="OLE_LINK48"/>
      <w:r>
        <w:rPr>
          <w:rFonts w:hint="eastAsia"/>
        </w:rPr>
        <w:t>电力箱体三化</w:t>
      </w:r>
      <w:bookmarkEnd w:id="69"/>
      <w:r>
        <w:rPr>
          <w:rFonts w:hint="eastAsia"/>
        </w:rPr>
        <w:t>应与城市街区规划和整体景观风貌相匹配，满足城市管理和公共服务需求，并遵循集约利用空间的原则，科学选址，整合资源，箱体减量，减少占用公共空间资源。</w:t>
      </w:r>
    </w:p>
    <w:p>
      <w:pPr>
        <w:pStyle w:val="162"/>
      </w:pPr>
      <w:r>
        <w:rPr>
          <w:rFonts w:hint="eastAsia"/>
        </w:rPr>
        <w:t>电力箱体无障碍设计符合GB 50763，慢行系统建设符合GB/T 51439，电力规划的相关要求符合GB/T 50293，城市</w:t>
      </w:r>
      <w:r>
        <w:t>道路空间内</w:t>
      </w:r>
      <w:r>
        <w:rPr>
          <w:rFonts w:hint="eastAsia"/>
        </w:rPr>
        <w:t>规划</w:t>
      </w:r>
      <w:r>
        <w:t>布局</w:t>
      </w:r>
      <w:r>
        <w:rPr>
          <w:rFonts w:hint="eastAsia"/>
        </w:rPr>
        <w:t>应</w:t>
      </w:r>
      <w:r>
        <w:t>遵循</w:t>
      </w:r>
      <w:r>
        <w:rPr>
          <w:rFonts w:hint="eastAsia"/>
        </w:rPr>
        <w:t>DB</w:t>
      </w:r>
      <w:r>
        <w:t>11/T 1116</w:t>
      </w:r>
      <w:r>
        <w:rPr>
          <w:rFonts w:hint="eastAsia"/>
        </w:rPr>
        <w:t xml:space="preserve">。 </w:t>
      </w:r>
    </w:p>
    <w:p>
      <w:pPr>
        <w:pStyle w:val="162"/>
      </w:pPr>
      <w:r>
        <w:rPr>
          <w:rFonts w:hint="eastAsia"/>
        </w:rPr>
        <w:t>电力箱体的外观、体量、材质、色彩设计应与城市区域功能、风貌相适应，与街区历史文化、人文特色相融合，与周围市容环境、城市景观相协调，符合GB 50449要求，并结合城市地下空间建设进行设置，同一道路的同类电力箱体的样式、色彩、材质应保持统一。</w:t>
      </w:r>
    </w:p>
    <w:p>
      <w:pPr>
        <w:pStyle w:val="162"/>
      </w:pPr>
      <w:r>
        <w:rPr>
          <w:rFonts w:hint="eastAsia"/>
        </w:rPr>
        <w:t>电力箱体三化应结合街区实际进行“一箱一案”设计，宜集中设置，集约利用空间。</w:t>
      </w:r>
    </w:p>
    <w:p>
      <w:pPr>
        <w:pStyle w:val="162"/>
      </w:pPr>
      <w:r>
        <w:rPr>
          <w:rFonts w:hint="eastAsia"/>
        </w:rPr>
        <w:t>电力箱体设置位置应满足DB11/T 500的要求，电力箱体三化应符合GB 50688要求，设置时不应阻碍行人通行、占用盲道、影响市容观瞻、遮挡景观视线及车辆行车视距，且步行和自行车交通环境规划设计应符合DB11/T 1761的要求。当电力箱体在道路隔离带设置时，应与隔离带中心对齐，其宽度不应超过隔离带宽度，且不应在宽度小于2m的道路隔离带内设置。</w:t>
      </w:r>
    </w:p>
    <w:p>
      <w:pPr>
        <w:pStyle w:val="162"/>
      </w:pPr>
      <w:r>
        <w:rPr>
          <w:rFonts w:hint="eastAsia"/>
        </w:rPr>
        <w:t>电力箱体应遵循“能隐则隐”原则实施隐形化，优先结合选址优先级，将箱体迁移至建筑物内安全且便于检修的区域，建筑物内地面高度应高于建筑物外道路，防止雨水倒灌，无法迁移的采用伪装技术实现隐形化。受客观条件限制无法实现隐形化的，按小型化、景观化要求开展设计改造。</w:t>
      </w:r>
    </w:p>
    <w:p>
      <w:pPr>
        <w:pStyle w:val="162"/>
      </w:pPr>
      <w:r>
        <w:rPr>
          <w:rFonts w:hint="eastAsia"/>
        </w:rPr>
        <w:t>电力箱体材质应坚固耐久、易清洁、便于维护，符合环保防腐、防火、防粘贴等要求，确保材质质量与性能，保障电力箱体安全、美观与长效使用。箱体的安全防护措施还应符合GB 50348的要求。</w:t>
      </w:r>
    </w:p>
    <w:p>
      <w:pPr>
        <w:pStyle w:val="162"/>
      </w:pPr>
      <w:r>
        <w:rPr>
          <w:rFonts w:hint="eastAsia"/>
        </w:rPr>
        <w:t>电力箱体设置、安装与维护应符合下列要求：</w:t>
      </w:r>
    </w:p>
    <w:p>
      <w:pPr>
        <w:pStyle w:val="174"/>
      </w:pPr>
      <w:r>
        <w:rPr>
          <w:rFonts w:hint="eastAsia"/>
        </w:rPr>
        <w:t>安装位置预留维护空间，前后开门面不贴合建筑物墙体及其他障碍物，预留空间不小于 1.2m，入屋设备侧面及背面维护通道宽度不小于1m，2台及以上同屋建设的箱体同时满足单台箱体独立运输的空间；</w:t>
      </w:r>
    </w:p>
    <w:p>
      <w:pPr>
        <w:pStyle w:val="174"/>
      </w:pPr>
      <w:r>
        <w:rPr>
          <w:rFonts w:hint="eastAsia"/>
        </w:rPr>
        <w:t>屋内、屋外均预留设备运输通道，保障设备安装调试；</w:t>
      </w:r>
    </w:p>
    <w:p>
      <w:pPr>
        <w:pStyle w:val="174"/>
      </w:pPr>
      <w:r>
        <w:rPr>
          <w:rFonts w:hint="eastAsia"/>
        </w:rPr>
        <w:t>配电设施布局符合GB 50060、GB 50054；</w:t>
      </w:r>
    </w:p>
    <w:p>
      <w:pPr>
        <w:pStyle w:val="174"/>
      </w:pPr>
      <w:r>
        <w:rPr>
          <w:rFonts w:hint="eastAsia"/>
        </w:rPr>
        <w:t>配电设施电气符合DB11/T 1894；</w:t>
      </w:r>
    </w:p>
    <w:p>
      <w:pPr>
        <w:pStyle w:val="174"/>
      </w:pPr>
      <w:bookmarkStart w:id="70" w:name="OLE_LINK22"/>
      <w:bookmarkStart w:id="71" w:name="OLE_LINK23"/>
      <w:r>
        <w:rPr>
          <w:rFonts w:hint="eastAsia"/>
        </w:rPr>
        <w:t>内部电缆敷设及电气连接符合GB 50217；</w:t>
      </w:r>
    </w:p>
    <w:bookmarkEnd w:id="70"/>
    <w:bookmarkEnd w:id="71"/>
    <w:p>
      <w:pPr>
        <w:pStyle w:val="174"/>
      </w:pPr>
      <w:r>
        <w:rPr>
          <w:rFonts w:hint="eastAsia"/>
        </w:rPr>
        <w:t>供配电系统设计遵循GB</w:t>
      </w:r>
      <w:r>
        <w:t xml:space="preserve"> </w:t>
      </w:r>
      <w:r>
        <w:rPr>
          <w:rFonts w:hint="eastAsia"/>
        </w:rPr>
        <w:t>50052的要求;</w:t>
      </w:r>
    </w:p>
    <w:p>
      <w:pPr>
        <w:pStyle w:val="174"/>
      </w:pPr>
      <w:r>
        <w:rPr>
          <w:rFonts w:hint="eastAsia"/>
        </w:rPr>
        <w:t xml:space="preserve">电力箱体接地应符合GB 50169的要求。   </w:t>
      </w:r>
    </w:p>
    <w:p>
      <w:pPr>
        <w:pStyle w:val="162"/>
      </w:pPr>
      <w:r>
        <w:rPr>
          <w:rFonts w:hint="eastAsia"/>
        </w:rPr>
        <w:t>电力箱体名称标识应符合GB 5768.2、GB/T 29481的规定，图形符号应符合GB/T 10001.1的要求，安全标志应符合GB 2894的要求。</w:t>
      </w:r>
    </w:p>
    <w:p>
      <w:pPr>
        <w:pStyle w:val="162"/>
      </w:pPr>
      <w:r>
        <w:rPr>
          <w:rFonts w:hint="eastAsia"/>
        </w:rPr>
        <w:t>电力箱体不应附设与其功能无关的设施及信息，箱体铭牌和标志标识应设置在箱体左上角，内容包含权属单位名称、联系电话等基础运维信息，可采用文字、图形、二维码等方式</w:t>
      </w:r>
      <w:r>
        <w:t>表达</w:t>
      </w:r>
      <w:r>
        <w:rPr>
          <w:rFonts w:hint="eastAsia"/>
        </w:rPr>
        <w:t>，且信息应清晰耐久、便于识别。</w:t>
      </w:r>
    </w:p>
    <w:p>
      <w:pPr>
        <w:pStyle w:val="162"/>
      </w:pPr>
      <w:r>
        <w:rPr>
          <w:rFonts w:hint="eastAsia"/>
        </w:rPr>
        <w:t>电力箱体日常保洁、维护质量、维修作业应符合DB11/T 500的要求。</w:t>
      </w:r>
    </w:p>
    <w:p>
      <w:pPr>
        <w:pStyle w:val="104"/>
        <w:spacing w:before="312" w:after="312"/>
      </w:pPr>
      <w:bookmarkStart w:id="72" w:name="_Toc209076718"/>
      <w:r>
        <w:rPr>
          <w:rFonts w:hint="eastAsia"/>
        </w:rPr>
        <w:t>隐形化要求</w:t>
      </w:r>
      <w:bookmarkEnd w:id="72"/>
    </w:p>
    <w:p>
      <w:pPr>
        <w:pStyle w:val="162"/>
      </w:pPr>
      <w:r>
        <w:rPr>
          <w:rFonts w:hint="eastAsia"/>
        </w:rPr>
        <w:t>选择电力箱体隐形化方案，应同步采用小型化箱体，减少空间占用。</w:t>
      </w:r>
    </w:p>
    <w:p>
      <w:pPr>
        <w:pStyle w:val="162"/>
      </w:pPr>
      <w:r>
        <w:rPr>
          <w:rFonts w:hint="eastAsia"/>
        </w:rPr>
        <w:t>电力箱体迁移入建筑物或安全隐蔽的场所实现隐形化时，其安装场所应满足防火安全规定，同时应预留满足电力箱体日常检修、维护操作的必要空间，还应设置设备运输通道。</w:t>
      </w:r>
    </w:p>
    <w:p>
      <w:pPr>
        <w:pStyle w:val="162"/>
      </w:pPr>
      <w:r>
        <w:rPr>
          <w:rFonts w:hint="eastAsia"/>
        </w:rPr>
        <w:t>电力箱体迁移入绿化带实现隐形化时，整体布局应符合GB 50420的要求，隐藏设置应便于绿化遮挡装饰，绿化装饰材料应满足防火要求。检修通道宜结合绿地道路预留，新增检修通道宽度应不小于0.5 m，铺装材质应与绿化景观协调。</w:t>
      </w:r>
    </w:p>
    <w:p>
      <w:pPr>
        <w:pStyle w:val="104"/>
        <w:spacing w:before="312" w:after="312"/>
      </w:pPr>
      <w:bookmarkStart w:id="73" w:name="_Toc209076719"/>
      <w:r>
        <w:rPr>
          <w:rFonts w:hint="eastAsia"/>
        </w:rPr>
        <w:t>小型化要求</w:t>
      </w:r>
      <w:bookmarkEnd w:id="73"/>
    </w:p>
    <w:p>
      <w:pPr>
        <w:pStyle w:val="162"/>
      </w:pPr>
      <w:r>
        <w:rPr>
          <w:rFonts w:hint="eastAsia"/>
        </w:rPr>
        <w:t>电力箱体小型化改造技术方案应遵循DL/T 599的要求，应根据选址情况在保证设备运行安全的前提下，减小外观尺寸并减少面积占用，外观参见附录A。</w:t>
      </w:r>
    </w:p>
    <w:p>
      <w:pPr>
        <w:pStyle w:val="162"/>
      </w:pPr>
      <w:r>
        <w:rPr>
          <w:rFonts w:hint="eastAsia"/>
        </w:rPr>
        <w:t>电力箱体中箱式变电站、环网箱的最大外观尺寸应不超过表1的规定，箱体布局应根据现场实际情况确定。</w:t>
      </w:r>
    </w:p>
    <w:p>
      <w:pPr>
        <w:pStyle w:val="112"/>
        <w:spacing w:before="156" w:after="156"/>
      </w:pPr>
      <w:r>
        <w:rPr>
          <w:rFonts w:hint="eastAsia"/>
        </w:rPr>
        <w:t>箱式变电站、环网箱最大外观尺寸明细表</w:t>
      </w:r>
    </w:p>
    <w:tbl>
      <w:tblPr>
        <w:tblStyle w:val="27"/>
        <w:tblW w:w="9183"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213"/>
        <w:gridCol w:w="1892"/>
        <w:gridCol w:w="1490"/>
        <w:gridCol w:w="155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78" w:type="dxa"/>
            <w:vMerge w:val="restart"/>
            <w:vAlign w:val="center"/>
          </w:tcPr>
          <w:p>
            <w:pPr>
              <w:pStyle w:val="230"/>
              <w:widowControl w:val="0"/>
              <w:ind w:firstLine="0" w:firstLineChars="0"/>
              <w:jc w:val="center"/>
              <w:rPr>
                <w:sz w:val="18"/>
              </w:rPr>
            </w:pPr>
            <w:r>
              <w:rPr>
                <w:rFonts w:hint="eastAsia"/>
                <w:sz w:val="18"/>
              </w:rPr>
              <w:t>箱体名称</w:t>
            </w:r>
          </w:p>
        </w:tc>
        <w:tc>
          <w:tcPr>
            <w:tcW w:w="1213" w:type="dxa"/>
            <w:vMerge w:val="restart"/>
            <w:vAlign w:val="center"/>
          </w:tcPr>
          <w:p>
            <w:pPr>
              <w:pStyle w:val="230"/>
              <w:ind w:firstLine="0" w:firstLineChars="0"/>
              <w:jc w:val="center"/>
              <w:rPr>
                <w:sz w:val="18"/>
              </w:rPr>
            </w:pPr>
            <w:r>
              <w:rPr>
                <w:rFonts w:hint="eastAsia"/>
                <w:sz w:val="18"/>
              </w:rPr>
              <w:t>高压间隔</w:t>
            </w:r>
          </w:p>
        </w:tc>
        <w:tc>
          <w:tcPr>
            <w:tcW w:w="1892" w:type="dxa"/>
            <w:vMerge w:val="restart"/>
            <w:vAlign w:val="center"/>
          </w:tcPr>
          <w:p>
            <w:pPr>
              <w:pStyle w:val="230"/>
              <w:ind w:firstLine="0" w:firstLineChars="0"/>
              <w:jc w:val="center"/>
              <w:rPr>
                <w:sz w:val="18"/>
              </w:rPr>
            </w:pPr>
            <w:r>
              <w:rPr>
                <w:rFonts w:hint="eastAsia"/>
                <w:sz w:val="18"/>
              </w:rPr>
              <w:t>变压器容量（kVA）</w:t>
            </w:r>
          </w:p>
        </w:tc>
        <w:tc>
          <w:tcPr>
            <w:tcW w:w="4600" w:type="dxa"/>
            <w:gridSpan w:val="3"/>
            <w:vAlign w:val="center"/>
          </w:tcPr>
          <w:p>
            <w:pPr>
              <w:pStyle w:val="230"/>
              <w:ind w:firstLine="0" w:firstLineChars="0"/>
              <w:jc w:val="center"/>
              <w:rPr>
                <w:sz w:val="18"/>
              </w:rPr>
            </w:pPr>
            <w:r>
              <w:rPr>
                <w:rFonts w:hint="eastAsia"/>
                <w:sz w:val="18"/>
              </w:rPr>
              <w:t>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78" w:type="dxa"/>
            <w:vMerge w:val="continue"/>
            <w:vAlign w:val="center"/>
          </w:tcPr>
          <w:p>
            <w:pPr>
              <w:pStyle w:val="230"/>
              <w:widowControl w:val="0"/>
              <w:ind w:firstLine="0" w:firstLineChars="0"/>
              <w:jc w:val="center"/>
              <w:rPr>
                <w:sz w:val="18"/>
              </w:rPr>
            </w:pPr>
          </w:p>
        </w:tc>
        <w:tc>
          <w:tcPr>
            <w:tcW w:w="1213" w:type="dxa"/>
            <w:vMerge w:val="continue"/>
            <w:vAlign w:val="center"/>
          </w:tcPr>
          <w:p>
            <w:pPr>
              <w:pStyle w:val="230"/>
              <w:widowControl w:val="0"/>
              <w:ind w:firstLine="0" w:firstLineChars="0"/>
              <w:jc w:val="center"/>
              <w:rPr>
                <w:sz w:val="18"/>
              </w:rPr>
            </w:pPr>
          </w:p>
        </w:tc>
        <w:tc>
          <w:tcPr>
            <w:tcW w:w="1892" w:type="dxa"/>
            <w:vMerge w:val="continue"/>
            <w:vAlign w:val="center"/>
          </w:tcPr>
          <w:p>
            <w:pPr>
              <w:pStyle w:val="230"/>
              <w:widowControl w:val="0"/>
              <w:ind w:firstLine="0" w:firstLineChars="0"/>
              <w:jc w:val="center"/>
              <w:rPr>
                <w:sz w:val="18"/>
              </w:rPr>
            </w:pPr>
          </w:p>
        </w:tc>
        <w:tc>
          <w:tcPr>
            <w:tcW w:w="1490" w:type="dxa"/>
            <w:vAlign w:val="center"/>
          </w:tcPr>
          <w:p>
            <w:pPr>
              <w:pStyle w:val="230"/>
              <w:ind w:firstLine="0" w:firstLineChars="0"/>
              <w:rPr>
                <w:sz w:val="18"/>
              </w:rPr>
            </w:pPr>
            <w:r>
              <w:rPr>
                <w:rFonts w:hint="eastAsia"/>
                <w:sz w:val="18"/>
              </w:rPr>
              <w:t>L0（底座长度）</w:t>
            </w:r>
          </w:p>
        </w:tc>
        <w:tc>
          <w:tcPr>
            <w:tcW w:w="1550" w:type="dxa"/>
            <w:vAlign w:val="center"/>
          </w:tcPr>
          <w:p>
            <w:pPr>
              <w:pStyle w:val="230"/>
              <w:ind w:firstLine="0" w:firstLineChars="0"/>
              <w:rPr>
                <w:sz w:val="18"/>
              </w:rPr>
            </w:pPr>
            <w:r>
              <w:rPr>
                <w:rFonts w:hint="eastAsia"/>
                <w:sz w:val="18"/>
              </w:rPr>
              <w:t>B0（底座宽度）</w:t>
            </w:r>
          </w:p>
        </w:tc>
        <w:tc>
          <w:tcPr>
            <w:tcW w:w="1560" w:type="dxa"/>
            <w:vAlign w:val="center"/>
          </w:tcPr>
          <w:p>
            <w:pPr>
              <w:pStyle w:val="230"/>
              <w:ind w:firstLine="0" w:firstLineChars="0"/>
              <w:rPr>
                <w:sz w:val="18"/>
              </w:rPr>
            </w:pPr>
            <w:r>
              <w:rPr>
                <w:rFonts w:hint="eastAsia"/>
                <w:sz w:val="18"/>
              </w:rPr>
              <w:t>H0（柱体高度）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widowControl w:val="0"/>
              <w:ind w:firstLine="0" w:firstLineChars="0"/>
              <w:jc w:val="center"/>
              <w:rPr>
                <w:sz w:val="18"/>
              </w:rPr>
            </w:pPr>
            <w:r>
              <w:rPr>
                <w:rFonts w:hint="eastAsia"/>
                <w:sz w:val="18"/>
              </w:rPr>
              <w:t>箱式变电站</w:t>
            </w:r>
          </w:p>
        </w:tc>
        <w:tc>
          <w:tcPr>
            <w:tcW w:w="1213" w:type="dxa"/>
            <w:vAlign w:val="center"/>
          </w:tcPr>
          <w:p>
            <w:pPr>
              <w:pStyle w:val="230"/>
              <w:ind w:firstLine="0" w:firstLineChars="0"/>
              <w:jc w:val="center"/>
              <w:rPr>
                <w:sz w:val="18"/>
              </w:rPr>
            </w:pPr>
            <w:r>
              <w:rPr>
                <w:rFonts w:hint="eastAsia"/>
                <w:sz w:val="18"/>
              </w:rPr>
              <w:t>三、四间隔</w:t>
            </w:r>
          </w:p>
        </w:tc>
        <w:tc>
          <w:tcPr>
            <w:tcW w:w="1892" w:type="dxa"/>
            <w:vAlign w:val="center"/>
          </w:tcPr>
          <w:p>
            <w:pPr>
              <w:pStyle w:val="230"/>
              <w:ind w:firstLine="0" w:firstLineChars="0"/>
              <w:jc w:val="center"/>
              <w:rPr>
                <w:sz w:val="18"/>
              </w:rPr>
            </w:pPr>
            <w:r>
              <w:rPr>
                <w:rFonts w:hint="eastAsia"/>
                <w:sz w:val="18"/>
              </w:rPr>
              <w:t>400、630</w:t>
            </w:r>
          </w:p>
        </w:tc>
        <w:tc>
          <w:tcPr>
            <w:tcW w:w="1490" w:type="dxa"/>
            <w:vAlign w:val="center"/>
          </w:tcPr>
          <w:p>
            <w:pPr>
              <w:pStyle w:val="230"/>
              <w:ind w:firstLine="0" w:firstLineChars="0"/>
              <w:jc w:val="center"/>
              <w:rPr>
                <w:sz w:val="18"/>
              </w:rPr>
            </w:pPr>
            <w:r>
              <w:rPr>
                <w:sz w:val="18"/>
              </w:rPr>
              <w:t>4600</w:t>
            </w:r>
          </w:p>
        </w:tc>
        <w:tc>
          <w:tcPr>
            <w:tcW w:w="1550" w:type="dxa"/>
            <w:vAlign w:val="center"/>
          </w:tcPr>
          <w:p>
            <w:pPr>
              <w:pStyle w:val="230"/>
              <w:ind w:firstLine="0" w:firstLineChars="0"/>
              <w:jc w:val="center"/>
              <w:rPr>
                <w:sz w:val="18"/>
              </w:rPr>
            </w:pPr>
            <w:r>
              <w:rPr>
                <w:sz w:val="18"/>
              </w:rPr>
              <w:t>2600</w:t>
            </w:r>
          </w:p>
        </w:tc>
        <w:tc>
          <w:tcPr>
            <w:tcW w:w="1560" w:type="dxa"/>
            <w:vAlign w:val="center"/>
          </w:tcPr>
          <w:p>
            <w:pPr>
              <w:pStyle w:val="230"/>
              <w:ind w:firstLine="0" w:firstLineChars="0"/>
              <w:jc w:val="center"/>
              <w:rPr>
                <w:sz w:val="18"/>
              </w:rPr>
            </w:pPr>
            <w:r>
              <w:rPr>
                <w:sz w:val="18"/>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widowControl w:val="0"/>
              <w:ind w:firstLine="0" w:firstLineChars="0"/>
              <w:jc w:val="center"/>
              <w:rPr>
                <w:sz w:val="18"/>
              </w:rPr>
            </w:pPr>
            <w:r>
              <w:rPr>
                <w:rFonts w:hint="eastAsia"/>
                <w:sz w:val="18"/>
              </w:rPr>
              <w:t>箱式变电站</w:t>
            </w:r>
          </w:p>
        </w:tc>
        <w:tc>
          <w:tcPr>
            <w:tcW w:w="1213" w:type="dxa"/>
            <w:vAlign w:val="center"/>
          </w:tcPr>
          <w:p>
            <w:pPr>
              <w:pStyle w:val="230"/>
              <w:ind w:firstLine="0" w:firstLineChars="0"/>
              <w:jc w:val="center"/>
              <w:rPr>
                <w:sz w:val="18"/>
              </w:rPr>
            </w:pPr>
            <w:r>
              <w:rPr>
                <w:rFonts w:hint="eastAsia"/>
                <w:sz w:val="18"/>
              </w:rPr>
              <w:t>六间隔</w:t>
            </w:r>
          </w:p>
        </w:tc>
        <w:tc>
          <w:tcPr>
            <w:tcW w:w="1892" w:type="dxa"/>
            <w:vAlign w:val="center"/>
          </w:tcPr>
          <w:p>
            <w:pPr>
              <w:pStyle w:val="230"/>
              <w:ind w:firstLine="0" w:firstLineChars="0"/>
              <w:jc w:val="center"/>
              <w:rPr>
                <w:sz w:val="18"/>
              </w:rPr>
            </w:pPr>
            <w:r>
              <w:rPr>
                <w:rFonts w:hint="eastAsia"/>
                <w:sz w:val="18"/>
              </w:rPr>
              <w:t>400、630</w:t>
            </w:r>
          </w:p>
        </w:tc>
        <w:tc>
          <w:tcPr>
            <w:tcW w:w="1490" w:type="dxa"/>
            <w:vAlign w:val="center"/>
          </w:tcPr>
          <w:p>
            <w:pPr>
              <w:pStyle w:val="230"/>
              <w:ind w:firstLine="0" w:firstLineChars="0"/>
              <w:jc w:val="center"/>
              <w:rPr>
                <w:sz w:val="18"/>
              </w:rPr>
            </w:pPr>
            <w:r>
              <w:rPr>
                <w:sz w:val="18"/>
              </w:rPr>
              <w:t>5500</w:t>
            </w:r>
          </w:p>
        </w:tc>
        <w:tc>
          <w:tcPr>
            <w:tcW w:w="1550" w:type="dxa"/>
            <w:vAlign w:val="center"/>
          </w:tcPr>
          <w:p>
            <w:pPr>
              <w:pStyle w:val="230"/>
              <w:ind w:firstLine="0" w:firstLineChars="0"/>
              <w:jc w:val="center"/>
              <w:rPr>
                <w:sz w:val="18"/>
              </w:rPr>
            </w:pPr>
            <w:r>
              <w:rPr>
                <w:sz w:val="18"/>
              </w:rPr>
              <w:t>3200</w:t>
            </w:r>
          </w:p>
        </w:tc>
        <w:tc>
          <w:tcPr>
            <w:tcW w:w="1560" w:type="dxa"/>
            <w:vAlign w:val="center"/>
          </w:tcPr>
          <w:p>
            <w:pPr>
              <w:pStyle w:val="230"/>
              <w:ind w:firstLine="0" w:firstLineChars="0"/>
              <w:jc w:val="center"/>
              <w:rPr>
                <w:sz w:val="18"/>
              </w:rPr>
            </w:pPr>
            <w:r>
              <w:rPr>
                <w:sz w:val="18"/>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ind w:firstLine="0" w:firstLineChars="0"/>
              <w:jc w:val="center"/>
              <w:rPr>
                <w:sz w:val="18"/>
              </w:rPr>
            </w:pPr>
            <w:r>
              <w:rPr>
                <w:rFonts w:hint="eastAsia"/>
                <w:sz w:val="18"/>
              </w:rPr>
              <w:t>箱式变电站</w:t>
            </w:r>
          </w:p>
        </w:tc>
        <w:tc>
          <w:tcPr>
            <w:tcW w:w="1213" w:type="dxa"/>
            <w:vAlign w:val="center"/>
          </w:tcPr>
          <w:p>
            <w:pPr>
              <w:pStyle w:val="230"/>
              <w:ind w:firstLine="0" w:firstLineChars="0"/>
              <w:jc w:val="center"/>
              <w:rPr>
                <w:sz w:val="18"/>
              </w:rPr>
            </w:pPr>
            <w:r>
              <w:rPr>
                <w:rFonts w:hint="eastAsia"/>
                <w:sz w:val="18"/>
              </w:rPr>
              <w:t>三、四间隔</w:t>
            </w:r>
          </w:p>
        </w:tc>
        <w:tc>
          <w:tcPr>
            <w:tcW w:w="1892" w:type="dxa"/>
            <w:vAlign w:val="center"/>
          </w:tcPr>
          <w:p>
            <w:pPr>
              <w:pStyle w:val="230"/>
              <w:ind w:firstLine="0" w:firstLineChars="0"/>
              <w:jc w:val="center"/>
              <w:rPr>
                <w:sz w:val="18"/>
              </w:rPr>
            </w:pPr>
            <w:r>
              <w:rPr>
                <w:sz w:val="18"/>
              </w:rPr>
              <w:t>800</w:t>
            </w:r>
          </w:p>
        </w:tc>
        <w:tc>
          <w:tcPr>
            <w:tcW w:w="1490" w:type="dxa"/>
            <w:vAlign w:val="center"/>
          </w:tcPr>
          <w:p>
            <w:pPr>
              <w:pStyle w:val="230"/>
              <w:ind w:firstLine="0" w:firstLineChars="0"/>
              <w:jc w:val="center"/>
              <w:rPr>
                <w:sz w:val="18"/>
              </w:rPr>
            </w:pPr>
            <w:r>
              <w:rPr>
                <w:sz w:val="18"/>
              </w:rPr>
              <w:t>5500</w:t>
            </w:r>
          </w:p>
        </w:tc>
        <w:tc>
          <w:tcPr>
            <w:tcW w:w="1550" w:type="dxa"/>
            <w:vAlign w:val="center"/>
          </w:tcPr>
          <w:p>
            <w:pPr>
              <w:pStyle w:val="230"/>
              <w:ind w:firstLine="0" w:firstLineChars="0"/>
              <w:jc w:val="center"/>
              <w:rPr>
                <w:sz w:val="18"/>
              </w:rPr>
            </w:pPr>
            <w:r>
              <w:rPr>
                <w:sz w:val="18"/>
              </w:rPr>
              <w:t>3000</w:t>
            </w:r>
          </w:p>
        </w:tc>
        <w:tc>
          <w:tcPr>
            <w:tcW w:w="1560" w:type="dxa"/>
            <w:vAlign w:val="center"/>
          </w:tcPr>
          <w:p>
            <w:pPr>
              <w:pStyle w:val="230"/>
              <w:ind w:firstLine="0" w:firstLineChars="0"/>
              <w:jc w:val="center"/>
              <w:rPr>
                <w:sz w:val="18"/>
              </w:rPr>
            </w:pPr>
            <w:r>
              <w:rPr>
                <w:sz w:val="18"/>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ind w:firstLine="0" w:firstLineChars="0"/>
              <w:jc w:val="center"/>
              <w:rPr>
                <w:sz w:val="18"/>
              </w:rPr>
            </w:pPr>
            <w:r>
              <w:rPr>
                <w:rFonts w:hint="eastAsia"/>
                <w:sz w:val="18"/>
              </w:rPr>
              <w:t>箱式变电站</w:t>
            </w:r>
          </w:p>
        </w:tc>
        <w:tc>
          <w:tcPr>
            <w:tcW w:w="1213" w:type="dxa"/>
            <w:vAlign w:val="center"/>
          </w:tcPr>
          <w:p>
            <w:pPr>
              <w:pStyle w:val="230"/>
              <w:ind w:firstLine="0" w:firstLineChars="0"/>
              <w:jc w:val="center"/>
              <w:rPr>
                <w:sz w:val="18"/>
              </w:rPr>
            </w:pPr>
            <w:r>
              <w:rPr>
                <w:rFonts w:hint="eastAsia"/>
                <w:sz w:val="18"/>
              </w:rPr>
              <w:t>六间隔</w:t>
            </w:r>
          </w:p>
        </w:tc>
        <w:tc>
          <w:tcPr>
            <w:tcW w:w="1892" w:type="dxa"/>
            <w:vAlign w:val="center"/>
          </w:tcPr>
          <w:p>
            <w:pPr>
              <w:pStyle w:val="230"/>
              <w:ind w:firstLine="0" w:firstLineChars="0"/>
              <w:jc w:val="center"/>
              <w:rPr>
                <w:sz w:val="18"/>
              </w:rPr>
            </w:pPr>
            <w:r>
              <w:rPr>
                <w:sz w:val="18"/>
              </w:rPr>
              <w:t>800</w:t>
            </w:r>
          </w:p>
        </w:tc>
        <w:tc>
          <w:tcPr>
            <w:tcW w:w="1490" w:type="dxa"/>
            <w:vAlign w:val="center"/>
          </w:tcPr>
          <w:p>
            <w:pPr>
              <w:pStyle w:val="230"/>
              <w:ind w:firstLine="0" w:firstLineChars="0"/>
              <w:jc w:val="center"/>
              <w:rPr>
                <w:sz w:val="18"/>
              </w:rPr>
            </w:pPr>
            <w:r>
              <w:rPr>
                <w:sz w:val="18"/>
              </w:rPr>
              <w:t>6000</w:t>
            </w:r>
          </w:p>
        </w:tc>
        <w:tc>
          <w:tcPr>
            <w:tcW w:w="1550" w:type="dxa"/>
            <w:vAlign w:val="center"/>
          </w:tcPr>
          <w:p>
            <w:pPr>
              <w:pStyle w:val="230"/>
              <w:ind w:firstLine="0" w:firstLineChars="0"/>
              <w:jc w:val="center"/>
              <w:rPr>
                <w:sz w:val="18"/>
              </w:rPr>
            </w:pPr>
            <w:r>
              <w:rPr>
                <w:sz w:val="18"/>
              </w:rPr>
              <w:t>3600</w:t>
            </w:r>
          </w:p>
        </w:tc>
        <w:tc>
          <w:tcPr>
            <w:tcW w:w="1560" w:type="dxa"/>
            <w:vAlign w:val="center"/>
          </w:tcPr>
          <w:p>
            <w:pPr>
              <w:pStyle w:val="230"/>
              <w:ind w:firstLine="0" w:firstLineChars="0"/>
              <w:jc w:val="center"/>
              <w:rPr>
                <w:sz w:val="18"/>
              </w:rPr>
            </w:pPr>
            <w:r>
              <w:rPr>
                <w:sz w:val="18"/>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ind w:firstLine="0" w:firstLineChars="0"/>
              <w:jc w:val="center"/>
              <w:rPr>
                <w:sz w:val="18"/>
              </w:rPr>
            </w:pPr>
            <w:r>
              <w:rPr>
                <w:rFonts w:hint="eastAsia"/>
                <w:sz w:val="18"/>
              </w:rPr>
              <w:t>环网箱</w:t>
            </w:r>
          </w:p>
        </w:tc>
        <w:tc>
          <w:tcPr>
            <w:tcW w:w="1213" w:type="dxa"/>
            <w:vAlign w:val="center"/>
          </w:tcPr>
          <w:p>
            <w:pPr>
              <w:pStyle w:val="230"/>
              <w:ind w:firstLine="0" w:firstLineChars="0"/>
              <w:jc w:val="center"/>
              <w:rPr>
                <w:sz w:val="18"/>
              </w:rPr>
            </w:pPr>
            <w:r>
              <w:rPr>
                <w:rFonts w:hint="eastAsia"/>
                <w:sz w:val="18"/>
              </w:rPr>
              <w:t>四间隔</w:t>
            </w:r>
          </w:p>
        </w:tc>
        <w:tc>
          <w:tcPr>
            <w:tcW w:w="1892" w:type="dxa"/>
            <w:vAlign w:val="center"/>
          </w:tcPr>
          <w:p>
            <w:pPr>
              <w:pStyle w:val="230"/>
              <w:ind w:firstLine="0" w:firstLineChars="0"/>
              <w:jc w:val="center"/>
              <w:rPr>
                <w:sz w:val="18"/>
              </w:rPr>
            </w:pPr>
            <w:r>
              <w:rPr>
                <w:sz w:val="18"/>
              </w:rPr>
              <w:t>--</w:t>
            </w:r>
          </w:p>
        </w:tc>
        <w:tc>
          <w:tcPr>
            <w:tcW w:w="1490" w:type="dxa"/>
            <w:vAlign w:val="center"/>
          </w:tcPr>
          <w:p>
            <w:pPr>
              <w:pStyle w:val="230"/>
              <w:ind w:firstLine="0" w:firstLineChars="0"/>
              <w:jc w:val="center"/>
              <w:rPr>
                <w:sz w:val="18"/>
              </w:rPr>
            </w:pPr>
            <w:r>
              <w:rPr>
                <w:sz w:val="18"/>
              </w:rPr>
              <w:t>3300</w:t>
            </w:r>
          </w:p>
        </w:tc>
        <w:tc>
          <w:tcPr>
            <w:tcW w:w="1550" w:type="dxa"/>
            <w:vAlign w:val="center"/>
          </w:tcPr>
          <w:p>
            <w:pPr>
              <w:pStyle w:val="230"/>
              <w:ind w:firstLine="0" w:firstLineChars="0"/>
              <w:jc w:val="center"/>
              <w:rPr>
                <w:sz w:val="18"/>
              </w:rPr>
            </w:pPr>
            <w:r>
              <w:rPr>
                <w:sz w:val="18"/>
              </w:rPr>
              <w:t>1200</w:t>
            </w:r>
          </w:p>
        </w:tc>
        <w:tc>
          <w:tcPr>
            <w:tcW w:w="1560" w:type="dxa"/>
            <w:vAlign w:val="center"/>
          </w:tcPr>
          <w:p>
            <w:pPr>
              <w:pStyle w:val="230"/>
              <w:ind w:firstLine="0" w:firstLineChars="0"/>
              <w:jc w:val="center"/>
              <w:rPr>
                <w:sz w:val="18"/>
              </w:rPr>
            </w:pPr>
            <w:r>
              <w:rPr>
                <w:sz w:val="18"/>
              </w:rPr>
              <w:t>2850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78" w:type="dxa"/>
            <w:vAlign w:val="center"/>
          </w:tcPr>
          <w:p>
            <w:pPr>
              <w:pStyle w:val="230"/>
              <w:ind w:firstLine="0" w:firstLineChars="0"/>
              <w:jc w:val="center"/>
              <w:rPr>
                <w:sz w:val="18"/>
              </w:rPr>
            </w:pPr>
            <w:r>
              <w:rPr>
                <w:rFonts w:hint="eastAsia"/>
                <w:sz w:val="18"/>
              </w:rPr>
              <w:t>环网箱</w:t>
            </w:r>
          </w:p>
        </w:tc>
        <w:tc>
          <w:tcPr>
            <w:tcW w:w="1213" w:type="dxa"/>
            <w:vAlign w:val="center"/>
          </w:tcPr>
          <w:p>
            <w:pPr>
              <w:pStyle w:val="230"/>
              <w:ind w:firstLine="0" w:firstLineChars="0"/>
              <w:jc w:val="center"/>
              <w:rPr>
                <w:sz w:val="18"/>
              </w:rPr>
            </w:pPr>
            <w:r>
              <w:rPr>
                <w:rFonts w:hint="eastAsia"/>
                <w:sz w:val="18"/>
              </w:rPr>
              <w:t>六间隔</w:t>
            </w:r>
          </w:p>
        </w:tc>
        <w:tc>
          <w:tcPr>
            <w:tcW w:w="1892" w:type="dxa"/>
            <w:vAlign w:val="center"/>
          </w:tcPr>
          <w:p>
            <w:pPr>
              <w:pStyle w:val="230"/>
              <w:ind w:firstLine="0" w:firstLineChars="0"/>
              <w:jc w:val="center"/>
              <w:rPr>
                <w:sz w:val="18"/>
              </w:rPr>
            </w:pPr>
            <w:r>
              <w:rPr>
                <w:sz w:val="18"/>
              </w:rPr>
              <w:t>--</w:t>
            </w:r>
          </w:p>
        </w:tc>
        <w:tc>
          <w:tcPr>
            <w:tcW w:w="1490" w:type="dxa"/>
            <w:vAlign w:val="center"/>
          </w:tcPr>
          <w:p>
            <w:pPr>
              <w:pStyle w:val="230"/>
              <w:ind w:firstLine="0" w:firstLineChars="0"/>
              <w:jc w:val="center"/>
              <w:rPr>
                <w:sz w:val="18"/>
              </w:rPr>
            </w:pPr>
            <w:r>
              <w:rPr>
                <w:sz w:val="18"/>
              </w:rPr>
              <w:t>4200</w:t>
            </w:r>
          </w:p>
        </w:tc>
        <w:tc>
          <w:tcPr>
            <w:tcW w:w="1550" w:type="dxa"/>
            <w:vAlign w:val="center"/>
          </w:tcPr>
          <w:p>
            <w:pPr>
              <w:pStyle w:val="230"/>
              <w:ind w:firstLine="0" w:firstLineChars="0"/>
              <w:jc w:val="center"/>
              <w:rPr>
                <w:sz w:val="18"/>
              </w:rPr>
            </w:pPr>
            <w:r>
              <w:rPr>
                <w:sz w:val="18"/>
              </w:rPr>
              <w:t>1200</w:t>
            </w:r>
          </w:p>
        </w:tc>
        <w:tc>
          <w:tcPr>
            <w:tcW w:w="1560" w:type="dxa"/>
            <w:vAlign w:val="center"/>
          </w:tcPr>
          <w:p>
            <w:pPr>
              <w:pStyle w:val="230"/>
              <w:ind w:firstLine="0" w:firstLineChars="0"/>
              <w:jc w:val="center"/>
              <w:rPr>
                <w:sz w:val="18"/>
              </w:rPr>
            </w:pPr>
            <w:r>
              <w:rPr>
                <w:sz w:val="18"/>
              </w:rPr>
              <w:t>2850</w:t>
            </w:r>
          </w:p>
        </w:tc>
      </w:tr>
    </w:tbl>
    <w:p>
      <w:pPr>
        <w:pStyle w:val="162"/>
      </w:pPr>
      <w:r>
        <w:rPr>
          <w:rFonts w:hint="eastAsia"/>
        </w:rPr>
        <w:t>低压配电箱分为低压落地式电缆分支箱和低压挂墙式电缆分支箱。低压落地式电缆分支箱、低压挂墙式电缆分支箱，低压计量箱的外观尺寸应不超过表2的规定，电力箱体外观参见附录A。</w:t>
      </w:r>
    </w:p>
    <w:p>
      <w:pPr>
        <w:pStyle w:val="112"/>
        <w:spacing w:before="156" w:after="156"/>
      </w:pPr>
      <w:r>
        <w:rPr>
          <w:rFonts w:hint="eastAsia"/>
        </w:rPr>
        <w:t>低压落地式电缆分支箱、低压挂墙式电缆分支箱，低压计量箱</w:t>
      </w:r>
      <w:r>
        <w:t>尺寸明细表</w:t>
      </w:r>
    </w:p>
    <w:tbl>
      <w:tblPr>
        <w:tblStyle w:val="232"/>
        <w:tblW w:w="93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01"/>
        <w:gridCol w:w="3174"/>
        <w:gridCol w:w="3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1" w:type="dxa"/>
            <w:vAlign w:val="center"/>
          </w:tcPr>
          <w:p>
            <w:pPr>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设备名称</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型号</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尺寸（单位mm）L×W×H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3001"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低压落地式电缆分支箱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一进三出</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605×320×880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1"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低压挂墙式电缆分支箱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一进三出</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471×320×880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1"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低压计量箱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三相互感器式表箱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910×180×1000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3001"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低压计量箱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单相表箱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210×140×520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1"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低压计量箱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三相表箱</w:t>
            </w:r>
          </w:p>
        </w:tc>
        <w:tc>
          <w:tcPr>
            <w:tcW w:w="3174" w:type="dxa"/>
            <w:vAlign w:val="center"/>
          </w:tcPr>
          <w:p>
            <w:pPr>
              <w:widowControl/>
              <w:tabs>
                <w:tab w:val="center" w:pos="4201"/>
                <w:tab w:val="right" w:leader="dot" w:pos="9298"/>
              </w:tabs>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280×145×620</w:t>
            </w:r>
          </w:p>
        </w:tc>
      </w:tr>
    </w:tbl>
    <w:p>
      <w:pPr>
        <w:widowControl/>
        <w:tabs>
          <w:tab w:val="center" w:pos="4201"/>
          <w:tab w:val="right" w:leader="dot" w:pos="9298"/>
        </w:tabs>
        <w:autoSpaceDE w:val="0"/>
        <w:autoSpaceDN w:val="0"/>
        <w:adjustRightInd/>
        <w:spacing w:line="240" w:lineRule="auto"/>
        <w:ind w:firstLine="360" w:firstLineChars="200"/>
        <w:rPr>
          <w:rFonts w:ascii="宋体" w:hAnsi="Times New Roman"/>
          <w:kern w:val="0"/>
          <w:sz w:val="18"/>
          <w:szCs w:val="18"/>
          <w:highlight w:val="red"/>
        </w:rPr>
      </w:pPr>
      <w:r>
        <w:rPr>
          <w:rFonts w:hint="eastAsia" w:ascii="黑体" w:hAnsi="黑体" w:eastAsia="黑体" w:cs="黑体"/>
          <w:kern w:val="0"/>
          <w:sz w:val="18"/>
          <w:szCs w:val="18"/>
        </w:rPr>
        <w:t>注：</w:t>
      </w:r>
      <w:r>
        <w:rPr>
          <w:rFonts w:hint="eastAsia" w:ascii="宋体" w:hAnsi="Times New Roman"/>
          <w:kern w:val="0"/>
          <w:sz w:val="18"/>
          <w:szCs w:val="18"/>
        </w:rPr>
        <w:t>低压落地式电缆分支箱安装时，需配置底座，底座高度为880mm。</w:t>
      </w:r>
    </w:p>
    <w:p>
      <w:pPr>
        <w:pStyle w:val="104"/>
        <w:spacing w:before="312" w:after="312"/>
      </w:pPr>
      <w:bookmarkStart w:id="74" w:name="_Toc209076720"/>
      <w:r>
        <w:rPr>
          <w:rFonts w:hint="eastAsia"/>
        </w:rPr>
        <w:t>景观化要求</w:t>
      </w:r>
      <w:bookmarkEnd w:id="74"/>
    </w:p>
    <w:p>
      <w:pPr>
        <w:pStyle w:val="162"/>
      </w:pPr>
      <w:bookmarkStart w:id="75" w:name="_Hlk209206779"/>
      <w:r>
        <w:rPr>
          <w:rFonts w:hint="eastAsia"/>
        </w:rPr>
        <w:t>电力箱体外观及基础</w:t>
      </w:r>
      <w:bookmarkEnd w:id="75"/>
      <w:r>
        <w:rPr>
          <w:rFonts w:hint="eastAsia"/>
        </w:rPr>
        <w:t>应完整美观，宜与城市历史文化、周边景观协调，景观化样式可参照附录B，表面涂覆层应光洁，色泽均匀，外部边缘宜采用圆角设计，门板、安装板平整无变形。</w:t>
      </w:r>
    </w:p>
    <w:p>
      <w:pPr>
        <w:pStyle w:val="162"/>
      </w:pPr>
      <w:r>
        <w:rPr>
          <w:rFonts w:hint="eastAsia"/>
        </w:rPr>
        <w:t>电力箱体主体颜色宜以灰色为基础，设备基础应采用“齐边”工艺，新建设备基础应高于300mm，基础宜采用与箱体同色涂料粉刷。</w:t>
      </w:r>
    </w:p>
    <w:p>
      <w:pPr>
        <w:pStyle w:val="162"/>
      </w:pPr>
      <w:r>
        <w:rPr>
          <w:rFonts w:hint="eastAsia"/>
        </w:rPr>
        <w:t>电力箱体在绿化设施带设置时，宜通过色彩协调、装饰优化融入周边景观，维持景观的统一性与完整性。</w:t>
      </w:r>
    </w:p>
    <w:p>
      <w:pPr>
        <w:pStyle w:val="162"/>
      </w:pPr>
      <w:r>
        <w:rPr>
          <w:rFonts w:hint="eastAsia"/>
        </w:rPr>
        <w:t>电力箱体宜结合周边环境与街区风貌，采用仿古、喷涂、贴膜等技术进行景观化美化，贴膜材质厚度应不小于0.15mm，耐候性应不小于5年，确保长期使用效果。</w:t>
      </w:r>
    </w:p>
    <w:p>
      <w:pPr>
        <w:pStyle w:val="162"/>
      </w:pPr>
      <w:r>
        <w:rPr>
          <w:rFonts w:hint="eastAsia"/>
        </w:rPr>
        <w:t>除经户外广告设置规划批准外，电力箱体不应附着或显示商业广告、海报，不应悬挂、张贴标语宣传品。</w:t>
      </w:r>
    </w:p>
    <w:p>
      <w:pPr>
        <w:pStyle w:val="104"/>
        <w:spacing w:before="312" w:after="312"/>
      </w:pPr>
      <w:bookmarkStart w:id="76" w:name="OLE_LINK25"/>
      <w:bookmarkStart w:id="77" w:name="OLE_LINK24"/>
      <w:bookmarkStart w:id="78" w:name="_Toc209076721"/>
      <w:r>
        <w:rPr>
          <w:rFonts w:hint="eastAsia"/>
        </w:rPr>
        <w:t>箱体基础外观</w:t>
      </w:r>
      <w:bookmarkEnd w:id="76"/>
      <w:bookmarkEnd w:id="77"/>
      <w:r>
        <w:rPr>
          <w:rFonts w:hint="eastAsia"/>
        </w:rPr>
        <w:t>要求</w:t>
      </w:r>
      <w:bookmarkEnd w:id="78"/>
    </w:p>
    <w:p>
      <w:pPr>
        <w:pStyle w:val="162"/>
      </w:pPr>
      <w:r>
        <w:rPr>
          <w:rFonts w:hint="eastAsia"/>
        </w:rPr>
        <w:t>基础外观装饰表面色彩、造型结构及材质质感等方面的设计与施工，应与设备本体外观及周边景观环境在视觉效果、功能协调性上达成整体统一，且不应影响设备安全运行及维护操作空间。</w:t>
      </w:r>
    </w:p>
    <w:p>
      <w:pPr>
        <w:pStyle w:val="162"/>
      </w:pPr>
      <w:r>
        <w:rPr>
          <w:rFonts w:hint="eastAsia"/>
        </w:rPr>
        <w:t>基础外观的装饰材料应具备耐候性和耐腐蚀性，能够在不同的自然环境条件下长期保持稳定性能。材料的装配应牢固可靠，具有一定的强度，不易被外力破坏。</w:t>
      </w:r>
    </w:p>
    <w:p>
      <w:pPr>
        <w:pStyle w:val="162"/>
      </w:pPr>
      <w:r>
        <w:rPr>
          <w:rFonts w:hint="eastAsia"/>
        </w:rPr>
        <w:t>基础外观装饰设计与施工，应确保无锐边或尖锐点存在，保障人员安全，基础外观装饰与地面的交界处应整齐平整。</w:t>
      </w:r>
    </w:p>
    <w:p>
      <w:pPr>
        <w:pStyle w:val="162"/>
      </w:pPr>
      <w:r>
        <w:rPr>
          <w:rFonts w:hint="eastAsia"/>
        </w:rPr>
        <w:t>箱式变电站、环网箱的混凝土基础应采取防凝露措施。可通过设置防潮层、优化密封工艺等方式，防止基础内部因温差形成凝露，保障设备安全稳定运行。</w:t>
      </w:r>
    </w:p>
    <w:p>
      <w:pPr>
        <w:pStyle w:val="162"/>
      </w:pPr>
      <w:r>
        <w:rPr>
          <w:rFonts w:hint="eastAsia"/>
        </w:rPr>
        <w:t>电力箱体混凝土基础设置在绿化带及其他地势较低处时，需优化高度及排水设计，在绿化带或地势较低处时，基础高度宜设置为300mm～500mm，同时，结合当地的气候特点，在基础周边增设排水坡度不小于3%的导流槽，并配置透水孔或排水管道，排水系统设计应符合GB 50014 的要求，确保基础底部不积水。</w:t>
      </w:r>
    </w:p>
    <w:p>
      <w:pPr>
        <w:pStyle w:val="104"/>
        <w:spacing w:before="312" w:after="312"/>
      </w:pPr>
      <w:bookmarkStart w:id="79" w:name="_Toc209076722"/>
      <w:r>
        <w:rPr>
          <w:rFonts w:hint="eastAsia"/>
        </w:rPr>
        <w:t>验证方法与持续改进</w:t>
      </w:r>
      <w:bookmarkEnd w:id="79"/>
    </w:p>
    <w:p>
      <w:pPr>
        <w:pStyle w:val="105"/>
        <w:spacing w:before="156" w:after="156"/>
      </w:pPr>
      <w:bookmarkStart w:id="80" w:name="_Toc209076723"/>
      <w:r>
        <w:rPr>
          <w:rFonts w:hint="eastAsia"/>
        </w:rPr>
        <w:t>验证</w:t>
      </w:r>
      <w:r>
        <w:t>方法</w:t>
      </w:r>
      <w:bookmarkEnd w:id="80"/>
    </w:p>
    <w:p>
      <w:pPr>
        <w:pStyle w:val="165"/>
      </w:pPr>
      <w:r>
        <w:rPr>
          <w:rFonts w:hint="eastAsia"/>
        </w:rPr>
        <w:t>针对本文件中城市道路电力箱体三化的各项设置要求，按区域环境差异化执行。</w:t>
      </w:r>
    </w:p>
    <w:p>
      <w:pPr>
        <w:pStyle w:val="165"/>
      </w:pPr>
      <w:r>
        <w:rPr>
          <w:rFonts w:hint="eastAsia"/>
        </w:rPr>
        <w:t>现有设备不具备拆建条件的，不开展逐台验证，待退运后按本文件改进。</w:t>
      </w:r>
    </w:p>
    <w:p>
      <w:pPr>
        <w:pStyle w:val="165"/>
      </w:pPr>
      <w:r>
        <w:rPr>
          <w:rFonts w:hint="eastAsia"/>
        </w:rPr>
        <w:t>新投用或退运更新的设备，应按要求逐台验证，并符合以下要求：</w:t>
      </w:r>
    </w:p>
    <w:p>
      <w:pPr>
        <w:pStyle w:val="174"/>
        <w:numPr>
          <w:ilvl w:val="0"/>
          <w:numId w:val="32"/>
        </w:numPr>
      </w:pPr>
      <w:r>
        <w:rPr>
          <w:rFonts w:hint="eastAsia"/>
        </w:rPr>
        <w:t>验证箱体尺寸、材质、标识统一性是否符合本文件要求；</w:t>
      </w:r>
    </w:p>
    <w:p>
      <w:pPr>
        <w:pStyle w:val="174"/>
      </w:pPr>
      <w:r>
        <w:rPr>
          <w:rFonts w:hint="eastAsia"/>
        </w:rPr>
        <w:t>检查箱体外观与道路环境的协调性、涂装规范性；</w:t>
      </w:r>
    </w:p>
    <w:p>
      <w:pPr>
        <w:pStyle w:val="174"/>
      </w:pPr>
      <w:r>
        <w:rPr>
          <w:rFonts w:hint="eastAsia"/>
        </w:rPr>
        <w:t>测试防护装置有效性、电气安全性能情况。</w:t>
      </w:r>
    </w:p>
    <w:p>
      <w:pPr>
        <w:pStyle w:val="165"/>
      </w:pPr>
      <w:r>
        <w:rPr>
          <w:rFonts w:hint="eastAsia"/>
        </w:rPr>
        <w:t>验证过程应留存相关记录与检测数据，对不达标项需明确整改要求及完成期限。</w:t>
      </w:r>
    </w:p>
    <w:p>
      <w:pPr>
        <w:pStyle w:val="105"/>
        <w:spacing w:before="156" w:after="156"/>
      </w:pPr>
      <w:bookmarkStart w:id="81" w:name="_Toc209076724"/>
      <w:r>
        <w:rPr>
          <w:rFonts w:hint="eastAsia"/>
        </w:rPr>
        <w:t>持续</w:t>
      </w:r>
      <w:r>
        <w:t>改进</w:t>
      </w:r>
      <w:bookmarkEnd w:id="81"/>
    </w:p>
    <w:p>
      <w:pPr>
        <w:pStyle w:val="165"/>
      </w:pPr>
      <w:r>
        <w:rPr>
          <w:rFonts w:hint="eastAsia"/>
        </w:rPr>
        <w:t>建立持续改进机制，每年结合城市道路建设规划、公众反馈意见等，评估本文件适用性，梳理三化设置中的待改进问题。</w:t>
      </w:r>
    </w:p>
    <w:p>
      <w:pPr>
        <w:pStyle w:val="165"/>
      </w:pPr>
      <w:r>
        <w:rPr>
          <w:rFonts w:hint="eastAsia"/>
        </w:rPr>
        <w:t>由本文件牵头单位组织相关领域专家修订规范条款，优化验证指标，确保本文件内容与城市发展需求、技术进步相适应，提升城市道路电力箱体三化设置质量与管理水平。</w:t>
      </w:r>
    </w:p>
    <w:p>
      <w:pPr>
        <w:pStyle w:val="56"/>
        <w:ind w:firstLine="420"/>
      </w:pPr>
    </w:p>
    <w:p>
      <w:pPr>
        <w:pStyle w:val="162"/>
        <w:numPr>
          <w:ilvl w:val="0"/>
          <w:numId w:val="0"/>
        </w:numPr>
      </w:pPr>
      <w:r>
        <w:t> </w:t>
      </w:r>
    </w:p>
    <w:p>
      <w:pPr>
        <w:pStyle w:val="162"/>
        <w:numPr>
          <w:ilvl w:val="0"/>
          <w:numId w:val="0"/>
        </w:numPr>
        <w:sectPr>
          <w:pgSz w:w="11906" w:h="16838"/>
          <w:pgMar w:top="1928" w:right="1134" w:bottom="1134" w:left="1134" w:header="1418" w:footer="1134" w:gutter="284"/>
          <w:pgNumType w:start="1"/>
          <w:cols w:space="425" w:num="1"/>
          <w:formProt w:val="0"/>
          <w:docGrid w:type="lines" w:linePitch="312" w:charSpace="0"/>
        </w:sectPr>
      </w:pPr>
    </w:p>
    <w:p>
      <w:pPr>
        <w:pStyle w:val="198"/>
        <w:rPr>
          <w:vanish w:val="0"/>
        </w:rPr>
      </w:pPr>
    </w:p>
    <w:p>
      <w:pPr>
        <w:pStyle w:val="199"/>
        <w:rPr>
          <w:vanish w:val="0"/>
        </w:rPr>
      </w:pPr>
    </w:p>
    <w:bookmarkEnd w:id="24"/>
    <w:p>
      <w:pPr>
        <w:pStyle w:val="199"/>
        <w:rPr>
          <w:vanish w:val="0"/>
        </w:rPr>
      </w:pPr>
      <w:bookmarkStart w:id="82" w:name="BookMark5"/>
    </w:p>
    <w:p>
      <w:pPr>
        <w:pStyle w:val="76"/>
        <w:spacing w:after="156"/>
      </w:pPr>
      <w:r>
        <w:br w:type="textWrapping"/>
      </w:r>
      <w:bookmarkStart w:id="83" w:name="_Toc209076725"/>
      <w:r>
        <w:rPr>
          <w:rFonts w:hint="eastAsia"/>
        </w:rPr>
        <w:t>（资料性）</w:t>
      </w:r>
      <w:r>
        <w:br w:type="textWrapping"/>
      </w:r>
      <w:r>
        <w:rPr>
          <w:rFonts w:hint="eastAsia"/>
        </w:rPr>
        <w:t>电力箱体示意图</w:t>
      </w:r>
      <w:bookmarkEnd w:id="83"/>
    </w:p>
    <w:p>
      <w:pPr>
        <w:pStyle w:val="211"/>
      </w:pPr>
      <w:bookmarkStart w:id="84" w:name="_Toc209076307"/>
      <w:bookmarkStart w:id="85" w:name="OLE_LINK11"/>
      <w:bookmarkStart w:id="86" w:name="OLE_LINK12"/>
      <w:r>
        <w:rPr>
          <w:rFonts w:hint="eastAsia"/>
        </w:rPr>
        <w:t>电力箱体中箱式变电站、环网箱外观尺寸示意图</w:t>
      </w:r>
      <w:bookmarkEnd w:id="84"/>
      <w:r>
        <w:rPr>
          <w:rFonts w:hint="eastAsia"/>
        </w:rPr>
        <w:t>参见图</w:t>
      </w:r>
      <w:r>
        <w:t>A.1</w:t>
      </w:r>
      <w:r>
        <w:rPr>
          <w:rFonts w:hint="eastAsia"/>
        </w:rPr>
        <w:t>。</w:t>
      </w:r>
    </w:p>
    <w:bookmarkEnd w:id="85"/>
    <w:bookmarkEnd w:id="86"/>
    <w:p>
      <w:pPr>
        <w:widowControl/>
        <w:numPr>
          <w:ilvl w:val="255"/>
          <w:numId w:val="0"/>
        </w:numPr>
        <w:tabs>
          <w:tab w:val="left" w:pos="360"/>
          <w:tab w:val="left" w:pos="5102"/>
        </w:tabs>
        <w:wordWrap w:val="0"/>
        <w:overflowPunct w:val="0"/>
        <w:autoSpaceDE w:val="0"/>
        <w:autoSpaceDN w:val="0"/>
        <w:adjustRightInd/>
        <w:spacing w:before="156" w:after="156" w:line="240" w:lineRule="auto"/>
        <w:ind w:firstLine="420" w:firstLineChars="200"/>
        <w:jc w:val="center"/>
        <w:textAlignment w:val="baseline"/>
        <w:outlineLvl w:val="3"/>
        <w:rPr>
          <w:rFonts w:ascii="黑体" w:hAnsi="黑体" w:eastAsia="黑体"/>
          <w:kern w:val="21"/>
          <w:szCs w:val="20"/>
          <w:highlight w:val="yellow"/>
        </w:rPr>
      </w:pPr>
      <w:r>
        <w:drawing>
          <wp:inline distT="0" distB="0" distL="114300" distR="114300">
            <wp:extent cx="5356225" cy="2600960"/>
            <wp:effectExtent l="0" t="0" r="8255" b="5080"/>
            <wp:docPr id="1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true"/>
                    </pic:cNvPicPr>
                  </pic:nvPicPr>
                  <pic:blipFill>
                    <a:blip r:embed="rId14"/>
                    <a:stretch>
                      <a:fillRect/>
                    </a:stretch>
                  </pic:blipFill>
                  <pic:spPr>
                    <a:xfrm>
                      <a:off x="0" y="0"/>
                      <a:ext cx="5356225" cy="2600960"/>
                    </a:xfrm>
                    <a:prstGeom prst="rect">
                      <a:avLst/>
                    </a:prstGeom>
                    <a:noFill/>
                    <a:ln>
                      <a:noFill/>
                    </a:ln>
                  </pic:spPr>
                </pic:pic>
              </a:graphicData>
            </a:graphic>
          </wp:inline>
        </w:drawing>
      </w:r>
    </w:p>
    <w:p>
      <w:pPr>
        <w:pStyle w:val="83"/>
        <w:spacing w:before="156" w:after="156"/>
      </w:pPr>
      <w:r>
        <w:rPr>
          <w:rFonts w:hint="eastAsia"/>
        </w:rPr>
        <w:t>箱式变电站、环网箱外观尺寸示意图</w:t>
      </w:r>
    </w:p>
    <w:p>
      <w:pPr>
        <w:pStyle w:val="211"/>
      </w:pPr>
      <w:bookmarkStart w:id="87" w:name="_Toc209076308"/>
      <w:r>
        <w:rPr>
          <w:rFonts w:hint="eastAsia"/>
        </w:rPr>
        <w:t>低压落地式、挂墙式电缆分支箱外观尺寸示意图</w:t>
      </w:r>
      <w:bookmarkEnd w:id="87"/>
      <w:r>
        <w:rPr>
          <w:rFonts w:hint="eastAsia"/>
        </w:rPr>
        <w:t>分别参见图</w:t>
      </w:r>
      <w:r>
        <w:t>A.2</w:t>
      </w:r>
      <w:r>
        <w:rPr>
          <w:rFonts w:hint="eastAsia"/>
        </w:rPr>
        <w:t>、</w:t>
      </w:r>
      <w:r>
        <w:t>A.3</w:t>
      </w:r>
      <w:r>
        <w:rPr>
          <w:rFonts w:hint="eastAsia"/>
        </w:rPr>
        <w:t>。</w:t>
      </w:r>
    </w:p>
    <w:p>
      <w:pPr>
        <w:widowControl/>
        <w:tabs>
          <w:tab w:val="center" w:pos="4201"/>
          <w:tab w:val="right" w:leader="dot" w:pos="9298"/>
        </w:tabs>
        <w:autoSpaceDE w:val="0"/>
        <w:autoSpaceDN w:val="0"/>
        <w:adjustRightInd/>
        <w:spacing w:line="240" w:lineRule="auto"/>
        <w:jc w:val="center"/>
        <w:rPr>
          <w:rFonts w:ascii="宋体" w:hAnsi="Times New Roman"/>
          <w:kern w:val="0"/>
          <w:szCs w:val="20"/>
        </w:rPr>
      </w:pPr>
      <w:r>
        <w:rPr>
          <w:rFonts w:ascii="宋体" w:hAnsi="Times New Roman"/>
          <w:kern w:val="0"/>
          <w:szCs w:val="20"/>
        </w:rPr>
        <w:drawing>
          <wp:inline distT="0" distB="0" distL="0" distR="0">
            <wp:extent cx="1927860" cy="311277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5"/>
                    <a:srcRect l="35139" t="6666" r="34583" b="6419"/>
                    <a:stretch>
                      <a:fillRect/>
                    </a:stretch>
                  </pic:blipFill>
                  <pic:spPr>
                    <a:xfrm>
                      <a:off x="0" y="0"/>
                      <a:ext cx="1935208" cy="3124741"/>
                    </a:xfrm>
                    <a:prstGeom prst="rect">
                      <a:avLst/>
                    </a:prstGeom>
                    <a:ln>
                      <a:noFill/>
                    </a:ln>
                  </pic:spPr>
                </pic:pic>
              </a:graphicData>
            </a:graphic>
          </wp:inline>
        </w:drawing>
      </w:r>
    </w:p>
    <w:p>
      <w:pPr>
        <w:pStyle w:val="83"/>
        <w:spacing w:before="156" w:after="156"/>
      </w:pPr>
      <w:r>
        <w:rPr>
          <w:rFonts w:hint="eastAsia"/>
        </w:rPr>
        <w:t>低压落地式电缆分支箱</w:t>
      </w:r>
    </w:p>
    <w:p>
      <w:pPr>
        <w:widowControl/>
        <w:tabs>
          <w:tab w:val="center" w:pos="4201"/>
          <w:tab w:val="right" w:leader="dot" w:pos="9298"/>
        </w:tabs>
        <w:autoSpaceDE w:val="0"/>
        <w:autoSpaceDN w:val="0"/>
        <w:adjustRightInd/>
        <w:spacing w:line="240" w:lineRule="auto"/>
        <w:jc w:val="center"/>
        <w:rPr>
          <w:rFonts w:ascii="宋体" w:hAnsi="Times New Roman"/>
          <w:kern w:val="0"/>
          <w:szCs w:val="20"/>
        </w:rPr>
      </w:pPr>
      <w:r>
        <w:rPr>
          <w:rFonts w:ascii="宋体" w:hAnsi="Times New Roman"/>
          <w:kern w:val="0"/>
          <w:szCs w:val="20"/>
        </w:rPr>
        <w:drawing>
          <wp:inline distT="0" distB="0" distL="0" distR="0">
            <wp:extent cx="3488055" cy="239585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6"/>
                    <a:srcRect l="18364" t="10700" r="18055" b="11660"/>
                    <a:stretch>
                      <a:fillRect/>
                    </a:stretch>
                  </pic:blipFill>
                  <pic:spPr>
                    <a:xfrm>
                      <a:off x="0" y="0"/>
                      <a:ext cx="3488267" cy="2396068"/>
                    </a:xfrm>
                    <a:prstGeom prst="rect">
                      <a:avLst/>
                    </a:prstGeom>
                    <a:ln>
                      <a:noFill/>
                    </a:ln>
                  </pic:spPr>
                </pic:pic>
              </a:graphicData>
            </a:graphic>
          </wp:inline>
        </w:drawing>
      </w:r>
    </w:p>
    <w:p>
      <w:pPr>
        <w:pStyle w:val="83"/>
        <w:spacing w:before="156" w:after="156"/>
      </w:pPr>
      <w:r>
        <w:rPr>
          <w:rFonts w:hint="eastAsia"/>
        </w:rPr>
        <w:t>低压挂墙式电缆分支箱</w:t>
      </w:r>
    </w:p>
    <w:p>
      <w:pPr>
        <w:pStyle w:val="211"/>
      </w:pPr>
      <w:bookmarkStart w:id="88" w:name="_Toc209076309"/>
      <w:r>
        <w:rPr>
          <w:rFonts w:hint="eastAsia"/>
        </w:rPr>
        <w:t>低压计量箱外观尺寸示意图</w:t>
      </w:r>
      <w:bookmarkEnd w:id="88"/>
      <w:r>
        <w:rPr>
          <w:rFonts w:hint="eastAsia"/>
        </w:rPr>
        <w:t>参见</w:t>
      </w:r>
      <w:r>
        <w:t>图</w:t>
      </w:r>
      <w:r>
        <w:rPr>
          <w:rFonts w:hint="eastAsia"/>
        </w:rPr>
        <w:t>A</w:t>
      </w:r>
      <w:r>
        <w:t>.4</w:t>
      </w:r>
      <w:r>
        <w:rPr>
          <w:rFonts w:hint="eastAsia"/>
        </w:rPr>
        <w:t>。</w:t>
      </w:r>
    </w:p>
    <w:p>
      <w:pPr>
        <w:widowControl/>
        <w:tabs>
          <w:tab w:val="center" w:pos="4201"/>
          <w:tab w:val="right" w:leader="dot" w:pos="9298"/>
        </w:tabs>
        <w:autoSpaceDE w:val="0"/>
        <w:autoSpaceDN w:val="0"/>
        <w:adjustRightInd/>
        <w:spacing w:line="240" w:lineRule="auto"/>
        <w:jc w:val="center"/>
        <w:rPr>
          <w:rFonts w:ascii="宋体" w:hAnsi="Times New Roman"/>
          <w:kern w:val="0"/>
          <w:szCs w:val="20"/>
        </w:rPr>
      </w:pPr>
      <w:r>
        <w:rPr>
          <w:rFonts w:ascii="宋体" w:hAnsi="Times New Roman"/>
          <w:kern w:val="0"/>
          <w:szCs w:val="20"/>
        </w:rPr>
        <w:drawing>
          <wp:inline distT="0" distB="0" distL="114300" distR="114300">
            <wp:extent cx="2303145" cy="2391410"/>
            <wp:effectExtent l="0" t="0" r="13335" b="1270"/>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17"/>
                    <a:srcRect t="-929" r="17332"/>
                    <a:stretch>
                      <a:fillRect/>
                    </a:stretch>
                  </pic:blipFill>
                  <pic:spPr>
                    <a:xfrm>
                      <a:off x="0" y="0"/>
                      <a:ext cx="2303145" cy="2391410"/>
                    </a:xfrm>
                    <a:prstGeom prst="rect">
                      <a:avLst/>
                    </a:prstGeom>
                    <a:noFill/>
                    <a:ln>
                      <a:noFill/>
                    </a:ln>
                  </pic:spPr>
                </pic:pic>
              </a:graphicData>
            </a:graphic>
          </wp:inline>
        </w:drawing>
      </w:r>
      <w:r>
        <w:rPr>
          <w:rFonts w:ascii="宋体" w:hAnsi="Times New Roman"/>
          <w:kern w:val="0"/>
          <w:szCs w:val="20"/>
        </w:rPr>
        <w:drawing>
          <wp:inline distT="0" distB="0" distL="114300" distR="114300">
            <wp:extent cx="689610" cy="2328545"/>
            <wp:effectExtent l="0" t="0" r="0" b="3175"/>
            <wp:docPr id="1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true"/>
                    </pic:cNvPicPr>
                  </pic:nvPicPr>
                  <pic:blipFill>
                    <a:blip r:embed="rId17"/>
                    <a:srcRect l="81141" t="1724" r="-5894"/>
                    <a:stretch>
                      <a:fillRect/>
                    </a:stretch>
                  </pic:blipFill>
                  <pic:spPr>
                    <a:xfrm>
                      <a:off x="0" y="0"/>
                      <a:ext cx="689610" cy="2328545"/>
                    </a:xfrm>
                    <a:prstGeom prst="rect">
                      <a:avLst/>
                    </a:prstGeom>
                    <a:noFill/>
                    <a:ln>
                      <a:noFill/>
                    </a:ln>
                  </pic:spPr>
                </pic:pic>
              </a:graphicData>
            </a:graphic>
          </wp:inline>
        </w:drawing>
      </w:r>
    </w:p>
    <w:p>
      <w:pPr>
        <w:pStyle w:val="83"/>
        <w:spacing w:before="156" w:after="156"/>
      </w:pPr>
      <w:r>
        <w:rPr>
          <w:rFonts w:hint="eastAsia"/>
        </w:rPr>
        <w:t>低压计量箱</w:t>
      </w:r>
    </w:p>
    <w:p>
      <w:pPr>
        <w:widowControl/>
        <w:tabs>
          <w:tab w:val="center" w:pos="4201"/>
          <w:tab w:val="right" w:leader="dot" w:pos="9298"/>
        </w:tabs>
        <w:autoSpaceDE w:val="0"/>
        <w:autoSpaceDN w:val="0"/>
        <w:adjustRightInd/>
        <w:spacing w:line="240" w:lineRule="auto"/>
        <w:rPr>
          <w:rFonts w:ascii="宋体" w:hAnsi="Times New Roman"/>
          <w:kern w:val="0"/>
          <w:szCs w:val="20"/>
        </w:rPr>
      </w:pPr>
    </w:p>
    <w:p>
      <w:pPr>
        <w:widowControl/>
        <w:tabs>
          <w:tab w:val="center" w:pos="4201"/>
          <w:tab w:val="right" w:leader="dot" w:pos="9298"/>
        </w:tabs>
        <w:autoSpaceDE w:val="0"/>
        <w:autoSpaceDN w:val="0"/>
        <w:adjustRightInd/>
        <w:spacing w:line="240" w:lineRule="auto"/>
        <w:rPr>
          <w:rFonts w:ascii="宋体" w:hAnsi="Times New Roman"/>
          <w:kern w:val="0"/>
          <w:szCs w:val="20"/>
        </w:rPr>
      </w:pPr>
    </w:p>
    <w:p>
      <w:pPr>
        <w:pStyle w:val="56"/>
        <w:ind w:firstLine="420"/>
      </w:pPr>
    </w:p>
    <w:p>
      <w:pPr>
        <w:pStyle w:val="56"/>
        <w:ind w:firstLine="420"/>
      </w:pPr>
    </w:p>
    <w:p>
      <w:pPr>
        <w:pStyle w:val="56"/>
        <w:ind w:firstLine="420"/>
      </w:pPr>
    </w:p>
    <w:p>
      <w:pPr>
        <w:pStyle w:val="56"/>
        <w:ind w:firstLine="420"/>
        <w:sectPr>
          <w:pgSz w:w="11906" w:h="16838"/>
          <w:pgMar w:top="1928" w:right="1134" w:bottom="1134" w:left="1134" w:header="1418" w:footer="1134" w:gutter="284"/>
          <w:cols w:space="425" w:num="1"/>
          <w:formProt w:val="0"/>
          <w:docGrid w:type="lines" w:linePitch="312" w:charSpace="0"/>
        </w:sectPr>
      </w:pPr>
    </w:p>
    <w:p>
      <w:pPr>
        <w:pStyle w:val="198"/>
        <w:rPr>
          <w:vanish w:val="0"/>
        </w:rPr>
      </w:pPr>
    </w:p>
    <w:p>
      <w:pPr>
        <w:pStyle w:val="199"/>
        <w:rPr>
          <w:vanish w:val="0"/>
        </w:rPr>
      </w:pPr>
    </w:p>
    <w:p>
      <w:pPr>
        <w:pStyle w:val="76"/>
        <w:spacing w:after="156"/>
      </w:pPr>
      <w:r>
        <w:br w:type="textWrapping"/>
      </w:r>
      <w:bookmarkStart w:id="89" w:name="_Toc209076726"/>
      <w:r>
        <w:rPr>
          <w:rFonts w:hint="eastAsia"/>
        </w:rPr>
        <w:t>（资料性）</w:t>
      </w:r>
      <w:r>
        <w:br w:type="textWrapping"/>
      </w:r>
      <w:r>
        <w:rPr>
          <w:rFonts w:hint="eastAsia"/>
        </w:rPr>
        <w:t>电力箱体景观化样式示例</w:t>
      </w:r>
      <w:bookmarkEnd w:id="89"/>
    </w:p>
    <w:p>
      <w:pPr>
        <w:pStyle w:val="211"/>
      </w:pPr>
      <w:bookmarkStart w:id="90" w:name="OLE_LINK34"/>
      <w:bookmarkStart w:id="91" w:name="OLE_LINK27"/>
      <w:bookmarkStart w:id="92" w:name="OLE_LINK28"/>
      <w:r>
        <w:rPr>
          <w:rFonts w:hint="eastAsia" w:hAnsi="宋体"/>
        </w:rPr>
        <w:t>行道树设施带景观设计参见图</w:t>
      </w:r>
      <w:r>
        <w:rPr>
          <w:rFonts w:hAnsi="宋体"/>
        </w:rPr>
        <w:t xml:space="preserve">B.1。                 </w:t>
      </w:r>
      <w:bookmarkEnd w:id="90"/>
      <w:r>
        <w:rPr>
          <w:rFonts w:hAnsi="宋体"/>
        </w:rPr>
        <w:t xml:space="preserve"> </w:t>
      </w:r>
    </w:p>
    <w:p>
      <w:pPr>
        <w:pStyle w:val="234"/>
        <w:numPr>
          <w:ilvl w:val="255"/>
          <w:numId w:val="0"/>
        </w:numPr>
        <w:wordWrap/>
        <w:spacing w:beforeLines="0" w:afterLines="0"/>
        <w:ind w:firstLine="420" w:firstLineChars="200"/>
        <w:jc w:val="center"/>
        <w:rPr>
          <w:rFonts w:ascii="宋体" w:eastAsia="宋体"/>
        </w:rPr>
      </w:pPr>
      <w:r>
        <w:rPr>
          <w:rFonts w:hint="eastAsia" w:ascii="宋体" w:eastAsia="宋体"/>
        </w:rPr>
        <w:drawing>
          <wp:inline distT="0" distB="0" distL="114300" distR="114300">
            <wp:extent cx="3921125" cy="2941320"/>
            <wp:effectExtent l="0" t="0" r="10795" b="0"/>
            <wp:docPr id="6" name="图片 6" descr="3.树间灰（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3.树间灰（后）"/>
                    <pic:cNvPicPr>
                      <a:picLocks noChangeAspect="true"/>
                    </pic:cNvPicPr>
                  </pic:nvPicPr>
                  <pic:blipFill>
                    <a:blip r:embed="rId18"/>
                    <a:stretch>
                      <a:fillRect/>
                    </a:stretch>
                  </pic:blipFill>
                  <pic:spPr>
                    <a:xfrm>
                      <a:off x="0" y="0"/>
                      <a:ext cx="3921125" cy="2941320"/>
                    </a:xfrm>
                    <a:prstGeom prst="rect">
                      <a:avLst/>
                    </a:prstGeom>
                  </pic:spPr>
                </pic:pic>
              </a:graphicData>
            </a:graphic>
          </wp:inline>
        </w:drawing>
      </w:r>
      <w:r>
        <w:rPr>
          <w:rFonts w:hint="eastAsia" w:ascii="宋体" w:eastAsia="宋体"/>
        </w:rPr>
        <w:t xml:space="preserve">      </w:t>
      </w:r>
    </w:p>
    <w:p>
      <w:pPr>
        <w:pStyle w:val="83"/>
        <w:spacing w:before="156" w:after="156"/>
      </w:pPr>
      <w:r>
        <w:rPr>
          <w:rFonts w:hint="eastAsia"/>
        </w:rPr>
        <w:t>行道树设施带景观设计图</w:t>
      </w:r>
    </w:p>
    <w:p>
      <w:pPr>
        <w:pStyle w:val="211"/>
        <w:rPr>
          <w:rFonts w:hAnsi="宋体"/>
        </w:rPr>
      </w:pPr>
      <w:r>
        <w:rPr>
          <w:rFonts w:hint="eastAsia"/>
        </w:rPr>
        <w:t xml:space="preserve">绿化设施带景观设计图参见B.2。 </w:t>
      </w:r>
      <w:r>
        <w:rPr>
          <w:rFonts w:hint="eastAsia" w:hAnsi="宋体"/>
        </w:rPr>
        <w:t xml:space="preserve">                                    </w:t>
      </w:r>
    </w:p>
    <w:p>
      <w:pPr>
        <w:pStyle w:val="230"/>
        <w:jc w:val="center"/>
      </w:pPr>
      <w:r>
        <w:rPr>
          <w:rFonts w:hint="eastAsia" w:eastAsia="黑体" w:cs="黑体"/>
          <w:szCs w:val="22"/>
        </w:rPr>
        <w:drawing>
          <wp:inline distT="0" distB="0" distL="114300" distR="114300">
            <wp:extent cx="3937000" cy="3107055"/>
            <wp:effectExtent l="0" t="0" r="6350" b="17145"/>
            <wp:docPr id="4" name="图片 4" descr="IMG_68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6803"/>
                    <pic:cNvPicPr>
                      <a:picLocks noChangeAspect="true"/>
                    </pic:cNvPicPr>
                  </pic:nvPicPr>
                  <pic:blipFill>
                    <a:blip r:embed="rId19"/>
                    <a:stretch>
                      <a:fillRect/>
                    </a:stretch>
                  </pic:blipFill>
                  <pic:spPr>
                    <a:xfrm>
                      <a:off x="0" y="0"/>
                      <a:ext cx="3937000" cy="3107055"/>
                    </a:xfrm>
                    <a:prstGeom prst="rect">
                      <a:avLst/>
                    </a:prstGeom>
                  </pic:spPr>
                </pic:pic>
              </a:graphicData>
            </a:graphic>
          </wp:inline>
        </w:drawing>
      </w:r>
    </w:p>
    <w:p>
      <w:pPr>
        <w:pStyle w:val="83"/>
        <w:spacing w:before="156" w:after="156"/>
      </w:pPr>
      <w:r>
        <w:rPr>
          <w:rFonts w:hint="eastAsia"/>
        </w:rPr>
        <w:t>绿化设施带景观设计图</w:t>
      </w:r>
    </w:p>
    <w:p>
      <w:pPr>
        <w:pStyle w:val="211"/>
      </w:pPr>
      <w:r>
        <w:rPr>
          <w:rFonts w:hint="eastAsia"/>
        </w:rPr>
        <w:t>临近建筑物景观设计参见图B.3。</w:t>
      </w:r>
      <w:r>
        <w:rPr>
          <w:rFonts w:hint="eastAsia" w:hAnsi="宋体"/>
        </w:rPr>
        <w:t xml:space="preserve">   </w:t>
      </w:r>
    </w:p>
    <w:bookmarkEnd w:id="91"/>
    <w:bookmarkEnd w:id="92"/>
    <w:p>
      <w:pPr>
        <w:pStyle w:val="230"/>
        <w:jc w:val="center"/>
        <w:rPr>
          <w:rFonts w:ascii="黑体" w:hAnsi="黑体" w:eastAsia="黑体"/>
        </w:rPr>
      </w:pPr>
      <w:r>
        <w:rPr>
          <w:rFonts w:hint="eastAsia" w:ascii="黑体" w:hAnsi="黑体" w:eastAsia="黑体"/>
        </w:rPr>
        <w:drawing>
          <wp:inline distT="0" distB="0" distL="114300" distR="114300">
            <wp:extent cx="4022725" cy="3138170"/>
            <wp:effectExtent l="0" t="0" r="15875" b="5080"/>
            <wp:docPr id="7" name="图片 7" descr="微信图片_202411131322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微信图片_20241113132210"/>
                    <pic:cNvPicPr>
                      <a:picLocks noChangeAspect="true"/>
                    </pic:cNvPicPr>
                  </pic:nvPicPr>
                  <pic:blipFill>
                    <a:blip r:embed="rId20"/>
                    <a:stretch>
                      <a:fillRect/>
                    </a:stretch>
                  </pic:blipFill>
                  <pic:spPr>
                    <a:xfrm>
                      <a:off x="0" y="0"/>
                      <a:ext cx="4022725" cy="3138170"/>
                    </a:xfrm>
                    <a:prstGeom prst="rect">
                      <a:avLst/>
                    </a:prstGeom>
                  </pic:spPr>
                </pic:pic>
              </a:graphicData>
            </a:graphic>
          </wp:inline>
        </w:drawing>
      </w:r>
    </w:p>
    <w:p>
      <w:pPr>
        <w:pStyle w:val="83"/>
        <w:spacing w:before="156" w:after="156"/>
      </w:pPr>
      <w:r>
        <w:rPr>
          <w:rFonts w:hint="eastAsia"/>
        </w:rPr>
        <w:t>临近建筑物景观设计图</w:t>
      </w:r>
    </w:p>
    <w:p>
      <w:pPr>
        <w:pStyle w:val="211"/>
      </w:pPr>
      <w:bookmarkStart w:id="93" w:name="OLE_LINK26"/>
      <w:bookmarkStart w:id="94" w:name="OLE_LINK29"/>
      <w:r>
        <w:rPr>
          <w:rFonts w:hint="eastAsia"/>
        </w:rPr>
        <w:t>箱体基础外观设计</w:t>
      </w:r>
      <w:bookmarkEnd w:id="93"/>
      <w:bookmarkEnd w:id="94"/>
      <w:r>
        <w:rPr>
          <w:rFonts w:hint="eastAsia"/>
        </w:rPr>
        <w:t xml:space="preserve">参见图B.4。   </w:t>
      </w:r>
    </w:p>
    <w:p>
      <w:pPr>
        <w:pStyle w:val="230"/>
        <w:jc w:val="center"/>
        <w:rPr>
          <w:rFonts w:ascii="黑体" w:hAnsi="黑体" w:eastAsia="黑体"/>
        </w:rPr>
      </w:pPr>
      <w:r>
        <w:rPr>
          <w:rFonts w:ascii="黑体" w:hAnsi="黑体" w:eastAsia="黑体"/>
        </w:rPr>
        <w:drawing>
          <wp:inline distT="0" distB="0" distL="0" distR="0">
            <wp:extent cx="4044950" cy="3745865"/>
            <wp:effectExtent l="0" t="0" r="0" b="6985"/>
            <wp:docPr id="14" name="图片 14" descr="C:\Users\Administrator\Desktop\灰砖_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灰砖_1.jpg"/>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t="3954" r="-1073" b="10449"/>
                    <a:stretch>
                      <a:fillRect/>
                    </a:stretch>
                  </pic:blipFill>
                  <pic:spPr>
                    <a:xfrm>
                      <a:off x="0" y="0"/>
                      <a:ext cx="4047067" cy="3748016"/>
                    </a:xfrm>
                    <a:prstGeom prst="rect">
                      <a:avLst/>
                    </a:prstGeom>
                    <a:noFill/>
                    <a:ln>
                      <a:noFill/>
                    </a:ln>
                  </pic:spPr>
                </pic:pic>
              </a:graphicData>
            </a:graphic>
          </wp:inline>
        </w:drawing>
      </w:r>
    </w:p>
    <w:p>
      <w:pPr>
        <w:pStyle w:val="83"/>
        <w:spacing w:before="156" w:after="156"/>
      </w:pPr>
      <w:r>
        <w:rPr>
          <w:rFonts w:hint="eastAsia"/>
        </w:rPr>
        <w:t>箱体基础外观设计图</w:t>
      </w:r>
    </w:p>
    <w:bookmarkEnd w:id="82"/>
    <w:p>
      <w:pPr>
        <w:pStyle w:val="56"/>
        <w:ind w:firstLine="0" w:firstLineChars="0"/>
        <w:jc w:val="center"/>
      </w:pPr>
      <w:bookmarkStart w:id="95" w:name="BookMark8"/>
      <w:r>
        <w:rPr>
          <w:rFonts w:hint="eastAsia"/>
        </w:rPr>
        <w:drawing>
          <wp:inline distT="0" distB="0" distL="0" distR="0">
            <wp:extent cx="1485900" cy="317500"/>
            <wp:effectExtent l="0" t="0" r="0" b="635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a:extLst>
                        <a:ext uri="{28A0092B-C50C-407E-A947-70E740481C1C}">
                          <a14:useLocalDpi xmlns:a14="http://schemas.microsoft.com/office/drawing/2010/main" val="false"/>
                        </a:ext>
                      </a:extLst>
                    </a:blip>
                    <a:stretch>
                      <a:fillRect/>
                    </a:stretch>
                  </pic:blipFill>
                  <pic:spPr>
                    <a:xfrm>
                      <a:off x="0" y="0"/>
                      <a:ext cx="1485900" cy="317500"/>
                    </a:xfrm>
                    <a:prstGeom prst="rect">
                      <a:avLst/>
                    </a:prstGeom>
                  </pic:spPr>
                </pic:pic>
              </a:graphicData>
            </a:graphic>
          </wp:inline>
        </w:drawing>
      </w:r>
      <w:bookmarkEnd w:id="95"/>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Light">
    <w:altName w:val="汉仪中宋简"/>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思源宋体">
    <w:panose1 w:val="02020500000000000000"/>
    <w:charset w:val="86"/>
    <w:family w:val="auto"/>
    <w:pitch w:val="default"/>
    <w:sig w:usb0="30000083" w:usb1="2BDF3C10" w:usb2="00000016" w:usb3="00000000" w:csb0="602E0107" w:csb1="00000000"/>
  </w:font>
  <w:font w:name="NanumGothic">
    <w:panose1 w:val="020D0604000000000000"/>
    <w:charset w:val="81"/>
    <w:family w:val="auto"/>
    <w:pitch w:val="default"/>
    <w:sig w:usb0="900002A7" w:usb1="29D7FCFB" w:usb2="00000010" w:usb3="00000000" w:csb0="00080001" w:csb1="00000000"/>
  </w:font>
  <w:font w:name="等线">
    <w:altName w:val="国标宋体-超大字符集扩"/>
    <w:panose1 w:val="00000000000000000000"/>
    <w:charset w:val="00"/>
    <w:family w:val="auto"/>
    <w:pitch w:val="default"/>
    <w:sig w:usb0="00000000" w:usb1="00000000" w:usb2="00000000" w:usb3="00000000" w:csb0="00000000" w:csb1="00000000"/>
  </w:font>
  <w:font w:name="国标宋体-超大字符集扩">
    <w:panose1 w:val="000005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11/T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11/T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true"/>
  <w:bordersDoNotSurroundHeader w:val="true"/>
  <w:bordersDoNotSurroundFooter w:val="true"/>
  <w:attachedTemplate r:id="rId1"/>
  <w:documentProtection w:edit="forms" w:enforcement="1" w:cryptProviderType="rsaAES" w:cryptAlgorithmClass="hash" w:cryptAlgorithmType="typeAny" w:cryptAlgorithmSid="14" w:cryptSpinCount="100000" w:hash="UFElbSu1IJ/E18g1i4zYYT8lnApvl5zznkpoDEoM1Yq+PJ28j912IHwnUe7XcZpQGQb0JWJ0y5IAv38HD28fmw==" w:salt="q7dvydm16AayfJvpMSt0NQ=="/>
  <w:defaultTabStop w:val="420"/>
  <w:drawingGridHorizontalSpacing w:val="105"/>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496"/>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5630"/>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346F"/>
    <w:rsid w:val="000D4B9C"/>
    <w:rsid w:val="000D4EB6"/>
    <w:rsid w:val="000D753B"/>
    <w:rsid w:val="000E4C9E"/>
    <w:rsid w:val="000E6FD7"/>
    <w:rsid w:val="000F06E1"/>
    <w:rsid w:val="000F0E3C"/>
    <w:rsid w:val="000F19D5"/>
    <w:rsid w:val="000F41A1"/>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058D"/>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1AA0"/>
    <w:rsid w:val="001A234A"/>
    <w:rsid w:val="001A4CF3"/>
    <w:rsid w:val="001B06E8"/>
    <w:rsid w:val="001B71D0"/>
    <w:rsid w:val="001B71EE"/>
    <w:rsid w:val="001C04A8"/>
    <w:rsid w:val="001C2C03"/>
    <w:rsid w:val="001C35F4"/>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017"/>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E7DC1"/>
    <w:rsid w:val="002F30E0"/>
    <w:rsid w:val="002F35E4"/>
    <w:rsid w:val="002F3730"/>
    <w:rsid w:val="002F38E1"/>
    <w:rsid w:val="002F7AF6"/>
    <w:rsid w:val="0030089F"/>
    <w:rsid w:val="00300E63"/>
    <w:rsid w:val="00302F5F"/>
    <w:rsid w:val="0030441D"/>
    <w:rsid w:val="00306063"/>
    <w:rsid w:val="00311FB1"/>
    <w:rsid w:val="00313B85"/>
    <w:rsid w:val="00317988"/>
    <w:rsid w:val="003221B4"/>
    <w:rsid w:val="0032258D"/>
    <w:rsid w:val="00322E62"/>
    <w:rsid w:val="00324D13"/>
    <w:rsid w:val="00324D2A"/>
    <w:rsid w:val="00324EDD"/>
    <w:rsid w:val="003331E4"/>
    <w:rsid w:val="00336C64"/>
    <w:rsid w:val="00337162"/>
    <w:rsid w:val="00341198"/>
    <w:rsid w:val="0034194F"/>
    <w:rsid w:val="00344605"/>
    <w:rsid w:val="003474AA"/>
    <w:rsid w:val="00350D1D"/>
    <w:rsid w:val="00352C83"/>
    <w:rsid w:val="00356D5E"/>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C7E2E"/>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3F776B"/>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2CD5"/>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76496"/>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D787B"/>
    <w:rsid w:val="005E2335"/>
    <w:rsid w:val="005E34CA"/>
    <w:rsid w:val="005E3C18"/>
    <w:rsid w:val="005E6812"/>
    <w:rsid w:val="005E7881"/>
    <w:rsid w:val="005E78E0"/>
    <w:rsid w:val="005F0D9C"/>
    <w:rsid w:val="005F284E"/>
    <w:rsid w:val="005F4712"/>
    <w:rsid w:val="006015CE"/>
    <w:rsid w:val="00604784"/>
    <w:rsid w:val="00606419"/>
    <w:rsid w:val="00607D29"/>
    <w:rsid w:val="00610ED0"/>
    <w:rsid w:val="00612952"/>
    <w:rsid w:val="00614CC1"/>
    <w:rsid w:val="00615A9D"/>
    <w:rsid w:val="00617387"/>
    <w:rsid w:val="006205D6"/>
    <w:rsid w:val="00622751"/>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10DE"/>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2EE5"/>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0F3"/>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2ED5"/>
    <w:rsid w:val="00863E05"/>
    <w:rsid w:val="00865ACA"/>
    <w:rsid w:val="00865D28"/>
    <w:rsid w:val="00865F85"/>
    <w:rsid w:val="00867C10"/>
    <w:rsid w:val="00870439"/>
    <w:rsid w:val="00870DA1"/>
    <w:rsid w:val="00872F30"/>
    <w:rsid w:val="00883F93"/>
    <w:rsid w:val="00884DB3"/>
    <w:rsid w:val="00885A9D"/>
    <w:rsid w:val="008864F6"/>
    <w:rsid w:val="0089049D"/>
    <w:rsid w:val="008928C9"/>
    <w:rsid w:val="008930CB"/>
    <w:rsid w:val="008938DC"/>
    <w:rsid w:val="00893FD1"/>
    <w:rsid w:val="00894836"/>
    <w:rsid w:val="00895172"/>
    <w:rsid w:val="00895199"/>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36B6"/>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07A"/>
    <w:rsid w:val="00993889"/>
    <w:rsid w:val="0099551B"/>
    <w:rsid w:val="00997BF1"/>
    <w:rsid w:val="009A089C"/>
    <w:rsid w:val="009A118E"/>
    <w:rsid w:val="009A21CD"/>
    <w:rsid w:val="009A278C"/>
    <w:rsid w:val="009A2BC2"/>
    <w:rsid w:val="009A42C1"/>
    <w:rsid w:val="009A523B"/>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15B2"/>
    <w:rsid w:val="009E1C86"/>
    <w:rsid w:val="009E4A58"/>
    <w:rsid w:val="009E5A2D"/>
    <w:rsid w:val="009E5AB2"/>
    <w:rsid w:val="009E6219"/>
    <w:rsid w:val="009F03B3"/>
    <w:rsid w:val="009F7C0D"/>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1A5C"/>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008"/>
    <w:rsid w:val="00B342F4"/>
    <w:rsid w:val="00B34369"/>
    <w:rsid w:val="00B34DC2"/>
    <w:rsid w:val="00B3556F"/>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389C"/>
    <w:rsid w:val="00B65149"/>
    <w:rsid w:val="00B66567"/>
    <w:rsid w:val="00B66F52"/>
    <w:rsid w:val="00B66FE5"/>
    <w:rsid w:val="00B72880"/>
    <w:rsid w:val="00B758BF"/>
    <w:rsid w:val="00B77EC8"/>
    <w:rsid w:val="00B827A6"/>
    <w:rsid w:val="00B831CE"/>
    <w:rsid w:val="00B86677"/>
    <w:rsid w:val="00B87131"/>
    <w:rsid w:val="00B939B1"/>
    <w:rsid w:val="00B93B5F"/>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188C"/>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32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D59BB"/>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3B37"/>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4751"/>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3558"/>
    <w:rsid w:val="00F1409D"/>
    <w:rsid w:val="00F14214"/>
    <w:rsid w:val="00F14953"/>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5746C"/>
    <w:rsid w:val="00F6194E"/>
    <w:rsid w:val="00F623AC"/>
    <w:rsid w:val="00F6412A"/>
    <w:rsid w:val="00F65893"/>
    <w:rsid w:val="00F66A4A"/>
    <w:rsid w:val="00F70E7A"/>
    <w:rsid w:val="00F71E22"/>
    <w:rsid w:val="00F72142"/>
    <w:rsid w:val="00F72AE7"/>
    <w:rsid w:val="00F7369E"/>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0E4"/>
    <w:rsid w:val="00FD7299"/>
    <w:rsid w:val="00FE1FBE"/>
    <w:rsid w:val="00FE3901"/>
    <w:rsid w:val="00FE39D3"/>
    <w:rsid w:val="00FE4BCE"/>
    <w:rsid w:val="00FE54AE"/>
    <w:rsid w:val="00FE576A"/>
    <w:rsid w:val="00FE7E79"/>
    <w:rsid w:val="00FF3E7D"/>
    <w:rsid w:val="00FF5B99"/>
    <w:rsid w:val="00FF730C"/>
    <w:rsid w:val="00FF73F4"/>
    <w:rsid w:val="00FF7CE4"/>
    <w:rsid w:val="00FF7E39"/>
    <w:rsid w:val="08AD031E"/>
    <w:rsid w:val="285171A4"/>
    <w:rsid w:val="2D1B1263"/>
    <w:rsid w:val="34DC2B4A"/>
    <w:rsid w:val="375D0AAF"/>
    <w:rsid w:val="3AEA295B"/>
    <w:rsid w:val="3CA06C1B"/>
    <w:rsid w:val="40842268"/>
    <w:rsid w:val="45FF58D4"/>
    <w:rsid w:val="4C415F23"/>
    <w:rsid w:val="5183500D"/>
    <w:rsid w:val="578D17B9"/>
    <w:rsid w:val="5ED12224"/>
    <w:rsid w:val="612E3072"/>
    <w:rsid w:val="6BDF3DF7"/>
    <w:rsid w:val="6F7F20AF"/>
    <w:rsid w:val="745148D6"/>
    <w:rsid w:val="7C5A6DC8"/>
    <w:rsid w:val="7F207CF7"/>
    <w:rsid w:val="9BAF8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paragraph" w:styleId="6">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6"/>
    <w:qFormat/>
    <w:uiPriority w:val="99"/>
    <w:pPr>
      <w:spacing w:after="120"/>
    </w:p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Char"/>
    <w:link w:val="3"/>
    <w:qFormat/>
    <w:uiPriority w:val="0"/>
    <w:rPr>
      <w:b/>
      <w:bCs/>
      <w:kern w:val="44"/>
      <w:sz w:val="44"/>
      <w:szCs w:val="44"/>
    </w:rPr>
  </w:style>
  <w:style w:type="character" w:customStyle="1" w:styleId="35">
    <w:name w:val="标题 2 Char"/>
    <w:link w:val="4"/>
    <w:qFormat/>
    <w:uiPriority w:val="0"/>
    <w:rPr>
      <w:rFonts w:ascii="Arial" w:hAnsi="Arial" w:eastAsia="黑体"/>
      <w:b/>
      <w:bCs/>
      <w:kern w:val="2"/>
      <w:sz w:val="32"/>
      <w:szCs w:val="32"/>
    </w:rPr>
  </w:style>
  <w:style w:type="character" w:customStyle="1" w:styleId="36">
    <w:name w:val="标题 3 Char"/>
    <w:link w:val="5"/>
    <w:qFormat/>
    <w:uiPriority w:val="0"/>
    <w:rPr>
      <w:b/>
      <w:bCs/>
      <w:kern w:val="2"/>
      <w:sz w:val="32"/>
      <w:szCs w:val="32"/>
    </w:rPr>
  </w:style>
  <w:style w:type="character" w:customStyle="1" w:styleId="37">
    <w:name w:val="标题 4 Char"/>
    <w:link w:val="6"/>
    <w:qFormat/>
    <w:uiPriority w:val="0"/>
    <w:rPr>
      <w:rFonts w:ascii="Arial" w:hAnsi="Arial" w:eastAsia="黑体"/>
      <w:b/>
      <w:bCs/>
      <w:kern w:val="2"/>
      <w:sz w:val="28"/>
      <w:szCs w:val="28"/>
    </w:rPr>
  </w:style>
  <w:style w:type="character" w:customStyle="1" w:styleId="38">
    <w:name w:val="标题 5 Char"/>
    <w:link w:val="7"/>
    <w:qFormat/>
    <w:uiPriority w:val="0"/>
    <w:rPr>
      <w:b/>
      <w:bCs/>
      <w:kern w:val="2"/>
      <w:sz w:val="28"/>
      <w:szCs w:val="28"/>
    </w:rPr>
  </w:style>
  <w:style w:type="character" w:customStyle="1" w:styleId="39">
    <w:name w:val="标题 6 Char"/>
    <w:link w:val="8"/>
    <w:qFormat/>
    <w:uiPriority w:val="0"/>
    <w:rPr>
      <w:rFonts w:ascii="Arial" w:hAnsi="Arial" w:eastAsia="黑体"/>
      <w:b/>
      <w:bCs/>
      <w:kern w:val="2"/>
      <w:sz w:val="24"/>
      <w:szCs w:val="24"/>
    </w:rPr>
  </w:style>
  <w:style w:type="character" w:customStyle="1" w:styleId="40">
    <w:name w:val="标题 7 Char"/>
    <w:link w:val="9"/>
    <w:qFormat/>
    <w:uiPriority w:val="0"/>
    <w:rPr>
      <w:b/>
      <w:bCs/>
      <w:kern w:val="2"/>
      <w:sz w:val="24"/>
      <w:szCs w:val="24"/>
    </w:rPr>
  </w:style>
  <w:style w:type="character" w:customStyle="1" w:styleId="41">
    <w:name w:val="标题 8 Char"/>
    <w:link w:val="10"/>
    <w:qFormat/>
    <w:uiPriority w:val="0"/>
    <w:rPr>
      <w:rFonts w:ascii="Arial" w:hAnsi="Arial" w:eastAsia="黑体"/>
      <w:kern w:val="2"/>
      <w:sz w:val="24"/>
      <w:szCs w:val="24"/>
    </w:rPr>
  </w:style>
  <w:style w:type="character" w:customStyle="1" w:styleId="42">
    <w:name w:val="标题 9 Char"/>
    <w:link w:val="11"/>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Char"/>
    <w:link w:val="46"/>
    <w:qFormat/>
    <w:uiPriority w:val="29"/>
    <w:rPr>
      <w:i/>
      <w:iCs/>
      <w:color w:val="000000"/>
      <w:kern w:val="2"/>
      <w:sz w:val="21"/>
      <w:szCs w:val="21"/>
    </w:rPr>
  </w:style>
  <w:style w:type="character" w:customStyle="1" w:styleId="48">
    <w:name w:val="标题 Char"/>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2"/>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2"/>
    <w:qFormat/>
    <w:uiPriority w:val="99"/>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不明显参考1"/>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vAnchor="page" w:hAnchor="page" w:x="1419" w:y="14097"/>
    </w:pPr>
  </w:style>
  <w:style w:type="paragraph" w:customStyle="1" w:styleId="194">
    <w:name w:val="其他实施日期"/>
    <w:basedOn w:val="154"/>
    <w:qFormat/>
    <w:uiPriority w:val="0"/>
    <w:pPr>
      <w:framePr w:w="3997" w:h="471" w:hRule="exact" w:vSpace="181"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段"/>
    <w:link w:val="23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1">
    <w:name w:val="段 Char"/>
    <w:link w:val="230"/>
    <w:qFormat/>
    <w:uiPriority w:val="0"/>
    <w:rPr>
      <w:rFonts w:ascii="宋体" w:hAnsi="Times New Roman"/>
      <w:sz w:val="21"/>
    </w:rPr>
  </w:style>
  <w:style w:type="table" w:customStyle="1" w:styleId="232">
    <w:name w:val="网格型1"/>
    <w:basedOn w:val="26"/>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33">
    <w:name w:val="附录标识"/>
    <w:basedOn w:val="1"/>
    <w:next w:val="230"/>
    <w:qFormat/>
    <w:uiPriority w:val="0"/>
    <w:pPr>
      <w:keepNext/>
      <w:widowControl/>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234">
    <w:name w:val="附录二级条标题"/>
    <w:basedOn w:val="1"/>
    <w:next w:val="230"/>
    <w:qFormat/>
    <w:uiPriority w:val="0"/>
    <w:pPr>
      <w:widowControl/>
      <w:tabs>
        <w:tab w:val="left" w:pos="360"/>
      </w:tabs>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szCs w:val="20"/>
    </w:rPr>
  </w:style>
  <w:style w:type="paragraph" w:customStyle="1" w:styleId="235">
    <w:name w:val="附录三级条标题"/>
    <w:basedOn w:val="234"/>
    <w:next w:val="230"/>
    <w:qFormat/>
    <w:uiPriority w:val="0"/>
    <w:pPr>
      <w:outlineLvl w:val="4"/>
    </w:pPr>
  </w:style>
  <w:style w:type="paragraph" w:customStyle="1" w:styleId="236">
    <w:name w:val="附录四级条标题"/>
    <w:basedOn w:val="235"/>
    <w:next w:val="230"/>
    <w:qFormat/>
    <w:uiPriority w:val="0"/>
    <w:pPr>
      <w:outlineLvl w:val="5"/>
    </w:pPr>
  </w:style>
  <w:style w:type="paragraph" w:customStyle="1" w:styleId="237">
    <w:name w:val="附录五级条标题"/>
    <w:basedOn w:val="236"/>
    <w:next w:val="230"/>
    <w:qFormat/>
    <w:uiPriority w:val="0"/>
    <w:pPr>
      <w:outlineLvl w:val="6"/>
    </w:pPr>
  </w:style>
  <w:style w:type="paragraph" w:customStyle="1" w:styleId="238">
    <w:name w:val="附录章标题"/>
    <w:next w:val="230"/>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39">
    <w:name w:val="附录一级条标题"/>
    <w:basedOn w:val="238"/>
    <w:next w:val="230"/>
    <w:qFormat/>
    <w:uiPriority w:val="0"/>
    <w:pPr>
      <w:autoSpaceDN w:val="0"/>
      <w:spacing w:beforeLines="50" w:afterLines="50"/>
      <w:outlineLvl w:val="2"/>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os/C:\home\uos\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ED66C7CABAC4107A4A6F3205F3F8D70"/>
        <w:style w:val=""/>
        <w:category>
          <w:name w:val="常规"/>
          <w:gallery w:val="placeholder"/>
        </w:category>
        <w:types>
          <w:type w:val="bbPlcHdr"/>
        </w:types>
        <w:behaviors>
          <w:behavior w:val="content"/>
        </w:behaviors>
        <w:description w:val=""/>
        <w:guid w:val="{F04FC616-6FEB-4C20-837C-E4F98955F663}"/>
      </w:docPartPr>
      <w:docPartBody>
        <w:p>
          <w:pPr>
            <w:pStyle w:val="5"/>
          </w:pPr>
          <w:r>
            <w:rPr>
              <w:rStyle w:val="4"/>
              <w:rFonts w:hint="eastAsia"/>
            </w:rPr>
            <w:t>单击或点击此处输入文字。</w:t>
          </w:r>
        </w:p>
      </w:docPartBody>
    </w:docPart>
    <w:docPart>
      <w:docPartPr>
        <w:name w:val="D504249FCB614576BC4E0221BAA809BA"/>
        <w:style w:val=""/>
        <w:category>
          <w:name w:val="常规"/>
          <w:gallery w:val="placeholder"/>
        </w:category>
        <w:types>
          <w:type w:val="bbPlcHdr"/>
        </w:types>
        <w:behaviors>
          <w:behavior w:val="content"/>
        </w:behaviors>
        <w:description w:val=""/>
        <w:guid w:val="{3EABFBF6-0B42-415E-98E8-05AC1D1CB7F6}"/>
      </w:docPartPr>
      <w:docPartBody>
        <w:p>
          <w:pPr>
            <w:pStyle w:val="6"/>
          </w:pPr>
          <w:r>
            <w:rPr>
              <w:rStyle w:val="4"/>
              <w:rFonts w:hint="eastAsia"/>
            </w:rPr>
            <w:t>选择一项。</w:t>
          </w:r>
        </w:p>
      </w:docPartBody>
    </w:docPart>
    <w:docPart>
      <w:docPartPr>
        <w:name w:val="AA61351804174DC39B95CE3ECA1D1480"/>
        <w:style w:val=""/>
        <w:category>
          <w:name w:val="常规"/>
          <w:gallery w:val="placeholder"/>
        </w:category>
        <w:types>
          <w:type w:val="bbPlcHdr"/>
        </w:types>
        <w:behaviors>
          <w:behavior w:val="content"/>
        </w:behaviors>
        <w:description w:val=""/>
        <w:guid w:val="{CDDBE79E-7E0A-4F99-862C-5E92C760F5B4}"/>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国标仿宋"/>
    <w:panose1 w:val="00000000000000000000"/>
    <w:charset w:val="86"/>
    <w:family w:val="auto"/>
    <w:pitch w:val="default"/>
    <w:sig w:usb0="00000000" w:usb1="00000000" w:usb2="00000000" w:usb3="00000000" w:csb0="00000000" w:csb1="00000000"/>
  </w:font>
  <w:font w:name="等线">
    <w:altName w:val="国标宋体-超大字符集扩"/>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true"/>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244"/>
    <w:rsid w:val="00082244"/>
    <w:rsid w:val="002B2255"/>
    <w:rsid w:val="002B4C06"/>
    <w:rsid w:val="004E2CD5"/>
    <w:rsid w:val="00510B56"/>
    <w:rsid w:val="00516A76"/>
    <w:rsid w:val="00575B34"/>
    <w:rsid w:val="007664E2"/>
    <w:rsid w:val="009D7B6C"/>
    <w:rsid w:val="00A803AD"/>
    <w:rsid w:val="00EC2A08"/>
    <w:rsid w:val="00EF1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ED66C7CABAC4107A4A6F3205F3F8D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504249FCB614576BC4E0221BAA809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AA61351804174DC39B95CE3ECA1D1480"/>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12</Pages>
  <Words>4508</Words>
  <Characters>5357</Characters>
  <Lines>50</Lines>
  <Paragraphs>14</Paragraphs>
  <TotalTime>16</TotalTime>
  <ScaleCrop>false</ScaleCrop>
  <LinksUpToDate>false</LinksUpToDate>
  <CharactersWithSpaces>5643</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2025-09-18T15:24:00Z</dcterms:created>
  <dc:creator>user</dc:creator>
  <dc:description>&lt;config cover="true" show_menu="true" version="1.0.0" doctype="SDKXY"&gt;_x000d_
&lt;/config&gt;</dc:description>
  <cp:lastModifiedBy> </cp:lastModifiedBy>
  <cp:lastPrinted>2025-09-22T18:38:00Z</cp:lastPrinted>
  <dcterms:modified xsi:type="dcterms:W3CDTF">2025-09-28T15:51:30Z</dcterms:modified>
  <dc:title>地方标准</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eyJoZGlkIjoiMjQ5YWQ3NDI0NThjZmU5MTc3M2UzNTMyNmE5MDQ0YjciLCJ1c2VySWQiOiI3MDk4Mzg4MTUifQ==</vt:lpwstr>
  </property>
  <property fmtid="{D5CDD505-2E9C-101B-9397-08002B2CF9AE}" pid="15" name="KSOProductBuildVer">
    <vt:lpwstr>2052-11.8.2.9980</vt:lpwstr>
  </property>
  <property fmtid="{D5CDD505-2E9C-101B-9397-08002B2CF9AE}" pid="16" name="ICV">
    <vt:lpwstr>7C76E7DA49B7462EA2F797BBC9F7DCCC_13</vt:lpwstr>
  </property>
</Properties>
</file>