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75512">
      <w:pPr>
        <w:pStyle w:val="128"/>
        <w:framePr w:wrap="around"/>
        <w:rPr>
          <w:rFonts w:ascii="Times New Roman"/>
        </w:rPr>
      </w:pPr>
      <w:r>
        <w:rPr>
          <w:rFonts w:ascii="Times New Roman"/>
        </w:rPr>
        <w:t>ICS </w:t>
      </w:r>
      <w:r>
        <w:rPr>
          <w:rFonts w:hint="eastAsia" w:ascii="Times New Roman"/>
        </w:rPr>
        <w:t>91.140.80</w:t>
      </w:r>
    </w:p>
    <w:p w14:paraId="1EDBD22C">
      <w:pPr>
        <w:pStyle w:val="128"/>
        <w:framePr w:wrap="around"/>
        <w:rPr>
          <w:rFonts w:ascii="Times New Roman"/>
        </w:rPr>
      </w:pPr>
      <w:r>
        <w:rPr>
          <w:rFonts w:ascii="Times New Roman"/>
        </w:rPr>
        <w:t xml:space="preserve">CCS  </w:t>
      </w:r>
      <w:r>
        <w:rPr>
          <w:rFonts w:hint="eastAsia" w:ascii="Times New Roman"/>
        </w:rPr>
        <w:t>P42</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476D7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14:paraId="17D91D46">
            <w:pPr>
              <w:pStyle w:val="128"/>
              <w:framePr w:wrap="around"/>
              <w:rPr>
                <w:rFonts w:ascii="Times New Roman"/>
              </w:rPr>
            </w:pPr>
          </w:p>
        </w:tc>
      </w:tr>
    </w:tbl>
    <w:p w14:paraId="6FBDD54E">
      <w:pPr>
        <w:pStyle w:val="114"/>
        <w:framePr w:wrap="around"/>
      </w:pPr>
      <w:r>
        <w:t>D</w:t>
      </w:r>
      <w:r>
        <w:rPr>
          <w:spacing w:val="100"/>
        </w:rPr>
        <w:t>B</w:t>
      </w:r>
      <w:r>
        <w:fldChar w:fldCharType="begin">
          <w:ffData>
            <w:name w:val="c3"/>
            <w:enabled/>
            <w:calcOnExit w:val="0"/>
            <w:entryMacro w:val="ShowHelp16"/>
            <w:textInput/>
          </w:ffData>
        </w:fldChar>
      </w:r>
      <w:bookmarkStart w:id="0" w:name="c3"/>
      <w:r>
        <w:instrText xml:space="preserve"> FORMTEXT </w:instrText>
      </w:r>
      <w:r>
        <w:fldChar w:fldCharType="separate"/>
      </w:r>
      <w:r>
        <w:t>11</w:t>
      </w:r>
      <w:r>
        <w:fldChar w:fldCharType="end"/>
      </w:r>
      <w:bookmarkEnd w:id="0"/>
    </w:p>
    <w:p w14:paraId="706273A6">
      <w:pPr>
        <w:pStyle w:val="115"/>
        <w:framePr w:wrap="around"/>
        <w:rPr>
          <w:rFonts w:ascii="Times New Roman" w:hAnsi="Times New Roman"/>
        </w:rPr>
      </w:pPr>
      <w:r>
        <w:rPr>
          <w:rFonts w:ascii="Times New Roman" w:hAnsi="Times New Roman"/>
        </w:rPr>
        <w:fldChar w:fldCharType="begin">
          <w:ffData>
            <w:name w:val="c4"/>
            <w:enabled/>
            <w:calcOnExit w:val="0"/>
            <w:entryMacro w:val="showhelp12"/>
            <w:textInput/>
          </w:ffData>
        </w:fldChar>
      </w:r>
      <w:bookmarkStart w:id="1" w:name="c4"/>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北京市</w:t>
      </w:r>
      <w:r>
        <w:rPr>
          <w:rFonts w:ascii="Times New Roman" w:hAnsi="Times New Roman"/>
        </w:rPr>
        <w:fldChar w:fldCharType="end"/>
      </w:r>
      <w:bookmarkEnd w:id="1"/>
      <w:r>
        <w:rPr>
          <w:rFonts w:ascii="Times New Roman" w:hAnsi="Times New Roman"/>
        </w:rPr>
        <w:t>地方标准</w:t>
      </w:r>
    </w:p>
    <w:p w14:paraId="2F17EB8D">
      <w:pPr>
        <w:pStyle w:val="52"/>
        <w:framePr w:wrap="around"/>
        <w:rPr>
          <w:rFonts w:ascii="Times New Roman"/>
        </w:rPr>
      </w:pPr>
      <w:r>
        <w:rPr>
          <w:rFonts w:ascii="Times New Roman"/>
        </w:rPr>
        <w:t>DB11/T 147—</w:t>
      </w:r>
      <w:r>
        <w:rPr>
          <w:rFonts w:ascii="Times New Roman"/>
        </w:rPr>
        <w:fldChar w:fldCharType="begin">
          <w:ffData>
            <w:name w:val="StdNo2"/>
            <w:enabled/>
            <w:calcOnExit w:val="0"/>
            <w:textInput>
              <w:default w:val="××××"/>
              <w:maxLength w:val="4"/>
            </w:textInput>
          </w:ffData>
        </w:fldChar>
      </w:r>
      <w:bookmarkStart w:id="2" w:name="StdNo2"/>
      <w:r>
        <w:rPr>
          <w:rFonts w:ascii="Times New Roman"/>
        </w:rPr>
        <w:instrText xml:space="preserve"> FORMTEXT </w:instrText>
      </w:r>
      <w:r>
        <w:rPr>
          <w:rFonts w:ascii="Times New Roman"/>
        </w:rPr>
        <w:fldChar w:fldCharType="separate"/>
      </w:r>
      <w:r>
        <w:rPr>
          <w:rFonts w:ascii="Times New Roman"/>
        </w:rPr>
        <w:t>××××</w:t>
      </w:r>
      <w:r>
        <w:rPr>
          <w:rFonts w:ascii="Times New Roman"/>
        </w:rPr>
        <w:fldChar w:fldCharType="end"/>
      </w:r>
      <w:bookmarkEnd w:id="2"/>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69C7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14:paraId="28A06F7F">
            <w:pPr>
              <w:pStyle w:val="81"/>
              <w:framePr w:wrap="around"/>
              <w:rPr>
                <w:rFonts w:ascii="Times New Roman" w:eastAsia="黑体"/>
              </w:rPr>
            </w:pPr>
            <w:r>
              <w:rPr>
                <w:rFonts w:ascii="Times New Roman" w:eastAsia="黑体"/>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rPr>
                <w:rFonts w:ascii="Times New Roman" w:eastAsia="黑体"/>
              </w:rPr>
              <w:fldChar w:fldCharType="begin">
                <w:ffData>
                  <w:name w:val="DT"/>
                  <w:enabled/>
                  <w:calcOnExit w:val="0"/>
                  <w:entryMacro w:val="ShowHelp4"/>
                  <w:textInput/>
                </w:ffData>
              </w:fldChar>
            </w:r>
            <w:bookmarkStart w:id="3" w:name="DT"/>
            <w:r>
              <w:rPr>
                <w:rFonts w:ascii="Times New Roman" w:eastAsia="黑体"/>
              </w:rPr>
              <w:instrText xml:space="preserve"> FORMTEXT </w:instrText>
            </w:r>
            <w:r>
              <w:rPr>
                <w:rFonts w:ascii="Times New Roman" w:eastAsia="黑体"/>
              </w:rPr>
              <w:fldChar w:fldCharType="separate"/>
            </w:r>
            <w:r>
              <w:rPr>
                <w:rFonts w:ascii="Times New Roman" w:eastAsia="黑体"/>
              </w:rPr>
              <w:t>     </w:t>
            </w:r>
            <w:r>
              <w:rPr>
                <w:rFonts w:ascii="Times New Roman" w:eastAsia="黑体"/>
              </w:rPr>
              <w:fldChar w:fldCharType="end"/>
            </w:r>
            <w:bookmarkEnd w:id="3"/>
          </w:p>
        </w:tc>
      </w:tr>
    </w:tbl>
    <w:p w14:paraId="6EFC49B2">
      <w:pPr>
        <w:pStyle w:val="52"/>
        <w:framePr w:wrap="around"/>
        <w:rPr>
          <w:rFonts w:ascii="Times New Roman"/>
        </w:rPr>
      </w:pPr>
    </w:p>
    <w:p w14:paraId="310D28DA">
      <w:pPr>
        <w:pStyle w:val="52"/>
        <w:framePr w:wrap="around"/>
        <w:rPr>
          <w:rFonts w:ascii="Times New Roman"/>
        </w:rPr>
      </w:pPr>
    </w:p>
    <w:p w14:paraId="2F87EFB3">
      <w:pPr>
        <w:pStyle w:val="83"/>
        <w:framePr w:wrap="around"/>
        <w:rPr>
          <w:rFonts w:ascii="Times New Roman"/>
        </w:rPr>
      </w:pPr>
      <w:r>
        <w:rPr>
          <w:rFonts w:ascii="Times New Roman"/>
        </w:rPr>
        <w:t>检查井盖结构、安全技术规范</w:t>
      </w:r>
      <w:bookmarkStart w:id="297" w:name="_GoBack"/>
      <w:bookmarkEnd w:id="297"/>
    </w:p>
    <w:p w14:paraId="71180AEA">
      <w:pPr>
        <w:pStyle w:val="84"/>
        <w:framePr w:wrap="around"/>
      </w:pPr>
      <w:r>
        <w:rPr>
          <w:rFonts w:hint="eastAsia" w:ascii="黑体" w:hAnsi="黑体" w:cs="黑体"/>
        </w:rPr>
        <w:fldChar w:fldCharType="begin">
          <w:ffData>
            <w:name w:val="StdEnglishName"/>
            <w:enabled/>
            <w:calcOnExit w:val="0"/>
            <w:textInput>
              <w:default w:val="点击此处添加标准英文译名"/>
            </w:textInput>
          </w:ffData>
        </w:fldChar>
      </w:r>
      <w:bookmarkStart w:id="4" w:name="StdEnglishName"/>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Technical specifications of structure and safety for manhole cover</w:t>
      </w:r>
      <w:r>
        <w:rPr>
          <w:rFonts w:hint="eastAsia" w:ascii="黑体" w:hAnsi="黑体" w:cs="黑体"/>
        </w:rPr>
        <w:fldChar w:fldCharType="end"/>
      </w:r>
      <w:bookmarkEnd w:id="4"/>
    </w:p>
    <w:p w14:paraId="1F40CD1C">
      <w:pPr>
        <w:pStyle w:val="85"/>
        <w:framePr w:wrap="around"/>
        <w:rPr>
          <w:rFonts w:ascii="Times New Roman" w:eastAsia="黑体"/>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1C747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203775FA">
            <w:pPr>
              <w:pStyle w:val="86"/>
              <w:framePr w:wrap="around"/>
              <w:rPr>
                <w:rFonts w:ascii="Times New Roman"/>
              </w:rPr>
            </w:pPr>
            <w:r>
              <w:rPr>
                <w:rFonts w:ascii="Times New Roman"/>
              </w:rP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w:rPr>
                <w:rFonts w:ascii="Times New Roman"/>
              </w:rP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bookmarkStart w:id="5" w:name="LB"/>
            <w:r>
              <w:rPr>
                <w:rFonts w:ascii="Times New Roman"/>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ascii="Times New Roman"/>
              </w:rPr>
              <w:instrText xml:space="preserve">FORMDROPDOWN</w:instrText>
            </w:r>
            <w:r>
              <w:rPr>
                <w:rFonts w:ascii="Times New Roman"/>
              </w:rPr>
              <w:fldChar w:fldCharType="separate"/>
            </w:r>
            <w:r>
              <w:rPr>
                <w:rFonts w:ascii="Times New Roman"/>
              </w:rPr>
              <w:fldChar w:fldCharType="end"/>
            </w:r>
            <w:bookmarkEnd w:id="5"/>
          </w:p>
        </w:tc>
      </w:tr>
      <w:tr w14:paraId="421F5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07451FD9">
            <w:pPr>
              <w:pStyle w:val="87"/>
              <w:framePr w:wrap="around"/>
              <w:rPr>
                <w:rFonts w:ascii="Times New Roman"/>
              </w:rPr>
            </w:pPr>
            <w:r>
              <w:rPr>
                <w:rFonts w:ascii="Times New Roman"/>
              </w:rPr>
              <w:fldChar w:fldCharType="begin">
                <w:ffData>
                  <w:name w:val="WCRQ"/>
                  <w:enabled/>
                  <w:calcOnExit w:val="0"/>
                  <w:textInput/>
                </w:ffData>
              </w:fldChar>
            </w:r>
            <w:bookmarkStart w:id="6" w:name="WCRQ"/>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tc>
      </w:tr>
    </w:tbl>
    <w:p w14:paraId="25D22041">
      <w:pPr>
        <w:pStyle w:val="135"/>
        <w:framePr w:wrap="around"/>
      </w:pPr>
      <w:r>
        <w:fldChar w:fldCharType="begin">
          <w:ffData>
            <w:name w:val="FY"/>
            <w:enabled/>
            <w:calcOnExit w:val="0"/>
            <w:entryMacro w:val="ShowHelp8"/>
            <w:textInput>
              <w:default w:val="××××"/>
              <w:maxLength w:val="4"/>
            </w:textInput>
          </w:ffData>
        </w:fldChar>
      </w:r>
      <w:bookmarkStart w:id="7" w:name="FY"/>
      <w:r>
        <w:instrText xml:space="preserve"> FORMTEXT </w:instrText>
      </w:r>
      <w:r>
        <w:fldChar w:fldCharType="separate"/>
      </w:r>
      <w:r>
        <w:t>××××</w:t>
      </w:r>
      <w:r>
        <w:fldChar w:fldCharType="end"/>
      </w:r>
      <w:bookmarkEnd w:id="7"/>
      <w:r>
        <w:t xml:space="preserve"> - </w:t>
      </w:r>
      <w:r>
        <w:fldChar w:fldCharType="begin">
          <w:ffData>
            <w:name w:val="FM"/>
            <w:enabled/>
            <w:calcOnExit w:val="0"/>
            <w:entryMacro w:val="ShowHelp8"/>
            <w:textInput>
              <w:default w:val="××"/>
              <w:maxLength w:val="2"/>
            </w:textInput>
          </w:ffData>
        </w:fldChar>
      </w:r>
      <w:r>
        <w:instrText xml:space="preserve"> FORMTEXT </w:instrText>
      </w:r>
      <w:r>
        <w:fldChar w:fldCharType="separate"/>
      </w:r>
      <w:r>
        <w:t>××</w:t>
      </w:r>
      <w:r>
        <w:fldChar w:fldCharType="end"/>
      </w:r>
      <w:r>
        <w:t xml:space="preserve"> - </w:t>
      </w:r>
      <w:r>
        <w:fldChar w:fldCharType="begin">
          <w:ffData>
            <w:name w:val="FD"/>
            <w:enabled/>
            <w:calcOnExit w:val="0"/>
            <w:entryMacro w:val="ShowHelp8"/>
            <w:textInput>
              <w:default w:val="××"/>
              <w:maxLength w:val="2"/>
            </w:textInput>
          </w:ffData>
        </w:fldChar>
      </w:r>
      <w:bookmarkStart w:id="8" w:name="FD"/>
      <w:r>
        <w:instrText xml:space="preserve"> FORMTEXT </w:instrText>
      </w:r>
      <w:r>
        <w:fldChar w:fldCharType="separate"/>
      </w:r>
      <w:r>
        <w:t>××</w:t>
      </w:r>
      <w:r>
        <w:fldChar w:fldCharType="end"/>
      </w:r>
      <w:bookmarkEnd w:id="8"/>
      <w:r>
        <w:t>发布</w: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14:paraId="72CF7E22">
      <w:pPr>
        <w:pStyle w:val="136"/>
        <w:framePr w:wrap="around"/>
      </w:pPr>
      <w:r>
        <w:fldChar w:fldCharType="begin">
          <w:ffData>
            <w:name w:val="SY"/>
            <w:enabled/>
            <w:calcOnExit w:val="0"/>
            <w:entryMacro w:val="ShowHelp9"/>
            <w:textInput>
              <w:default w:val="××××"/>
              <w:maxLength w:val="4"/>
            </w:textInput>
          </w:ffData>
        </w:fldChar>
      </w:r>
      <w:bookmarkStart w:id="9" w:name="SY"/>
      <w:r>
        <w:instrText xml:space="preserve"> FORMTEXT </w:instrText>
      </w:r>
      <w:r>
        <w:fldChar w:fldCharType="separate"/>
      </w:r>
      <w:r>
        <w:t>××××</w:t>
      </w:r>
      <w:r>
        <w:fldChar w:fldCharType="end"/>
      </w:r>
      <w:bookmarkEnd w:id="9"/>
      <w:r>
        <w:t xml:space="preserve"> - </w:t>
      </w:r>
      <w:r>
        <w:fldChar w:fldCharType="begin">
          <w:ffData>
            <w:name w:val="SM"/>
            <w:enabled/>
            <w:calcOnExit w:val="0"/>
            <w:entryMacro w:val="ShowHelp9"/>
            <w:textInput>
              <w:default w:val="××"/>
              <w:maxLength w:val="2"/>
            </w:textInput>
          </w:ffData>
        </w:fldChar>
      </w:r>
      <w:bookmarkStart w:id="10" w:name="SM"/>
      <w:r>
        <w:instrText xml:space="preserve"> FORMTEXT </w:instrText>
      </w:r>
      <w:r>
        <w:fldChar w:fldCharType="separate"/>
      </w:r>
      <w:r>
        <w:t>××</w:t>
      </w:r>
      <w:r>
        <w:fldChar w:fldCharType="end"/>
      </w:r>
      <w:bookmarkEnd w:id="10"/>
      <w:r>
        <w:t xml:space="preserve"> - </w:t>
      </w:r>
      <w:r>
        <w:fldChar w:fldCharType="begin">
          <w:ffData>
            <w:name w:val="SD"/>
            <w:enabled/>
            <w:calcOnExit w:val="0"/>
            <w:entryMacro w:val="ShowHelp9"/>
            <w:textInput>
              <w:default w:val="××"/>
              <w:maxLength w:val="2"/>
            </w:textInput>
          </w:ffData>
        </w:fldChar>
      </w:r>
      <w:bookmarkStart w:id="11" w:name="SD"/>
      <w:r>
        <w:instrText xml:space="preserve"> FORMTEXT </w:instrText>
      </w:r>
      <w:r>
        <w:fldChar w:fldCharType="separate"/>
      </w:r>
      <w:r>
        <w:t>××</w:t>
      </w:r>
      <w:r>
        <w:fldChar w:fldCharType="end"/>
      </w:r>
      <w:bookmarkEnd w:id="11"/>
      <w:r>
        <w:t>实施</w:t>
      </w:r>
    </w:p>
    <w:p w14:paraId="55874410">
      <w:pPr>
        <w:pStyle w:val="116"/>
        <w:framePr w:wrap="around"/>
        <w:rPr>
          <w:rFonts w:ascii="Times New Roman"/>
        </w:rPr>
      </w:pPr>
      <w:r>
        <w:rPr>
          <w:rFonts w:ascii="Times New Roman"/>
        </w:rPr>
        <w:fldChar w:fldCharType="begin">
          <w:ffData>
            <w:name w:val="fm"/>
            <w:enabled/>
            <w:calcOnExit w:val="0"/>
            <w:textInput/>
          </w:ffData>
        </w:fldChar>
      </w:r>
      <w:bookmarkStart w:id="12" w:name="fm"/>
      <w:r>
        <w:rPr>
          <w:rFonts w:ascii="Times New Roman"/>
        </w:rPr>
        <w:instrText xml:space="preserve"> FORMTEXT </w:instrText>
      </w:r>
      <w:r>
        <w:rPr>
          <w:rFonts w:ascii="Times New Roman"/>
        </w:rPr>
        <w:fldChar w:fldCharType="separate"/>
      </w:r>
      <w:r>
        <w:rPr>
          <w:rFonts w:ascii="Times New Roman"/>
        </w:rPr>
        <w:t>北京市市场监督管理局</w:t>
      </w:r>
      <w:r>
        <w:rPr>
          <w:rFonts w:ascii="Times New Roman"/>
        </w:rPr>
        <w:fldChar w:fldCharType="end"/>
      </w:r>
      <w:bookmarkEnd w:id="12"/>
      <w:r>
        <w:rPr>
          <w:rFonts w:ascii="Times New Roman"/>
        </w:rPr>
        <w:t xml:space="preserve"> </w:t>
      </w:r>
      <w:r>
        <w:rPr>
          <w:rStyle w:val="78"/>
          <w:rFonts w:ascii="Times New Roman"/>
        </w:rPr>
        <w:t xml:space="preserve"> 发布</w:t>
      </w:r>
    </w:p>
    <w:p w14:paraId="3C4ECFC4">
      <w:pPr>
        <w:pStyle w:val="23"/>
        <w:rPr>
          <w:rFonts w:ascii="Times New Roman"/>
        </w:rPr>
        <w:sectPr>
          <w:footerReference r:id="rId4" w:type="default"/>
          <w:headerReference r:id="rId3" w:type="even"/>
          <w:footerReference r:id="rId5" w:type="even"/>
          <w:pgSz w:w="11906" w:h="16838"/>
          <w:pgMar w:top="567" w:right="1134" w:bottom="1134" w:left="1417" w:header="0" w:footer="0" w:gutter="0"/>
          <w:cols w:space="425" w:num="1"/>
          <w:docGrid w:type="lines" w:linePitch="312" w:charSpace="0"/>
        </w:sectPr>
      </w:pPr>
      <w:r>
        <w:rPr>
          <w:rFonts w:ascii="Times New Roman"/>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14:paraId="241AC263">
      <w:pPr>
        <w:pStyle w:val="55"/>
        <w:rPr>
          <w:rFonts w:ascii="Times New Roman"/>
        </w:rPr>
      </w:pPr>
      <w:bookmarkStart w:id="13" w:name="_Toc27192"/>
      <w:bookmarkStart w:id="14" w:name="_Toc29498"/>
      <w:bookmarkStart w:id="15" w:name="_Toc23561"/>
      <w:bookmarkStart w:id="16" w:name="_Toc31830"/>
      <w:bookmarkStart w:id="17" w:name="_Toc6890"/>
      <w:bookmarkStart w:id="18" w:name="_Toc2680"/>
      <w:r>
        <w:rPr>
          <w:rFonts w:ascii="Times New Roman"/>
        </w:rPr>
        <w:t>目</w:t>
      </w:r>
      <w:bookmarkStart w:id="19" w:name="BKML"/>
      <w:r>
        <w:rPr>
          <w:rFonts w:ascii="Times New Roman"/>
        </w:rPr>
        <w:t>  次</w:t>
      </w:r>
      <w:bookmarkEnd w:id="13"/>
      <w:bookmarkEnd w:id="14"/>
      <w:bookmarkEnd w:id="15"/>
      <w:bookmarkEnd w:id="16"/>
      <w:bookmarkEnd w:id="17"/>
      <w:bookmarkEnd w:id="18"/>
      <w:bookmarkEnd w:id="19"/>
    </w:p>
    <w:p w14:paraId="5D111DEA">
      <w:pPr>
        <w:pStyle w:val="19"/>
        <w:tabs>
          <w:tab w:val="right" w:leader="dot" w:pos="9355"/>
          <w:tab w:val="clear" w:pos="9241"/>
        </w:tabs>
        <w:spacing w:before="78" w:after="78"/>
      </w:pPr>
      <w:r>
        <w:rPr>
          <w:rFonts w:ascii="Times New Roman" w:eastAsiaTheme="minorEastAsia"/>
        </w:rPr>
        <w:fldChar w:fldCharType="begin"/>
      </w:r>
      <w:r>
        <w:rPr>
          <w:rFonts w:ascii="Times New Roman" w:eastAsiaTheme="minorEastAsia"/>
        </w:rPr>
        <w:instrText xml:space="preserve">TOC \o "1-3" \h \u </w:instrText>
      </w:r>
      <w:r>
        <w:rPr>
          <w:rFonts w:ascii="Times New Roman" w:eastAsiaTheme="minorEastAsia"/>
        </w:rPr>
        <w:fldChar w:fldCharType="separate"/>
      </w:r>
      <w:r>
        <w:fldChar w:fldCharType="begin"/>
      </w:r>
      <w:r>
        <w:instrText xml:space="preserve"> HYPERLINK \l "_Toc30534" </w:instrText>
      </w:r>
      <w:r>
        <w:fldChar w:fldCharType="separate"/>
      </w:r>
      <w:r>
        <w:rPr>
          <w:rFonts w:ascii="Times New Roman"/>
        </w:rPr>
        <w:t>前  言</w:t>
      </w:r>
      <w:r>
        <w:tab/>
      </w:r>
      <w:r>
        <w:fldChar w:fldCharType="begin"/>
      </w:r>
      <w:r>
        <w:instrText xml:space="preserve"> PAGEREF _Toc30534 \h </w:instrText>
      </w:r>
      <w:r>
        <w:fldChar w:fldCharType="separate"/>
      </w:r>
      <w:r>
        <w:t>1</w:t>
      </w:r>
      <w:r>
        <w:fldChar w:fldCharType="end"/>
      </w:r>
      <w:r>
        <w:fldChar w:fldCharType="end"/>
      </w:r>
    </w:p>
    <w:p w14:paraId="3E8C8531">
      <w:pPr>
        <w:pStyle w:val="19"/>
        <w:tabs>
          <w:tab w:val="right" w:leader="dot" w:pos="9355"/>
          <w:tab w:val="clear" w:pos="9241"/>
        </w:tabs>
        <w:spacing w:before="78" w:after="78"/>
        <w:rPr>
          <w:rFonts w:hAnsi="宋体" w:cs="宋体"/>
        </w:rPr>
      </w:pPr>
      <w:r>
        <w:fldChar w:fldCharType="begin"/>
      </w:r>
      <w:r>
        <w:instrText xml:space="preserve"> HYPERLINK \l "_Toc13134"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_Toc13134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5B4EBDE1">
      <w:pPr>
        <w:pStyle w:val="19"/>
        <w:tabs>
          <w:tab w:val="right" w:leader="dot" w:pos="9355"/>
          <w:tab w:val="clear" w:pos="9241"/>
        </w:tabs>
        <w:spacing w:before="78" w:after="78"/>
        <w:rPr>
          <w:rFonts w:hAnsi="宋体" w:cs="宋体"/>
        </w:rPr>
      </w:pPr>
      <w:r>
        <w:fldChar w:fldCharType="begin"/>
      </w:r>
      <w:r>
        <w:instrText xml:space="preserve"> HYPERLINK \l "_Toc10012"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_Toc10012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18999E51">
      <w:pPr>
        <w:pStyle w:val="19"/>
        <w:tabs>
          <w:tab w:val="right" w:leader="dot" w:pos="9355"/>
          <w:tab w:val="clear" w:pos="9241"/>
        </w:tabs>
        <w:spacing w:before="78" w:after="78"/>
        <w:rPr>
          <w:rFonts w:hAnsi="宋体" w:cs="宋体"/>
        </w:rPr>
      </w:pPr>
      <w:r>
        <w:fldChar w:fldCharType="begin"/>
      </w:r>
      <w:r>
        <w:instrText xml:space="preserve"> HYPERLINK \l "_Toc2227"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_Toc2227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5F5B5A1F">
      <w:pPr>
        <w:pStyle w:val="19"/>
        <w:tabs>
          <w:tab w:val="right" w:leader="dot" w:pos="9355"/>
          <w:tab w:val="clear" w:pos="9241"/>
        </w:tabs>
        <w:spacing w:before="78" w:after="78"/>
        <w:rPr>
          <w:rFonts w:hAnsi="宋体" w:cs="宋体"/>
        </w:rPr>
      </w:pPr>
      <w:r>
        <w:fldChar w:fldCharType="begin"/>
      </w:r>
      <w:r>
        <w:instrText xml:space="preserve"> HYPERLINK \l "_Toc29973" </w:instrText>
      </w:r>
      <w:r>
        <w:fldChar w:fldCharType="separate"/>
      </w:r>
      <w:r>
        <w:rPr>
          <w:rFonts w:hint="eastAsia" w:hAnsi="宋体" w:cs="宋体"/>
        </w:rPr>
        <w:t>4 基本规定</w:t>
      </w:r>
      <w:r>
        <w:rPr>
          <w:rFonts w:hint="eastAsia" w:hAnsi="宋体" w:cs="宋体"/>
        </w:rPr>
        <w:tab/>
      </w:r>
      <w:r>
        <w:rPr>
          <w:rFonts w:hint="eastAsia" w:hAnsi="宋体" w:cs="宋体"/>
        </w:rPr>
        <w:fldChar w:fldCharType="begin"/>
      </w:r>
      <w:r>
        <w:rPr>
          <w:rFonts w:hint="eastAsia" w:hAnsi="宋体" w:cs="宋体"/>
        </w:rPr>
        <w:instrText xml:space="preserve"> PAGEREF _Toc29973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7DFC908C">
      <w:pPr>
        <w:pStyle w:val="19"/>
        <w:tabs>
          <w:tab w:val="right" w:leader="dot" w:pos="9355"/>
          <w:tab w:val="clear" w:pos="9241"/>
        </w:tabs>
        <w:spacing w:before="78" w:after="78"/>
        <w:rPr>
          <w:rFonts w:hAnsi="宋体" w:cs="宋体"/>
        </w:rPr>
      </w:pPr>
      <w:r>
        <w:fldChar w:fldCharType="begin"/>
      </w:r>
      <w:r>
        <w:instrText xml:space="preserve"> HYPERLINK \l "_Toc3249" </w:instrText>
      </w:r>
      <w:r>
        <w:fldChar w:fldCharType="separate"/>
      </w:r>
      <w:r>
        <w:rPr>
          <w:rFonts w:hint="eastAsia" w:hAnsi="宋体" w:cs="宋体"/>
        </w:rPr>
        <w:t>5 结构</w:t>
      </w:r>
      <w:r>
        <w:rPr>
          <w:rFonts w:hint="eastAsia" w:hAnsi="宋体" w:cs="宋体"/>
        </w:rPr>
        <w:tab/>
      </w:r>
      <w:r>
        <w:rPr>
          <w:rFonts w:hint="eastAsia" w:hAnsi="宋体" w:cs="宋体"/>
        </w:rPr>
        <w:fldChar w:fldCharType="begin"/>
      </w:r>
      <w:r>
        <w:rPr>
          <w:rFonts w:hint="eastAsia" w:hAnsi="宋体" w:cs="宋体"/>
        </w:rPr>
        <w:instrText xml:space="preserve"> PAGEREF _Toc3249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0CCFA8BC">
      <w:pPr>
        <w:pStyle w:val="19"/>
        <w:tabs>
          <w:tab w:val="right" w:leader="dot" w:pos="9355"/>
          <w:tab w:val="clear" w:pos="9241"/>
        </w:tabs>
        <w:spacing w:before="78" w:after="78"/>
        <w:rPr>
          <w:rFonts w:hAnsi="宋体" w:cs="宋体"/>
        </w:rPr>
      </w:pPr>
      <w:r>
        <w:fldChar w:fldCharType="begin"/>
      </w:r>
      <w:r>
        <w:instrText xml:space="preserve"> HYPERLINK \l "_Toc26259" </w:instrText>
      </w:r>
      <w:r>
        <w:fldChar w:fldCharType="separate"/>
      </w:r>
      <w:r>
        <w:rPr>
          <w:rFonts w:hint="eastAsia" w:hAnsi="宋体" w:cs="宋体"/>
        </w:rPr>
        <w:t>6 设计安全</w:t>
      </w:r>
      <w:r>
        <w:rPr>
          <w:rFonts w:hint="eastAsia" w:hAnsi="宋体" w:cs="宋体"/>
        </w:rPr>
        <w:tab/>
      </w:r>
      <w:r>
        <w:rPr>
          <w:rFonts w:hint="eastAsia" w:hAnsi="宋体" w:cs="宋体"/>
        </w:rPr>
        <w:fldChar w:fldCharType="begin"/>
      </w:r>
      <w:r>
        <w:rPr>
          <w:rFonts w:hint="eastAsia" w:hAnsi="宋体" w:cs="宋体"/>
        </w:rPr>
        <w:instrText xml:space="preserve"> PAGEREF _Toc26259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24E42AB8">
      <w:pPr>
        <w:pStyle w:val="19"/>
        <w:tabs>
          <w:tab w:val="right" w:leader="dot" w:pos="9355"/>
          <w:tab w:val="clear" w:pos="9241"/>
        </w:tabs>
        <w:spacing w:before="78" w:after="78"/>
        <w:rPr>
          <w:rFonts w:hAnsi="宋体" w:cs="宋体"/>
        </w:rPr>
      </w:pPr>
      <w:r>
        <w:fldChar w:fldCharType="begin"/>
      </w:r>
      <w:r>
        <w:instrText xml:space="preserve"> HYPERLINK \l "_Toc19170" </w:instrText>
      </w:r>
      <w:r>
        <w:fldChar w:fldCharType="separate"/>
      </w:r>
      <w:r>
        <w:rPr>
          <w:rFonts w:hint="eastAsia" w:hAnsi="宋体" w:cs="宋体"/>
        </w:rPr>
        <w:t>7 运行维护</w:t>
      </w:r>
      <w:r>
        <w:rPr>
          <w:rFonts w:hint="eastAsia" w:hAnsi="宋体" w:cs="宋体"/>
        </w:rPr>
        <w:tab/>
      </w:r>
      <w:r>
        <w:rPr>
          <w:rFonts w:hint="eastAsia" w:hAnsi="宋体" w:cs="宋体"/>
        </w:rPr>
        <w:fldChar w:fldCharType="begin"/>
      </w:r>
      <w:r>
        <w:rPr>
          <w:rFonts w:hint="eastAsia" w:hAnsi="宋体" w:cs="宋体"/>
        </w:rPr>
        <w:instrText xml:space="preserve"> PAGEREF _Toc19170 \h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14:paraId="067C003A">
      <w:pPr>
        <w:pStyle w:val="28"/>
        <w:tabs>
          <w:tab w:val="right" w:leader="dot" w:pos="9355"/>
          <w:tab w:val="clear" w:pos="9241"/>
        </w:tabs>
      </w:pPr>
    </w:p>
    <w:p w14:paraId="32564991">
      <w:pPr>
        <w:pStyle w:val="19"/>
        <w:tabs>
          <w:tab w:val="right" w:leader="dot" w:pos="9355"/>
          <w:tab w:val="clear" w:pos="9241"/>
        </w:tabs>
        <w:spacing w:beforeLines="0" w:afterLines="0"/>
        <w:jc w:val="center"/>
        <w:rPr>
          <w:rFonts w:ascii="Times New Roman" w:eastAsiaTheme="minorEastAsia"/>
        </w:rPr>
      </w:pPr>
      <w:r>
        <w:rPr>
          <w:rFonts w:ascii="Times New Roman" w:eastAsiaTheme="minorEastAsia"/>
        </w:rPr>
        <w:fldChar w:fldCharType="end"/>
      </w:r>
    </w:p>
    <w:p w14:paraId="2B6BE09A">
      <w:pPr>
        <w:pStyle w:val="23"/>
        <w:rPr>
          <w:rFonts w:ascii="Times New Roman"/>
        </w:rPr>
      </w:pPr>
    </w:p>
    <w:p w14:paraId="19B33888">
      <w:pPr>
        <w:pStyle w:val="117"/>
        <w:tabs>
          <w:tab w:val="left" w:pos="1105"/>
          <w:tab w:val="center" w:pos="4677"/>
        </w:tabs>
        <w:jc w:val="left"/>
        <w:rPr>
          <w:rFonts w:ascii="Times New Roman"/>
        </w:rPr>
        <w:sectPr>
          <w:headerReference r:id="rId6" w:type="default"/>
          <w:footerReference r:id="rId8" w:type="default"/>
          <w:headerReference r:id="rId7" w:type="even"/>
          <w:footerReference r:id="rId9" w:type="even"/>
          <w:pgSz w:w="11906" w:h="16838"/>
          <w:pgMar w:top="567" w:right="1134" w:bottom="1134" w:left="1417" w:header="1418" w:footer="1134" w:gutter="0"/>
          <w:pgNumType w:start="1"/>
          <w:cols w:space="425" w:num="1"/>
          <w:formProt w:val="0"/>
          <w:docGrid w:type="lines" w:linePitch="312" w:charSpace="0"/>
        </w:sectPr>
      </w:pPr>
      <w:bookmarkStart w:id="20" w:name="_Toc17878125"/>
    </w:p>
    <w:p w14:paraId="2019AC84">
      <w:pPr>
        <w:pStyle w:val="117"/>
        <w:tabs>
          <w:tab w:val="left" w:pos="1105"/>
          <w:tab w:val="center" w:pos="4677"/>
        </w:tabs>
        <w:jc w:val="left"/>
        <w:rPr>
          <w:rFonts w:ascii="Times New Roman"/>
        </w:rPr>
      </w:pPr>
      <w:r>
        <w:rPr>
          <w:rFonts w:ascii="Times New Roman"/>
        </w:rPr>
        <w:tab/>
      </w:r>
      <w:r>
        <w:rPr>
          <w:rFonts w:ascii="Times New Roman"/>
        </w:rPr>
        <w:tab/>
      </w:r>
      <w:bookmarkStart w:id="21" w:name="_Toc30534"/>
      <w:bookmarkStart w:id="22" w:name="_Toc4494"/>
      <w:r>
        <w:rPr>
          <w:rFonts w:ascii="Times New Roman"/>
        </w:rPr>
        <w:t>前</w:t>
      </w:r>
      <w:bookmarkStart w:id="23" w:name="BKQY"/>
      <w:r>
        <w:rPr>
          <w:rFonts w:ascii="Times New Roman"/>
        </w:rPr>
        <w:t>  言</w:t>
      </w:r>
      <w:bookmarkEnd w:id="20"/>
      <w:bookmarkEnd w:id="21"/>
      <w:bookmarkEnd w:id="22"/>
      <w:bookmarkEnd w:id="23"/>
    </w:p>
    <w:p w14:paraId="1C352EDB">
      <w:pPr>
        <w:pStyle w:val="23"/>
        <w:rPr>
          <w:rFonts w:hAnsi="宋体" w:cs="宋体"/>
        </w:rPr>
      </w:pPr>
      <w:r>
        <w:rPr>
          <w:rFonts w:hint="eastAsia" w:hAnsi="宋体" w:cs="宋体"/>
        </w:rPr>
        <w:t>本文件按照GB/T 1.1—2020《标准化工作导则 第1部分：标准化文件的结构和起草规则》的规定起草。</w:t>
      </w:r>
    </w:p>
    <w:p w14:paraId="7C8AF6C1">
      <w:pPr>
        <w:pStyle w:val="23"/>
        <w:rPr>
          <w:rFonts w:hAnsi="宋体" w:cs="宋体"/>
        </w:rPr>
      </w:pPr>
      <w:r>
        <w:rPr>
          <w:rFonts w:hint="eastAsia" w:hAnsi="宋体" w:cs="宋体"/>
        </w:rPr>
        <w:t>本文件代替DB11/T 147—2015《检查井盖结构、安全技术规范》。与DB11/T 147—2015相比，除编辑性修改外，主要技术变化如下：</w:t>
      </w:r>
    </w:p>
    <w:p w14:paraId="6099AF2F">
      <w:pPr>
        <w:pStyle w:val="23"/>
        <w:ind w:left="840" w:leftChars="200" w:hanging="420" w:hangingChars="200"/>
        <w:rPr>
          <w:rFonts w:hAnsi="宋体" w:cs="宋体"/>
        </w:rPr>
      </w:pPr>
      <w:r>
        <w:rPr>
          <w:rFonts w:hint="eastAsia" w:hAnsi="宋体" w:cs="宋体"/>
        </w:rPr>
        <w:t>——更改了规范性引用文件（见第2章，2015年版第2章）；</w:t>
      </w:r>
    </w:p>
    <w:p w14:paraId="0FE29E58">
      <w:pPr>
        <w:pStyle w:val="23"/>
        <w:ind w:left="840" w:leftChars="200" w:hanging="420" w:hangingChars="200"/>
        <w:rPr>
          <w:rFonts w:hAnsi="宋体" w:cs="宋体"/>
        </w:rPr>
      </w:pPr>
      <w:r>
        <w:rPr>
          <w:rFonts w:hint="eastAsia" w:hAnsi="宋体" w:cs="宋体"/>
        </w:rPr>
        <w:t>——增加了基本规定一章，涵盖了原分类一章的内容（见第4章）；将原标准的允许残留变形、复合材料要求、表面标志等要求集中于此（见4.4、4.6和4.7）。</w:t>
      </w:r>
    </w:p>
    <w:p w14:paraId="5B984620">
      <w:pPr>
        <w:pStyle w:val="23"/>
        <w:ind w:left="840" w:leftChars="200" w:hanging="420" w:hangingChars="200"/>
        <w:rPr>
          <w:rFonts w:hAnsi="宋体" w:cs="宋体"/>
        </w:rPr>
      </w:pPr>
      <w:r>
        <w:rPr>
          <w:rFonts w:hint="eastAsia" w:hAnsi="宋体" w:cs="宋体"/>
        </w:rPr>
        <w:t>——更改了安全一章，明确了防盗、防坠落、防滑、防位移、防震响、防反涌和防沉降的要求（见第6章）；细化了防坠落的要求（见6.2）；简化了防滑纹及标志的要求（见6.3,2015年版的6.6）；</w:t>
      </w:r>
    </w:p>
    <w:p w14:paraId="65975E48">
      <w:pPr>
        <w:pStyle w:val="23"/>
        <w:ind w:left="840" w:leftChars="200" w:hanging="420" w:hangingChars="200"/>
        <w:rPr>
          <w:rFonts w:hAnsi="宋体" w:cs="宋体"/>
        </w:rPr>
      </w:pPr>
      <w:r>
        <w:rPr>
          <w:rFonts w:hint="eastAsia" w:hAnsi="宋体" w:cs="宋体"/>
        </w:rPr>
        <w:t>——增加了运行维护一章，规定了日常巡查的要求（见第7章）；</w:t>
      </w:r>
    </w:p>
    <w:p w14:paraId="5697DF11">
      <w:pPr>
        <w:pStyle w:val="23"/>
        <w:ind w:left="840" w:leftChars="200" w:hanging="420" w:hangingChars="200"/>
        <w:rPr>
          <w:rFonts w:hAnsi="宋体" w:cs="宋体"/>
        </w:rPr>
      </w:pPr>
      <w:r>
        <w:rPr>
          <w:rFonts w:hint="eastAsia" w:hAnsi="宋体" w:cs="宋体"/>
        </w:rPr>
        <w:t>——删减了关于采购检查井盖的检验规定。（见2015年版的6.11和第7章）</w:t>
      </w:r>
    </w:p>
    <w:p w14:paraId="1E014352">
      <w:pPr>
        <w:pStyle w:val="23"/>
        <w:ind w:left="840" w:leftChars="200" w:hanging="420" w:hangingChars="200"/>
        <w:rPr>
          <w:rFonts w:hAnsi="宋体" w:cs="宋体"/>
        </w:rPr>
      </w:pPr>
      <w:r>
        <w:rPr>
          <w:rFonts w:hint="eastAsia" w:hAnsi="宋体" w:cs="宋体"/>
        </w:rPr>
        <w:t>请注意本文件的某些内容可能涉及专利。本文件的发布机构不承担识别专利的责任。</w:t>
      </w:r>
    </w:p>
    <w:p w14:paraId="73CCEF80">
      <w:pPr>
        <w:pStyle w:val="23"/>
        <w:rPr>
          <w:rFonts w:hAnsi="宋体" w:cs="宋体"/>
        </w:rPr>
      </w:pPr>
      <w:r>
        <w:rPr>
          <w:rFonts w:hint="eastAsia" w:hAnsi="宋体" w:cs="宋体"/>
        </w:rPr>
        <w:t>本文件由北京市城市管理委员会提出并归口。</w:t>
      </w:r>
    </w:p>
    <w:p w14:paraId="6EE53A2D">
      <w:pPr>
        <w:pStyle w:val="23"/>
        <w:rPr>
          <w:rFonts w:hAnsi="宋体" w:cs="宋体"/>
        </w:rPr>
      </w:pPr>
      <w:r>
        <w:rPr>
          <w:rFonts w:hint="eastAsia" w:hAnsi="宋体" w:cs="宋体"/>
        </w:rPr>
        <w:t>本文件由北京市城市管理委员会组织实施。</w:t>
      </w:r>
    </w:p>
    <w:p w14:paraId="1D9325F9">
      <w:pPr>
        <w:pStyle w:val="23"/>
        <w:rPr>
          <w:rFonts w:hAnsi="宋体" w:cs="宋体"/>
        </w:rPr>
      </w:pPr>
      <w:r>
        <w:rPr>
          <w:rFonts w:hint="eastAsia" w:hAnsi="宋体" w:cs="宋体"/>
        </w:rPr>
        <w:t>本文件主要起草单位：</w:t>
      </w:r>
    </w:p>
    <w:p w14:paraId="011028CF">
      <w:pPr>
        <w:pStyle w:val="23"/>
        <w:rPr>
          <w:rFonts w:hAnsi="宋体" w:cs="宋体"/>
        </w:rPr>
      </w:pPr>
      <w:r>
        <w:rPr>
          <w:rFonts w:hint="eastAsia" w:hAnsi="宋体" w:cs="宋体"/>
        </w:rPr>
        <w:t>本文件主要起草人：</w:t>
      </w:r>
    </w:p>
    <w:p w14:paraId="6E9ABCFD">
      <w:pPr>
        <w:pStyle w:val="23"/>
        <w:rPr>
          <w:rFonts w:hAnsi="宋体" w:cs="宋体"/>
        </w:rPr>
      </w:pPr>
      <w:r>
        <w:rPr>
          <w:rFonts w:hint="eastAsia" w:hAnsi="宋体" w:cs="宋体"/>
        </w:rPr>
        <w:t>本文件及</w:t>
      </w:r>
      <w:r>
        <w:rPr>
          <w:rFonts w:hAnsi="宋体" w:cs="宋体"/>
        </w:rPr>
        <w:t>其所代替文件的历次版本发布情况为：</w:t>
      </w:r>
    </w:p>
    <w:p w14:paraId="112E6F42">
      <w:pPr>
        <w:pStyle w:val="23"/>
        <w:rPr>
          <w:rFonts w:hint="eastAsia" w:asciiTheme="minorEastAsia" w:hAnsiTheme="minorEastAsia" w:eastAsiaTheme="minorEastAsia" w:cstheme="minorEastAsia"/>
        </w:rPr>
      </w:pPr>
      <w:bookmarkStart w:id="24" w:name="OLE_LINK3"/>
      <w:bookmarkStart w:id="25" w:name="OLE_LINK2"/>
      <w:r>
        <w:rPr>
          <w:rFonts w:hint="eastAsia" w:asciiTheme="minorEastAsia" w:hAnsiTheme="minorEastAsia" w:eastAsiaTheme="minorEastAsia" w:cstheme="minorEastAsia"/>
        </w:rPr>
        <w:t>——</w:t>
      </w:r>
      <w:bookmarkEnd w:id="24"/>
      <w:bookmarkEnd w:id="25"/>
      <w:r>
        <w:rPr>
          <w:rFonts w:hint="eastAsia" w:asciiTheme="minorEastAsia" w:hAnsiTheme="minorEastAsia" w:eastAsiaTheme="minorEastAsia" w:cstheme="minorEastAsia"/>
        </w:rPr>
        <w:t>2002年首次发布为DB11/147</w:t>
      </w:r>
      <w:r>
        <w:rPr>
          <w:rFonts w:hint="eastAsia" w:hAnsi="宋体" w:cs="宋体"/>
        </w:rPr>
        <w:t>—</w:t>
      </w:r>
      <w:r>
        <w:rPr>
          <w:rFonts w:hint="eastAsia" w:asciiTheme="minorEastAsia" w:hAnsiTheme="minorEastAsia" w:eastAsiaTheme="minorEastAsia" w:cstheme="minorEastAsia"/>
        </w:rPr>
        <w:t>2002；</w:t>
      </w:r>
    </w:p>
    <w:p w14:paraId="296B2B19">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——2015年第一次修订时，并入了DB11/T 452</w:t>
      </w:r>
      <w:r>
        <w:rPr>
          <w:rFonts w:hint="eastAsia" w:hAnsi="宋体" w:cs="宋体"/>
        </w:rPr>
        <w:t>—</w:t>
      </w:r>
      <w:r>
        <w:rPr>
          <w:rFonts w:hint="eastAsia" w:asciiTheme="minorEastAsia" w:hAnsiTheme="minorEastAsia" w:eastAsiaTheme="minorEastAsia" w:cstheme="minorEastAsia"/>
        </w:rPr>
        <w:t>2007《非金属材料检查井盖技术要求》的内容；</w:t>
      </w:r>
    </w:p>
    <w:p w14:paraId="30BCA1BB">
      <w:pPr>
        <w:pStyle w:val="23"/>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——本次为第二次修订。</w:t>
      </w:r>
    </w:p>
    <w:p w14:paraId="604D79C4">
      <w:pPr>
        <w:pStyle w:val="23"/>
        <w:rPr>
          <w:rFonts w:ascii="Times New Roman"/>
          <w:color w:val="FF0000"/>
        </w:rPr>
      </w:pPr>
    </w:p>
    <w:p w14:paraId="439F9B03">
      <w:pPr>
        <w:pStyle w:val="23"/>
        <w:rPr>
          <w:rFonts w:ascii="Times New Roman"/>
          <w:color w:val="FF0000"/>
        </w:rPr>
      </w:pPr>
    </w:p>
    <w:p w14:paraId="11BBEBB8">
      <w:pPr>
        <w:pStyle w:val="23"/>
        <w:rPr>
          <w:rFonts w:ascii="Times New Roman"/>
          <w:color w:val="FF0000"/>
        </w:rPr>
      </w:pPr>
    </w:p>
    <w:p w14:paraId="4B0D46B1">
      <w:pPr>
        <w:pStyle w:val="23"/>
        <w:rPr>
          <w:rFonts w:ascii="Times New Roman"/>
          <w:color w:val="FF0000"/>
        </w:rPr>
        <w:sectPr>
          <w:footerReference r:id="rId10" w:type="default"/>
          <w:footerReference r:id="rId11" w:type="even"/>
          <w:pgSz w:w="11906" w:h="16838"/>
          <w:pgMar w:top="567" w:right="1134" w:bottom="1134" w:left="1417" w:header="1418" w:footer="1134" w:gutter="0"/>
          <w:pgNumType w:start="1"/>
          <w:cols w:space="425" w:num="1"/>
          <w:formProt w:val="0"/>
          <w:docGrid w:type="lines" w:linePitch="312" w:charSpace="0"/>
        </w:sectPr>
      </w:pPr>
    </w:p>
    <w:p w14:paraId="6204095C">
      <w:pPr>
        <w:spacing w:before="640" w:after="560" w:line="460" w:lineRule="exact"/>
        <w:jc w:val="center"/>
        <w:rPr>
          <w:rFonts w:ascii="黑体" w:hAnsi="黑体" w:eastAsia="黑体" w:cs="黑体"/>
          <w:sz w:val="32"/>
          <w:szCs w:val="40"/>
        </w:rPr>
      </w:pPr>
      <w:bookmarkStart w:id="26" w:name="_Toc3230"/>
      <w:sdt>
        <w:sdtPr>
          <w:rPr>
            <w:rFonts w:hint="eastAsia" w:ascii="黑体" w:hAnsi="黑体" w:eastAsia="黑体" w:cs="黑体"/>
            <w:sz w:val="32"/>
            <w:szCs w:val="40"/>
          </w:rPr>
          <w:alias w:val="标准名称"/>
          <w:tag w:val="标准名称"/>
          <w:id w:val="1795105741"/>
          <w:lock w:val="sdtLocked"/>
          <w:placeholder>
            <w:docPart w:val="111"/>
          </w:placeholder>
          <w:text w:multiLine="1"/>
        </w:sdtPr>
        <w:sdtEndPr>
          <w:rPr>
            <w:rFonts w:hint="eastAsia" w:ascii="黑体" w:hAnsi="黑体" w:eastAsia="黑体" w:cs="黑体"/>
            <w:sz w:val="32"/>
            <w:szCs w:val="40"/>
          </w:rPr>
        </w:sdtEndPr>
        <w:sdtContent>
          <w:r>
            <w:rPr>
              <w:rFonts w:hint="eastAsia" w:ascii="黑体" w:hAnsi="黑体" w:eastAsia="黑体" w:cs="黑体"/>
              <w:sz w:val="32"/>
              <w:szCs w:val="40"/>
            </w:rPr>
            <w:t>检查井盖结构、安全技术规范</w:t>
          </w:r>
        </w:sdtContent>
      </w:sdt>
      <w:bookmarkEnd w:id="26"/>
      <w:bookmarkStart w:id="27" w:name="StandardName"/>
      <w:bookmarkEnd w:id="27"/>
    </w:p>
    <w:p w14:paraId="3E616FC3">
      <w:pPr>
        <w:pStyle w:val="49"/>
        <w:spacing w:before="312" w:after="312"/>
        <w:outlineLvl w:val="0"/>
        <w:rPr>
          <w:rFonts w:ascii="Times New Roman"/>
        </w:rPr>
      </w:pPr>
      <w:bookmarkStart w:id="28" w:name="_Toc17878127"/>
      <w:bookmarkStart w:id="29" w:name="_Toc13134"/>
      <w:r>
        <w:rPr>
          <w:rFonts w:ascii="Times New Roman"/>
        </w:rPr>
        <w:t>范围</w:t>
      </w:r>
      <w:bookmarkEnd w:id="28"/>
      <w:bookmarkEnd w:id="29"/>
    </w:p>
    <w:p w14:paraId="6DE85DB3">
      <w:pPr>
        <w:pStyle w:val="23"/>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w:t>
      </w:r>
      <w:r>
        <w:rPr>
          <w:rFonts w:hint="eastAsia" w:hAnsi="宋体" w:cs="宋体"/>
        </w:rPr>
        <w:t>文件</w:t>
      </w:r>
      <w:r>
        <w:rPr>
          <w:rFonts w:hint="eastAsia" w:hAnsi="宋体" w:cs="宋体"/>
          <w:color w:val="000000" w:themeColor="text1"/>
          <w14:textFill>
            <w14:solidFill>
              <w14:schemeClr w14:val="tx1"/>
            </w14:solidFill>
          </w14:textFill>
        </w:rPr>
        <w:t>规定了检查井盖的结构形式、安全和运行维护的技术要求。</w:t>
      </w:r>
    </w:p>
    <w:p w14:paraId="4ADBE2D7">
      <w:pPr>
        <w:pStyle w:val="23"/>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本文件适用于地面井座净开孔不大于900mm的检查井盖的设计、选用和运行维护。</w:t>
      </w:r>
    </w:p>
    <w:p w14:paraId="7D7CAA24">
      <w:pPr>
        <w:pStyle w:val="49"/>
        <w:spacing w:before="312" w:after="312"/>
        <w:outlineLvl w:val="0"/>
        <w:rPr>
          <w:rFonts w:ascii="Times New Roman"/>
        </w:rPr>
      </w:pPr>
      <w:bookmarkStart w:id="30" w:name="_Toc17878128"/>
      <w:bookmarkStart w:id="31" w:name="_Toc10012"/>
      <w:r>
        <w:rPr>
          <w:rFonts w:ascii="Times New Roman"/>
        </w:rPr>
        <w:t>规范性引用文件</w:t>
      </w:r>
      <w:bookmarkEnd w:id="30"/>
      <w:bookmarkEnd w:id="31"/>
    </w:p>
    <w:p w14:paraId="4B377A8D">
      <w:pPr>
        <w:pStyle w:val="23"/>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C0974A1">
      <w:pPr>
        <w:pStyle w:val="23"/>
        <w:rPr>
          <w:rFonts w:hAnsi="宋体" w:cs="宋体"/>
        </w:rPr>
      </w:pPr>
      <w:bookmarkStart w:id="32" w:name="OLE_LINK8"/>
      <w:bookmarkStart w:id="33" w:name="OLE_LINK9"/>
      <w:r>
        <w:rPr>
          <w:rFonts w:hint="eastAsia" w:hAnsi="宋体" w:cs="宋体"/>
        </w:rPr>
        <w:t>GB/T 6414  铸件 尺寸公差与机械加工余量</w:t>
      </w:r>
    </w:p>
    <w:p w14:paraId="36E50C87">
      <w:pPr>
        <w:pStyle w:val="23"/>
        <w:rPr>
          <w:rFonts w:hAnsi="宋体" w:cs="宋体"/>
        </w:rPr>
      </w:pPr>
      <w:r>
        <w:rPr>
          <w:rFonts w:hint="eastAsia" w:hAnsi="宋体" w:cs="宋体"/>
        </w:rPr>
        <w:t>GB/T 23858  检查井盖</w:t>
      </w:r>
    </w:p>
    <w:p w14:paraId="61263FFF">
      <w:pPr>
        <w:pStyle w:val="23"/>
        <w:rPr>
          <w:rFonts w:hAnsi="宋体" w:cs="宋体"/>
        </w:rPr>
      </w:pPr>
      <w:r>
        <w:rPr>
          <w:rFonts w:hint="eastAsia" w:hAnsi="宋体" w:cs="宋体"/>
        </w:rPr>
        <w:t>GB 26537  钢纤维混凝土检查井盖</w:t>
      </w:r>
    </w:p>
    <w:p w14:paraId="2B4C9E84">
      <w:pPr>
        <w:pStyle w:val="23"/>
        <w:rPr>
          <w:rFonts w:hAnsi="宋体" w:cs="宋体"/>
        </w:rPr>
      </w:pPr>
      <w:r>
        <w:rPr>
          <w:rFonts w:hint="eastAsia" w:hAnsi="宋体" w:cs="宋体"/>
        </w:rPr>
        <w:t>GB/T 41401  智能井盖</w:t>
      </w:r>
    </w:p>
    <w:p w14:paraId="11D76E66">
      <w:pPr>
        <w:pStyle w:val="23"/>
        <w:rPr>
          <w:rFonts w:hAnsi="宋体" w:cs="宋体"/>
        </w:rPr>
      </w:pPr>
      <w:r>
        <w:rPr>
          <w:rFonts w:hint="eastAsia" w:hAnsi="宋体" w:cs="宋体"/>
        </w:rPr>
        <w:t>CJ/T 121  再生树脂复合材料检查井盖</w:t>
      </w:r>
    </w:p>
    <w:p w14:paraId="4C5B6311">
      <w:pPr>
        <w:pStyle w:val="23"/>
        <w:rPr>
          <w:rFonts w:hAnsi="宋体" w:cs="宋体"/>
        </w:rPr>
      </w:pPr>
      <w:r>
        <w:rPr>
          <w:rFonts w:hint="eastAsia" w:hAnsi="宋体" w:cs="宋体"/>
        </w:rPr>
        <w:t>CJ/T 211  聚合物基复合材料检查井盖</w:t>
      </w:r>
    </w:p>
    <w:p w14:paraId="0345C6C9">
      <w:pPr>
        <w:pStyle w:val="23"/>
        <w:rPr>
          <w:rFonts w:hAnsi="宋体" w:cs="宋体"/>
        </w:rPr>
      </w:pPr>
      <w:r>
        <w:rPr>
          <w:rFonts w:hint="eastAsia" w:hAnsi="宋体" w:cs="宋体"/>
        </w:rPr>
        <w:t>JC/T 1009  玻璃纤维增强塑料复合检查井盖</w:t>
      </w:r>
    </w:p>
    <w:bookmarkEnd w:id="32"/>
    <w:bookmarkEnd w:id="33"/>
    <w:p w14:paraId="07C5A165">
      <w:pPr>
        <w:pStyle w:val="23"/>
        <w:rPr>
          <w:rFonts w:ascii="Times New Roman"/>
        </w:rPr>
      </w:pPr>
    </w:p>
    <w:p w14:paraId="7C1E0F86">
      <w:pPr>
        <w:pStyle w:val="49"/>
        <w:spacing w:before="312" w:after="312"/>
        <w:outlineLvl w:val="0"/>
        <w:rPr>
          <w:rFonts w:ascii="Times New Roman"/>
        </w:rPr>
      </w:pPr>
      <w:bookmarkStart w:id="34" w:name="_Toc17878129"/>
      <w:bookmarkEnd w:id="34"/>
      <w:bookmarkStart w:id="35" w:name="_Toc2227"/>
      <w:r>
        <w:rPr>
          <w:rFonts w:ascii="Times New Roman"/>
        </w:rPr>
        <w:t>术语和定义</w:t>
      </w:r>
      <w:bookmarkEnd w:id="35"/>
    </w:p>
    <w:p w14:paraId="3A7F59D2">
      <w:pPr>
        <w:pStyle w:val="23"/>
        <w:rPr>
          <w:rFonts w:ascii="Times New Roman"/>
        </w:rPr>
      </w:pPr>
      <w:r>
        <w:rPr>
          <w:rFonts w:ascii="Times New Roman"/>
        </w:rPr>
        <w:t>下列术语和定义适用于本文件。</w:t>
      </w:r>
    </w:p>
    <w:p w14:paraId="3F767415">
      <w:pPr>
        <w:pStyle w:val="130"/>
        <w:numPr>
          <w:ilvl w:val="1"/>
          <w:numId w:val="20"/>
        </w:numPr>
        <w:rPr>
          <w:rFonts w:ascii="Times New Roman"/>
          <w:color w:val="000000" w:themeColor="text1"/>
          <w14:textFill>
            <w14:solidFill>
              <w14:schemeClr w14:val="tx1"/>
            </w14:solidFill>
          </w14:textFill>
        </w:rPr>
      </w:pPr>
      <w:bookmarkStart w:id="36" w:name="_Toc8115"/>
      <w:bookmarkEnd w:id="36"/>
      <w:bookmarkStart w:id="37" w:name="_Toc10836"/>
      <w:bookmarkEnd w:id="37"/>
      <w:bookmarkStart w:id="38" w:name="_Toc20189"/>
      <w:bookmarkEnd w:id="38"/>
      <w:bookmarkStart w:id="39" w:name="_Toc17543"/>
      <w:bookmarkEnd w:id="39"/>
      <w:bookmarkStart w:id="40" w:name="_Toc6555"/>
      <w:bookmarkEnd w:id="40"/>
      <w:bookmarkStart w:id="41" w:name="_Toc26561"/>
      <w:bookmarkEnd w:id="41"/>
      <w:bookmarkStart w:id="42" w:name="_Toc21761"/>
      <w:bookmarkEnd w:id="42"/>
      <w:bookmarkStart w:id="43" w:name="_Toc8674"/>
      <w:bookmarkEnd w:id="43"/>
      <w:bookmarkStart w:id="44" w:name="_Toc10617"/>
      <w:bookmarkEnd w:id="44"/>
      <w:bookmarkStart w:id="45" w:name="_Toc24980"/>
      <w:bookmarkEnd w:id="45"/>
      <w:bookmarkStart w:id="46" w:name="_Toc24960"/>
      <w:bookmarkEnd w:id="46"/>
      <w:bookmarkStart w:id="47" w:name="_Toc3005"/>
      <w:bookmarkEnd w:id="47"/>
    </w:p>
    <w:p w14:paraId="70927D19">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检查井盖  manhole cover</w:t>
      </w:r>
    </w:p>
    <w:p w14:paraId="418AB92B">
      <w:pPr>
        <w:pStyle w:val="23"/>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检查井口可开启的封闭物，由井盖、井座组成。</w:t>
      </w:r>
    </w:p>
    <w:p w14:paraId="64EF0C9A">
      <w:pPr>
        <w:pStyle w:val="23"/>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[来源：GB/T 23858</w:t>
      </w:r>
      <w:r>
        <w:rPr>
          <w:rFonts w:hint="eastAsia" w:hAnsi="宋体" w:cs="宋体"/>
        </w:rPr>
        <w:t>—</w:t>
      </w:r>
      <w:r>
        <w:rPr>
          <w:rFonts w:hint="eastAsia" w:hAnsi="宋体" w:cs="宋体"/>
          <w:color w:val="000000" w:themeColor="text1"/>
          <w14:textFill>
            <w14:solidFill>
              <w14:schemeClr w14:val="tx1"/>
            </w14:solidFill>
          </w14:textFill>
        </w:rPr>
        <w:t>2009, 3.2]</w:t>
      </w:r>
    </w:p>
    <w:p w14:paraId="3FA7018D">
      <w:pPr>
        <w:pStyle w:val="130"/>
        <w:numPr>
          <w:ilvl w:val="1"/>
          <w:numId w:val="20"/>
        </w:numPr>
        <w:rPr>
          <w:rFonts w:ascii="Times New Roman"/>
          <w:color w:val="000000" w:themeColor="text1"/>
          <w14:textFill>
            <w14:solidFill>
              <w14:schemeClr w14:val="tx1"/>
            </w14:solidFill>
          </w14:textFill>
        </w:rPr>
      </w:pPr>
      <w:bookmarkStart w:id="48" w:name="_Toc15457"/>
      <w:bookmarkEnd w:id="48"/>
      <w:bookmarkStart w:id="49" w:name="_Toc5564"/>
      <w:bookmarkEnd w:id="49"/>
      <w:bookmarkStart w:id="50" w:name="_Toc5493"/>
      <w:bookmarkEnd w:id="50"/>
      <w:bookmarkStart w:id="51" w:name="_Toc3557"/>
      <w:bookmarkEnd w:id="51"/>
      <w:bookmarkStart w:id="52" w:name="_Toc9424"/>
      <w:bookmarkEnd w:id="52"/>
      <w:bookmarkStart w:id="53" w:name="_Toc6550"/>
      <w:bookmarkEnd w:id="53"/>
      <w:bookmarkStart w:id="54" w:name="_Toc20188"/>
      <w:bookmarkEnd w:id="54"/>
    </w:p>
    <w:p w14:paraId="35E6C11C">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井盖  cover</w:t>
      </w:r>
    </w:p>
    <w:p w14:paraId="6F878097">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检查井盖中可开启的部分，用于封闭检查井口。</w:t>
      </w:r>
    </w:p>
    <w:p w14:paraId="6DBB0919">
      <w:pPr>
        <w:pStyle w:val="130"/>
        <w:numPr>
          <w:ilvl w:val="1"/>
          <w:numId w:val="20"/>
        </w:numPr>
        <w:rPr>
          <w:rFonts w:ascii="Times New Roman"/>
          <w:color w:val="000000" w:themeColor="text1"/>
          <w14:textFill>
            <w14:solidFill>
              <w14:schemeClr w14:val="tx1"/>
            </w14:solidFill>
          </w14:textFill>
        </w:rPr>
      </w:pPr>
      <w:bookmarkStart w:id="55" w:name="_Toc13986"/>
      <w:bookmarkEnd w:id="55"/>
      <w:bookmarkStart w:id="56" w:name="_Toc26546"/>
      <w:bookmarkEnd w:id="56"/>
      <w:bookmarkStart w:id="57" w:name="_Toc9846"/>
      <w:bookmarkEnd w:id="57"/>
      <w:bookmarkStart w:id="58" w:name="_Toc24330"/>
      <w:bookmarkEnd w:id="58"/>
      <w:bookmarkStart w:id="59" w:name="_Toc31375"/>
      <w:bookmarkEnd w:id="59"/>
      <w:bookmarkStart w:id="60" w:name="_Toc10653"/>
      <w:bookmarkEnd w:id="60"/>
      <w:bookmarkStart w:id="61" w:name="_Toc15800"/>
      <w:bookmarkEnd w:id="61"/>
    </w:p>
    <w:p w14:paraId="1E30E206">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井座  manhole frame</w:t>
      </w:r>
    </w:p>
    <w:p w14:paraId="1F9C6CC2">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检查井盖中固定于检查井口的部分，用于安放井盖。</w:t>
      </w:r>
    </w:p>
    <w:p w14:paraId="14197754">
      <w:pPr>
        <w:pStyle w:val="130"/>
        <w:numPr>
          <w:ilvl w:val="1"/>
          <w:numId w:val="20"/>
        </w:numPr>
        <w:rPr>
          <w:rFonts w:ascii="Times New Roman"/>
          <w:color w:val="000000" w:themeColor="text1"/>
          <w14:textFill>
            <w14:solidFill>
              <w14:schemeClr w14:val="tx1"/>
            </w14:solidFill>
          </w14:textFill>
        </w:rPr>
      </w:pPr>
      <w:bookmarkStart w:id="62" w:name="_Toc5819"/>
      <w:bookmarkEnd w:id="62"/>
      <w:bookmarkStart w:id="63" w:name="_Toc1211"/>
      <w:bookmarkEnd w:id="63"/>
      <w:bookmarkStart w:id="64" w:name="_Toc18866"/>
      <w:bookmarkEnd w:id="64"/>
      <w:bookmarkStart w:id="65" w:name="_Toc28660"/>
      <w:bookmarkEnd w:id="65"/>
      <w:bookmarkStart w:id="66" w:name="_Toc22604"/>
      <w:bookmarkEnd w:id="66"/>
      <w:bookmarkStart w:id="67" w:name="_Toc32576"/>
      <w:bookmarkEnd w:id="67"/>
      <w:bookmarkStart w:id="68" w:name="_Toc26500"/>
      <w:bookmarkEnd w:id="68"/>
    </w:p>
    <w:p w14:paraId="1D4ACB53">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嵌入深度  inlaid depth</w:t>
      </w:r>
    </w:p>
    <w:p w14:paraId="585855E3">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井座顶面至井盖底面的立面配合深度。</w:t>
      </w:r>
    </w:p>
    <w:p w14:paraId="7442CF62">
      <w:pPr>
        <w:pStyle w:val="130"/>
        <w:numPr>
          <w:ilvl w:val="1"/>
          <w:numId w:val="20"/>
        </w:numPr>
        <w:rPr>
          <w:rFonts w:ascii="Times New Roman"/>
          <w:color w:val="000000" w:themeColor="text1"/>
          <w14:textFill>
            <w14:solidFill>
              <w14:schemeClr w14:val="tx1"/>
            </w14:solidFill>
          </w14:textFill>
        </w:rPr>
      </w:pPr>
      <w:bookmarkStart w:id="69" w:name="_Toc17959"/>
      <w:bookmarkEnd w:id="69"/>
      <w:bookmarkStart w:id="70" w:name="_Toc8884"/>
      <w:bookmarkEnd w:id="70"/>
      <w:bookmarkStart w:id="71" w:name="_Toc23915"/>
      <w:bookmarkEnd w:id="71"/>
      <w:bookmarkStart w:id="72" w:name="_Toc31432"/>
      <w:bookmarkEnd w:id="72"/>
      <w:bookmarkStart w:id="73" w:name="_Toc5179"/>
      <w:bookmarkEnd w:id="73"/>
      <w:bookmarkStart w:id="74" w:name="_Toc560"/>
      <w:bookmarkEnd w:id="74"/>
      <w:bookmarkStart w:id="75" w:name="_Toc6921"/>
      <w:bookmarkEnd w:id="75"/>
    </w:p>
    <w:p w14:paraId="0F5CDF4F">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总间隙  width of aperture</w:t>
      </w:r>
    </w:p>
    <w:p w14:paraId="130F3769">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井座与井盖之间的间隙总和。</w:t>
      </w:r>
    </w:p>
    <w:p w14:paraId="554CB92F">
      <w:pPr>
        <w:pStyle w:val="23"/>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[来源：GB/T 23858</w:t>
      </w:r>
      <w:r>
        <w:rPr>
          <w:rFonts w:hint="eastAsia" w:hAnsi="宋体" w:cs="宋体"/>
        </w:rPr>
        <w:t>—</w:t>
      </w:r>
      <w:r>
        <w:rPr>
          <w:rFonts w:hint="eastAsia" w:hAnsi="宋体" w:cs="宋体"/>
          <w:color w:val="000000" w:themeColor="text1"/>
          <w14:textFill>
            <w14:solidFill>
              <w14:schemeClr w14:val="tx1"/>
            </w14:solidFill>
          </w14:textFill>
        </w:rPr>
        <w:t>2009，3.6]</w:t>
      </w:r>
    </w:p>
    <w:p w14:paraId="7148DBE2">
      <w:pPr>
        <w:pStyle w:val="130"/>
        <w:numPr>
          <w:ilvl w:val="1"/>
          <w:numId w:val="20"/>
        </w:numPr>
        <w:rPr>
          <w:rFonts w:ascii="Times New Roman"/>
          <w:color w:val="000000" w:themeColor="text1"/>
          <w14:textFill>
            <w14:solidFill>
              <w14:schemeClr w14:val="tx1"/>
            </w14:solidFill>
          </w14:textFill>
        </w:rPr>
      </w:pPr>
      <w:bookmarkStart w:id="76" w:name="_Toc28876"/>
      <w:bookmarkEnd w:id="76"/>
      <w:bookmarkStart w:id="77" w:name="_Toc5611"/>
      <w:bookmarkEnd w:id="77"/>
      <w:bookmarkStart w:id="78" w:name="_Toc4969"/>
      <w:bookmarkEnd w:id="78"/>
      <w:bookmarkStart w:id="79" w:name="_Toc26332"/>
      <w:bookmarkEnd w:id="79"/>
      <w:bookmarkStart w:id="80" w:name="_Toc15481"/>
      <w:bookmarkEnd w:id="80"/>
      <w:bookmarkStart w:id="81" w:name="_Toc3174"/>
      <w:bookmarkEnd w:id="81"/>
      <w:bookmarkStart w:id="82" w:name="_Toc16484"/>
      <w:bookmarkEnd w:id="82"/>
    </w:p>
    <w:p w14:paraId="0FCB73CC">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井座支承面 supporting face of frame</w:t>
      </w:r>
    </w:p>
    <w:p w14:paraId="23958C16">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支承井盖的井座平面。</w:t>
      </w:r>
    </w:p>
    <w:p w14:paraId="5A401068">
      <w:pPr>
        <w:pStyle w:val="130"/>
        <w:numPr>
          <w:ilvl w:val="1"/>
          <w:numId w:val="20"/>
        </w:numPr>
        <w:rPr>
          <w:rFonts w:ascii="Times New Roman"/>
          <w:color w:val="000000" w:themeColor="text1"/>
          <w14:textFill>
            <w14:solidFill>
              <w14:schemeClr w14:val="tx1"/>
            </w14:solidFill>
          </w14:textFill>
        </w:rPr>
      </w:pPr>
      <w:bookmarkStart w:id="83" w:name="_Toc139"/>
      <w:bookmarkEnd w:id="83"/>
      <w:bookmarkStart w:id="84" w:name="_Toc14798"/>
      <w:bookmarkEnd w:id="84"/>
      <w:bookmarkStart w:id="85" w:name="_Toc21873"/>
      <w:bookmarkEnd w:id="85"/>
      <w:bookmarkStart w:id="86" w:name="_Toc9647"/>
      <w:bookmarkEnd w:id="86"/>
      <w:bookmarkStart w:id="87" w:name="_Toc32220"/>
      <w:bookmarkEnd w:id="87"/>
      <w:bookmarkStart w:id="88" w:name="_Toc15091"/>
      <w:bookmarkEnd w:id="88"/>
      <w:bookmarkStart w:id="89" w:name="_Toc3363"/>
      <w:bookmarkEnd w:id="89"/>
    </w:p>
    <w:p w14:paraId="04A4EB58">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斜度 taper of cover</w:t>
      </w:r>
    </w:p>
    <w:p w14:paraId="79A5B9DF">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井盖外沿上下形成的角度。</w:t>
      </w:r>
    </w:p>
    <w:p w14:paraId="08CF564B">
      <w:pPr>
        <w:pStyle w:val="130"/>
        <w:numPr>
          <w:ilvl w:val="1"/>
          <w:numId w:val="20"/>
        </w:numPr>
        <w:rPr>
          <w:rFonts w:ascii="Times New Roman"/>
          <w:color w:val="000000" w:themeColor="text1"/>
          <w14:textFill>
            <w14:solidFill>
              <w14:schemeClr w14:val="tx1"/>
            </w14:solidFill>
          </w14:textFill>
        </w:rPr>
      </w:pPr>
      <w:bookmarkStart w:id="90" w:name="_Toc30710"/>
      <w:bookmarkEnd w:id="90"/>
      <w:bookmarkStart w:id="91" w:name="_Toc14163"/>
      <w:bookmarkEnd w:id="91"/>
      <w:bookmarkStart w:id="92" w:name="_Toc8431"/>
      <w:bookmarkEnd w:id="92"/>
      <w:bookmarkStart w:id="93" w:name="_Toc26108"/>
      <w:bookmarkEnd w:id="93"/>
      <w:bookmarkStart w:id="94" w:name="_Toc9704"/>
      <w:bookmarkEnd w:id="94"/>
      <w:bookmarkStart w:id="95" w:name="_Toc14656"/>
      <w:bookmarkEnd w:id="95"/>
      <w:bookmarkStart w:id="96" w:name="_Toc14269"/>
      <w:bookmarkEnd w:id="96"/>
    </w:p>
    <w:p w14:paraId="6426045B">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井座净开孔 clear opening</w:t>
      </w:r>
    </w:p>
    <w:p w14:paraId="2180C33B">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检查井井座孔口的最大内切圆直径。</w:t>
      </w:r>
    </w:p>
    <w:p w14:paraId="24FF57FA">
      <w:pPr>
        <w:pStyle w:val="130"/>
        <w:numPr>
          <w:ilvl w:val="1"/>
          <w:numId w:val="20"/>
        </w:numPr>
        <w:rPr>
          <w:rFonts w:ascii="Times New Roman"/>
          <w:color w:val="000000" w:themeColor="text1"/>
          <w14:textFill>
            <w14:solidFill>
              <w14:schemeClr w14:val="tx1"/>
            </w14:solidFill>
          </w14:textFill>
        </w:rPr>
      </w:pPr>
      <w:bookmarkStart w:id="97" w:name="_Toc7102"/>
      <w:bookmarkEnd w:id="97"/>
      <w:bookmarkStart w:id="98" w:name="_Toc3001"/>
      <w:bookmarkEnd w:id="98"/>
      <w:bookmarkStart w:id="99" w:name="_Toc3797"/>
      <w:bookmarkEnd w:id="99"/>
      <w:bookmarkStart w:id="100" w:name="_Toc16326"/>
      <w:bookmarkEnd w:id="100"/>
      <w:bookmarkStart w:id="101" w:name="_Toc2909"/>
      <w:bookmarkEnd w:id="101"/>
      <w:bookmarkStart w:id="102" w:name="_Toc10393"/>
      <w:bookmarkEnd w:id="102"/>
      <w:bookmarkStart w:id="103" w:name="_Toc16792"/>
      <w:bookmarkEnd w:id="103"/>
      <w:bookmarkStart w:id="104" w:name="_Toc26820"/>
      <w:bookmarkEnd w:id="104"/>
      <w:bookmarkStart w:id="105" w:name="_Toc5709"/>
      <w:bookmarkEnd w:id="105"/>
      <w:bookmarkStart w:id="106" w:name="_Toc16878"/>
      <w:bookmarkEnd w:id="106"/>
      <w:bookmarkStart w:id="107" w:name="_Toc900"/>
      <w:bookmarkEnd w:id="107"/>
      <w:bookmarkStart w:id="108" w:name="_Toc30827"/>
      <w:bookmarkEnd w:id="108"/>
    </w:p>
    <w:p w14:paraId="5F750F4B">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通气孔 manhole cover vent</w:t>
      </w:r>
    </w:p>
    <w:p w14:paraId="5164310E">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井盖上用于扩散检查井内气体的孔洞。</w:t>
      </w:r>
    </w:p>
    <w:p w14:paraId="2D6C8FDF">
      <w:pPr>
        <w:pStyle w:val="130"/>
        <w:numPr>
          <w:ilvl w:val="1"/>
          <w:numId w:val="20"/>
        </w:numPr>
        <w:rPr>
          <w:rFonts w:ascii="Times New Roman"/>
          <w:color w:val="000000" w:themeColor="text1"/>
          <w14:textFill>
            <w14:solidFill>
              <w14:schemeClr w14:val="tx1"/>
            </w14:solidFill>
          </w14:textFill>
        </w:rPr>
      </w:pPr>
      <w:bookmarkStart w:id="109" w:name="_Toc3301"/>
      <w:bookmarkEnd w:id="109"/>
      <w:bookmarkStart w:id="110" w:name="_Toc7881"/>
      <w:bookmarkEnd w:id="110"/>
      <w:bookmarkStart w:id="111" w:name="_Toc145"/>
      <w:bookmarkEnd w:id="111"/>
      <w:bookmarkStart w:id="112" w:name="_Toc23191"/>
      <w:bookmarkEnd w:id="112"/>
      <w:bookmarkStart w:id="113" w:name="_Toc17792"/>
      <w:bookmarkEnd w:id="113"/>
      <w:bookmarkStart w:id="114" w:name="_Toc23116"/>
      <w:bookmarkEnd w:id="114"/>
      <w:bookmarkStart w:id="115" w:name="_Toc30673"/>
      <w:bookmarkEnd w:id="115"/>
      <w:bookmarkStart w:id="116" w:name="_Toc10042"/>
      <w:bookmarkEnd w:id="116"/>
      <w:bookmarkStart w:id="117" w:name="_Toc20138"/>
      <w:bookmarkEnd w:id="117"/>
      <w:bookmarkStart w:id="118" w:name="_Toc1487"/>
      <w:bookmarkEnd w:id="118"/>
      <w:bookmarkStart w:id="119" w:name="_Toc31559"/>
      <w:bookmarkEnd w:id="119"/>
      <w:bookmarkStart w:id="120" w:name="_Toc24581"/>
      <w:bookmarkEnd w:id="120"/>
    </w:p>
    <w:p w14:paraId="519EE75A">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防坠落装置 anti-dropping device</w:t>
      </w:r>
    </w:p>
    <w:p w14:paraId="60CADEC9">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为防止人、物坠入检查井内所设的装置</w:t>
      </w:r>
      <w:r>
        <w:rPr>
          <w:rFonts w:hint="eastAsia" w:ascii="Times New Roman"/>
          <w:color w:val="000000" w:themeColor="text1"/>
          <w14:textFill>
            <w14:solidFill>
              <w14:schemeClr w14:val="tx1"/>
            </w14:solidFill>
          </w14:textFill>
        </w:rPr>
        <w:t>,包括防坠网、防坠盖等</w:t>
      </w:r>
      <w:r>
        <w:rPr>
          <w:rFonts w:ascii="Times New Roman"/>
          <w:color w:val="000000" w:themeColor="text1"/>
          <w14:textFill>
            <w14:solidFill>
              <w14:schemeClr w14:val="tx1"/>
            </w14:solidFill>
          </w14:textFill>
        </w:rPr>
        <w:t>。</w:t>
      </w:r>
    </w:p>
    <w:p w14:paraId="61AA1E72">
      <w:pPr>
        <w:pStyle w:val="130"/>
        <w:numPr>
          <w:ilvl w:val="1"/>
          <w:numId w:val="20"/>
        </w:numPr>
        <w:rPr>
          <w:rFonts w:ascii="Times New Roman"/>
          <w:color w:val="000000" w:themeColor="text1"/>
          <w14:textFill>
            <w14:solidFill>
              <w14:schemeClr w14:val="tx1"/>
            </w14:solidFill>
          </w14:textFill>
        </w:rPr>
      </w:pPr>
      <w:bookmarkStart w:id="121" w:name="_Toc1241"/>
      <w:bookmarkEnd w:id="121"/>
      <w:bookmarkStart w:id="122" w:name="_Toc11859"/>
      <w:bookmarkEnd w:id="122"/>
      <w:bookmarkStart w:id="123" w:name="_Toc1845"/>
      <w:bookmarkEnd w:id="123"/>
      <w:bookmarkStart w:id="124" w:name="_Toc26326"/>
      <w:bookmarkEnd w:id="124"/>
      <w:bookmarkStart w:id="125" w:name="_Toc10470"/>
      <w:bookmarkEnd w:id="125"/>
      <w:bookmarkStart w:id="126" w:name="_Toc14921"/>
      <w:bookmarkEnd w:id="126"/>
      <w:bookmarkStart w:id="127" w:name="_Toc24820"/>
      <w:bookmarkEnd w:id="127"/>
      <w:bookmarkStart w:id="128" w:name="_Toc21553"/>
      <w:bookmarkEnd w:id="128"/>
      <w:bookmarkStart w:id="129" w:name="_Toc14574"/>
      <w:bookmarkEnd w:id="129"/>
    </w:p>
    <w:p w14:paraId="587C9589">
      <w:pPr>
        <w:pStyle w:val="23"/>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双层井盖 double manhole cover</w:t>
      </w:r>
    </w:p>
    <w:p w14:paraId="03210FAF">
      <w:pPr>
        <w:pStyle w:val="23"/>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由主盖和子盖两层井盖组成的井盖。</w:t>
      </w:r>
      <w:r>
        <w:rPr>
          <w:rFonts w:hint="eastAsia" w:ascii="Times New Roman"/>
          <w:color w:val="000000" w:themeColor="text1"/>
          <w14:textFill>
            <w14:solidFill>
              <w14:schemeClr w14:val="tx1"/>
            </w14:solidFill>
          </w14:textFill>
        </w:rPr>
        <w:t>主盖是</w:t>
      </w:r>
      <w:r>
        <w:rPr>
          <w:rFonts w:ascii="Times New Roman"/>
          <w:color w:val="000000" w:themeColor="text1"/>
          <w14:textFill>
            <w14:solidFill>
              <w14:schemeClr w14:val="tx1"/>
            </w14:solidFill>
          </w14:textFill>
        </w:rPr>
        <w:t>承重、封闭检查井口的井盖</w:t>
      </w:r>
      <w:r>
        <w:rPr>
          <w:rFonts w:hint="eastAsia" w:ascii="Times New Roman"/>
          <w:color w:val="000000" w:themeColor="text1"/>
          <w14:textFill>
            <w14:solidFill>
              <w14:schemeClr w14:val="tx1"/>
            </w14:solidFill>
          </w14:textFill>
        </w:rPr>
        <w:t>；子盖</w:t>
      </w:r>
      <w:r>
        <w:rPr>
          <w:rFonts w:ascii="Times New Roman"/>
          <w:color w:val="000000" w:themeColor="text1"/>
          <w14:textFill>
            <w14:solidFill>
              <w14:schemeClr w14:val="tx1"/>
            </w14:solidFill>
          </w14:textFill>
        </w:rPr>
        <w:t>位于主盖下，用于防止人、物坠入检查井内的井盖</w:t>
      </w:r>
    </w:p>
    <w:p w14:paraId="58E3B00D">
      <w:pPr>
        <w:pStyle w:val="130"/>
        <w:numPr>
          <w:ilvl w:val="1"/>
          <w:numId w:val="20"/>
        </w:numPr>
        <w:rPr>
          <w:rFonts w:ascii="Times New Roman"/>
          <w:color w:val="000000" w:themeColor="text1"/>
          <w14:textFill>
            <w14:solidFill>
              <w14:schemeClr w14:val="tx1"/>
            </w14:solidFill>
          </w14:textFill>
        </w:rPr>
      </w:pPr>
      <w:bookmarkStart w:id="130" w:name="_Toc7824"/>
      <w:bookmarkEnd w:id="130"/>
      <w:bookmarkStart w:id="131" w:name="_Toc16974"/>
      <w:bookmarkEnd w:id="131"/>
      <w:bookmarkStart w:id="132" w:name="_Toc12507"/>
      <w:bookmarkEnd w:id="132"/>
      <w:bookmarkStart w:id="133" w:name="_Toc32392"/>
      <w:bookmarkEnd w:id="133"/>
      <w:bookmarkStart w:id="134" w:name="_Toc1336"/>
      <w:bookmarkEnd w:id="134"/>
      <w:bookmarkStart w:id="135" w:name="_Toc20863"/>
      <w:bookmarkEnd w:id="135"/>
      <w:bookmarkStart w:id="136" w:name="_Toc9346"/>
      <w:bookmarkEnd w:id="136"/>
      <w:bookmarkStart w:id="137" w:name="_Toc31798"/>
      <w:bookmarkEnd w:id="137"/>
      <w:bookmarkStart w:id="138" w:name="_Toc9831"/>
      <w:bookmarkEnd w:id="138"/>
      <w:bookmarkStart w:id="139" w:name="_Toc18279"/>
      <w:bookmarkEnd w:id="139"/>
      <w:bookmarkStart w:id="140" w:name="_Toc29512"/>
      <w:bookmarkEnd w:id="140"/>
      <w:bookmarkStart w:id="141" w:name="_Toc28315"/>
      <w:bookmarkEnd w:id="141"/>
      <w:bookmarkStart w:id="142" w:name="_Toc14437"/>
      <w:bookmarkEnd w:id="142"/>
      <w:bookmarkStart w:id="143" w:name="_Toc9674"/>
      <w:bookmarkEnd w:id="143"/>
    </w:p>
    <w:p w14:paraId="1F2E83A3">
      <w:pPr>
        <w:pStyle w:val="23"/>
        <w:rPr>
          <w:rFonts w:ascii="黑体" w:hAnsi="黑体" w:eastAsia="黑体" w:cs="黑体"/>
          <w:color w:val="000000" w:themeColor="text1"/>
          <w14:textFill>
            <w14:solidFill>
              <w14:schemeClr w14:val="tx1"/>
            </w14:solidFill>
          </w14:textFill>
        </w:rPr>
      </w:pPr>
      <w:bookmarkStart w:id="144" w:name="OLE_LINK7"/>
      <w:r>
        <w:rPr>
          <w:rFonts w:hint="eastAsia" w:ascii="黑体" w:hAnsi="黑体" w:eastAsia="黑体" w:cs="黑体"/>
          <w:color w:val="000000" w:themeColor="text1"/>
          <w14:textFill>
            <w14:solidFill>
              <w14:schemeClr w14:val="tx1"/>
            </w14:solidFill>
          </w14:textFill>
        </w:rPr>
        <w:t>防反涌泄水孔</w:t>
      </w:r>
      <w:bookmarkEnd w:id="144"/>
      <w:r>
        <w:rPr>
          <w:rFonts w:hint="eastAsia" w:ascii="黑体" w:hAnsi="黑体" w:eastAsia="黑体" w:cs="黑体"/>
          <w:color w:val="000000" w:themeColor="text1"/>
          <w14:textFill>
            <w14:solidFill>
              <w14:schemeClr w14:val="tx1"/>
            </w14:solidFill>
          </w14:textFill>
        </w:rPr>
        <w:t xml:space="preserve"> anti-surge drain holes</w:t>
      </w:r>
    </w:p>
    <w:p w14:paraId="1A4D8CCF">
      <w:pPr>
        <w:pStyle w:val="23"/>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雨水</w:t>
      </w:r>
      <w:r>
        <w:rPr>
          <w:rFonts w:ascii="Times New Roman"/>
          <w:color w:val="000000" w:themeColor="text1"/>
          <w14:textFill>
            <w14:solidFill>
              <w14:schemeClr w14:val="tx1"/>
            </w14:solidFill>
          </w14:textFill>
        </w:rPr>
        <w:t>井盖上用于减少泄水压力而设计的孔洞。</w:t>
      </w:r>
    </w:p>
    <w:p w14:paraId="332B3B9E">
      <w:pPr>
        <w:pStyle w:val="49"/>
        <w:adjustRightInd w:val="0"/>
        <w:spacing w:before="312" w:after="312"/>
        <w:outlineLvl w:val="0"/>
        <w:rPr>
          <w:rFonts w:ascii="Times New Roman"/>
          <w:color w:val="000000" w:themeColor="text1"/>
          <w14:textFill>
            <w14:solidFill>
              <w14:schemeClr w14:val="tx1"/>
            </w14:solidFill>
          </w14:textFill>
        </w:rPr>
      </w:pPr>
      <w:bookmarkStart w:id="145" w:name="_Toc17748"/>
      <w:bookmarkEnd w:id="145"/>
      <w:bookmarkStart w:id="146" w:name="_Toc1840"/>
      <w:bookmarkEnd w:id="146"/>
      <w:bookmarkStart w:id="147" w:name="_Toc17640"/>
      <w:bookmarkEnd w:id="147"/>
      <w:bookmarkStart w:id="148" w:name="_Toc6038"/>
      <w:bookmarkEnd w:id="148"/>
      <w:bookmarkStart w:id="149" w:name="_Toc11738"/>
      <w:bookmarkEnd w:id="149"/>
      <w:bookmarkStart w:id="150" w:name="_Toc9459"/>
      <w:bookmarkEnd w:id="150"/>
      <w:bookmarkStart w:id="151" w:name="_Toc10238"/>
      <w:bookmarkEnd w:id="151"/>
      <w:bookmarkStart w:id="152" w:name="_Toc29973"/>
      <w:r>
        <w:rPr>
          <w:rFonts w:ascii="Times New Roman"/>
          <w:color w:val="000000" w:themeColor="text1"/>
          <w14:textFill>
            <w14:solidFill>
              <w14:schemeClr w14:val="tx1"/>
            </w14:solidFill>
          </w14:textFill>
        </w:rPr>
        <w:t>基本规定</w:t>
      </w:r>
      <w:bookmarkEnd w:id="152"/>
    </w:p>
    <w:p w14:paraId="3BDD77D6">
      <w:pPr>
        <w:pStyle w:val="130"/>
        <w:rPr>
          <w:rFonts w:eastAsia="黑体"/>
        </w:rPr>
      </w:pPr>
      <w:bookmarkStart w:id="153" w:name="_Toc3814"/>
      <w:bookmarkStart w:id="154" w:name="_Toc11484"/>
      <w:bookmarkStart w:id="155" w:name="_Toc17403"/>
      <w:r>
        <w:rPr>
          <w:rFonts w:hint="eastAsia" w:hAnsi="宋体" w:cs="宋体"/>
          <w:color w:val="000000" w:themeColor="text1"/>
          <w14:textFill>
            <w14:solidFill>
              <w14:schemeClr w14:val="tx1"/>
            </w14:solidFill>
          </w14:textFill>
        </w:rPr>
        <w:t>检查井盖按承载能力分为5级。各等级检查井盖的承载能力应不小于相应的试验荷载。不同场所应选择不低于相应承载能力等级的检查井盖。</w:t>
      </w:r>
      <w:r>
        <w:rPr>
          <w:rFonts w:hint="eastAsia" w:hAnsi="宋体" w:cs="宋体"/>
        </w:rPr>
        <w:t>检查井盖的级别、代号、试验荷载及适用场所见表1。</w:t>
      </w:r>
      <w:bookmarkEnd w:id="153"/>
      <w:bookmarkEnd w:id="154"/>
      <w:bookmarkEnd w:id="155"/>
    </w:p>
    <w:p w14:paraId="68CD60FB">
      <w:pPr>
        <w:pStyle w:val="23"/>
        <w:spacing w:before="156" w:beforeLines="50"/>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表1  检查井盖的级别、代号、试验荷载及适用场所</w:t>
      </w:r>
    </w:p>
    <w:tbl>
      <w:tblPr>
        <w:tblStyle w:val="33"/>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13"/>
        <w:gridCol w:w="920"/>
        <w:gridCol w:w="1960"/>
        <w:gridCol w:w="5226"/>
      </w:tblGrid>
      <w:tr w14:paraId="5BAB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913" w:type="dxa"/>
            <w:vAlign w:val="center"/>
          </w:tcPr>
          <w:p w14:paraId="0D3F4205">
            <w:pPr>
              <w:spacing w:line="240" w:lineRule="exact"/>
              <w:jc w:val="center"/>
              <w:rPr>
                <w:rFonts w:ascii="宋体" w:hAnsi="宋体" w:cs="宋体"/>
                <w:sz w:val="18"/>
                <w:szCs w:val="18"/>
              </w:rPr>
            </w:pPr>
            <w:r>
              <w:rPr>
                <w:rFonts w:hint="eastAsia" w:ascii="宋体" w:hAnsi="宋体" w:cs="宋体"/>
                <w:color w:val="000000"/>
                <w:sz w:val="18"/>
                <w:szCs w:val="18"/>
              </w:rPr>
              <w:t>级 别</w:t>
            </w:r>
          </w:p>
        </w:tc>
        <w:tc>
          <w:tcPr>
            <w:tcW w:w="920" w:type="dxa"/>
            <w:vAlign w:val="center"/>
          </w:tcPr>
          <w:p w14:paraId="320A5401">
            <w:pPr>
              <w:spacing w:line="300" w:lineRule="exact"/>
              <w:jc w:val="center"/>
              <w:rPr>
                <w:rFonts w:ascii="宋体" w:hAnsi="宋体" w:cs="宋体"/>
                <w:sz w:val="18"/>
                <w:szCs w:val="18"/>
              </w:rPr>
            </w:pPr>
            <w:r>
              <w:rPr>
                <w:rFonts w:hint="eastAsia" w:ascii="宋体" w:hAnsi="宋体" w:cs="宋体"/>
                <w:color w:val="000000"/>
                <w:sz w:val="18"/>
                <w:szCs w:val="18"/>
              </w:rPr>
              <w:t>代号</w:t>
            </w:r>
          </w:p>
        </w:tc>
        <w:tc>
          <w:tcPr>
            <w:tcW w:w="1960" w:type="dxa"/>
            <w:vAlign w:val="center"/>
          </w:tcPr>
          <w:p w14:paraId="6F289EE6">
            <w:pPr>
              <w:spacing w:line="270" w:lineRule="exact"/>
              <w:jc w:val="center"/>
              <w:rPr>
                <w:rFonts w:ascii="宋体" w:hAnsi="宋体" w:cs="宋体"/>
                <w:sz w:val="18"/>
                <w:szCs w:val="18"/>
              </w:rPr>
            </w:pPr>
            <w:r>
              <w:rPr>
                <w:rFonts w:hint="eastAsia" w:ascii="宋体" w:hAnsi="宋体" w:cs="宋体"/>
                <w:color w:val="000000"/>
                <w:sz w:val="18"/>
                <w:szCs w:val="18"/>
              </w:rPr>
              <w:t>试验荷载F（kN）</w:t>
            </w:r>
          </w:p>
        </w:tc>
        <w:tc>
          <w:tcPr>
            <w:tcW w:w="5226" w:type="dxa"/>
            <w:vAlign w:val="center"/>
          </w:tcPr>
          <w:p w14:paraId="24CD6BCA">
            <w:pPr>
              <w:spacing w:line="270" w:lineRule="exact"/>
              <w:jc w:val="center"/>
              <w:rPr>
                <w:rFonts w:ascii="宋体" w:hAnsi="宋体" w:cs="宋体"/>
                <w:color w:val="000000"/>
                <w:sz w:val="18"/>
                <w:szCs w:val="18"/>
              </w:rPr>
            </w:pPr>
            <w:r>
              <w:rPr>
                <w:rFonts w:hint="eastAsia" w:ascii="宋体" w:hAnsi="宋体" w:cs="宋体"/>
                <w:color w:val="000000"/>
                <w:sz w:val="18"/>
                <w:szCs w:val="18"/>
              </w:rPr>
              <w:t>适用场所（选择不低于相应等级的检查井盖）</w:t>
            </w:r>
          </w:p>
        </w:tc>
      </w:tr>
      <w:tr w14:paraId="7E18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913" w:type="dxa"/>
            <w:vAlign w:val="center"/>
          </w:tcPr>
          <w:p w14:paraId="3A69142C">
            <w:pPr>
              <w:spacing w:line="300" w:lineRule="exact"/>
              <w:jc w:val="center"/>
              <w:rPr>
                <w:rFonts w:ascii="宋体" w:hAnsi="宋体" w:cs="宋体"/>
                <w:sz w:val="18"/>
                <w:szCs w:val="18"/>
              </w:rPr>
            </w:pPr>
            <w:r>
              <w:rPr>
                <w:rFonts w:hint="eastAsia" w:ascii="宋体" w:hAnsi="宋体" w:cs="宋体"/>
                <w:color w:val="000000"/>
                <w:sz w:val="18"/>
                <w:szCs w:val="18"/>
              </w:rPr>
              <w:t>1</w:t>
            </w:r>
          </w:p>
        </w:tc>
        <w:tc>
          <w:tcPr>
            <w:tcW w:w="920" w:type="dxa"/>
            <w:vAlign w:val="center"/>
          </w:tcPr>
          <w:p w14:paraId="4E33D349">
            <w:pPr>
              <w:spacing w:line="288" w:lineRule="exact"/>
              <w:jc w:val="center"/>
              <w:rPr>
                <w:rFonts w:ascii="宋体" w:hAnsi="宋体" w:cs="宋体"/>
                <w:sz w:val="18"/>
                <w:szCs w:val="18"/>
              </w:rPr>
            </w:pPr>
            <w:r>
              <w:rPr>
                <w:rFonts w:hint="eastAsia" w:ascii="宋体" w:hAnsi="宋体" w:cs="宋体"/>
                <w:color w:val="000000"/>
                <w:sz w:val="18"/>
                <w:szCs w:val="18"/>
              </w:rPr>
              <w:t>B125</w:t>
            </w:r>
          </w:p>
        </w:tc>
        <w:tc>
          <w:tcPr>
            <w:tcW w:w="1960" w:type="dxa"/>
            <w:vAlign w:val="center"/>
          </w:tcPr>
          <w:p w14:paraId="7705FA1E">
            <w:pPr>
              <w:spacing w:line="300" w:lineRule="exact"/>
              <w:jc w:val="center"/>
              <w:rPr>
                <w:rFonts w:ascii="宋体" w:hAnsi="宋体" w:cs="宋体"/>
                <w:sz w:val="18"/>
                <w:szCs w:val="18"/>
              </w:rPr>
            </w:pPr>
            <w:r>
              <w:rPr>
                <w:rFonts w:hint="eastAsia" w:ascii="宋体" w:hAnsi="宋体" w:cs="宋体"/>
                <w:color w:val="000000"/>
                <w:sz w:val="18"/>
                <w:szCs w:val="18"/>
              </w:rPr>
              <w:t>125</w:t>
            </w:r>
          </w:p>
        </w:tc>
        <w:tc>
          <w:tcPr>
            <w:tcW w:w="5226" w:type="dxa"/>
            <w:vAlign w:val="center"/>
          </w:tcPr>
          <w:p w14:paraId="27DC0633">
            <w:pPr>
              <w:spacing w:line="300" w:lineRule="exact"/>
              <w:jc w:val="center"/>
              <w:rPr>
                <w:rFonts w:ascii="宋体" w:hAnsi="宋体" w:cs="宋体"/>
                <w:color w:val="000000"/>
                <w:sz w:val="18"/>
                <w:szCs w:val="18"/>
              </w:rPr>
            </w:pPr>
            <w:r>
              <w:rPr>
                <w:rFonts w:hint="eastAsia" w:ascii="宋体" w:hAnsi="宋体" w:cs="宋体"/>
                <w:color w:val="000000"/>
                <w:sz w:val="18"/>
                <w:szCs w:val="18"/>
              </w:rPr>
              <w:t>禁止机动车、非机动车驶入的区域</w:t>
            </w:r>
          </w:p>
        </w:tc>
      </w:tr>
      <w:tr w14:paraId="2D9E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913" w:type="dxa"/>
            <w:vAlign w:val="center"/>
          </w:tcPr>
          <w:p w14:paraId="7557D453">
            <w:pPr>
              <w:spacing w:line="300" w:lineRule="exact"/>
              <w:jc w:val="center"/>
              <w:rPr>
                <w:rFonts w:ascii="宋体" w:hAnsi="宋体" w:cs="宋体"/>
                <w:sz w:val="18"/>
                <w:szCs w:val="18"/>
              </w:rPr>
            </w:pPr>
            <w:r>
              <w:rPr>
                <w:rFonts w:hint="eastAsia" w:ascii="宋体" w:hAnsi="宋体" w:cs="宋体"/>
                <w:color w:val="000000"/>
                <w:sz w:val="18"/>
                <w:szCs w:val="18"/>
              </w:rPr>
              <w:t>2</w:t>
            </w:r>
          </w:p>
        </w:tc>
        <w:tc>
          <w:tcPr>
            <w:tcW w:w="920" w:type="dxa"/>
            <w:vAlign w:val="center"/>
          </w:tcPr>
          <w:p w14:paraId="7737F95E">
            <w:pPr>
              <w:spacing w:line="300" w:lineRule="exact"/>
              <w:jc w:val="center"/>
              <w:rPr>
                <w:rFonts w:ascii="宋体" w:hAnsi="宋体" w:cs="宋体"/>
                <w:sz w:val="18"/>
                <w:szCs w:val="18"/>
              </w:rPr>
            </w:pPr>
            <w:r>
              <w:rPr>
                <w:rFonts w:hint="eastAsia" w:ascii="宋体" w:hAnsi="宋体" w:cs="宋体"/>
                <w:color w:val="000000"/>
                <w:sz w:val="18"/>
                <w:szCs w:val="18"/>
              </w:rPr>
              <w:t>C250</w:t>
            </w:r>
          </w:p>
        </w:tc>
        <w:tc>
          <w:tcPr>
            <w:tcW w:w="1960" w:type="dxa"/>
            <w:vAlign w:val="center"/>
          </w:tcPr>
          <w:p w14:paraId="2AEAA7D6">
            <w:pPr>
              <w:spacing w:line="300" w:lineRule="exact"/>
              <w:jc w:val="center"/>
              <w:rPr>
                <w:rFonts w:ascii="宋体" w:hAnsi="宋体" w:cs="宋体"/>
                <w:sz w:val="18"/>
                <w:szCs w:val="18"/>
              </w:rPr>
            </w:pPr>
            <w:r>
              <w:rPr>
                <w:rFonts w:hint="eastAsia" w:ascii="宋体" w:hAnsi="宋体" w:cs="宋体"/>
                <w:color w:val="000000"/>
                <w:sz w:val="18"/>
                <w:szCs w:val="18"/>
              </w:rPr>
              <w:t>250</w:t>
            </w:r>
          </w:p>
        </w:tc>
        <w:tc>
          <w:tcPr>
            <w:tcW w:w="5226" w:type="dxa"/>
            <w:vAlign w:val="center"/>
          </w:tcPr>
          <w:p w14:paraId="2EC29644">
            <w:pPr>
              <w:spacing w:line="300" w:lineRule="exact"/>
              <w:jc w:val="center"/>
              <w:rPr>
                <w:rFonts w:ascii="宋体" w:hAnsi="宋体" w:cs="宋体"/>
                <w:color w:val="000000"/>
                <w:sz w:val="18"/>
                <w:szCs w:val="18"/>
              </w:rPr>
            </w:pPr>
            <w:r>
              <w:rPr>
                <w:rFonts w:hint="eastAsia" w:ascii="宋体" w:hAnsi="宋体" w:cs="宋体"/>
                <w:color w:val="000000"/>
                <w:sz w:val="18"/>
                <w:szCs w:val="18"/>
              </w:rPr>
              <w:t>仅非机动车、小型机动车通行的区域</w:t>
            </w:r>
          </w:p>
        </w:tc>
      </w:tr>
      <w:tr w14:paraId="759D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913" w:type="dxa"/>
            <w:vAlign w:val="center"/>
          </w:tcPr>
          <w:p w14:paraId="2134504B">
            <w:pPr>
              <w:spacing w:line="300" w:lineRule="exact"/>
              <w:jc w:val="center"/>
              <w:rPr>
                <w:rFonts w:ascii="宋体" w:hAnsi="宋体" w:cs="宋体"/>
                <w:sz w:val="18"/>
                <w:szCs w:val="18"/>
              </w:rPr>
            </w:pPr>
            <w:r>
              <w:rPr>
                <w:rFonts w:hint="eastAsia" w:ascii="宋体" w:hAnsi="宋体" w:cs="宋体"/>
                <w:color w:val="000000"/>
                <w:sz w:val="18"/>
                <w:szCs w:val="18"/>
              </w:rPr>
              <w:t>3</w:t>
            </w:r>
          </w:p>
        </w:tc>
        <w:tc>
          <w:tcPr>
            <w:tcW w:w="920" w:type="dxa"/>
            <w:vAlign w:val="center"/>
          </w:tcPr>
          <w:p w14:paraId="2D508F81">
            <w:pPr>
              <w:spacing w:line="300" w:lineRule="exact"/>
              <w:jc w:val="center"/>
              <w:rPr>
                <w:rFonts w:ascii="宋体" w:hAnsi="宋体" w:cs="宋体"/>
                <w:sz w:val="18"/>
                <w:szCs w:val="18"/>
              </w:rPr>
            </w:pPr>
            <w:r>
              <w:rPr>
                <w:rFonts w:hint="eastAsia" w:ascii="宋体" w:hAnsi="宋体" w:cs="宋体"/>
                <w:color w:val="000000"/>
                <w:sz w:val="18"/>
                <w:szCs w:val="18"/>
              </w:rPr>
              <w:t>D400</w:t>
            </w:r>
          </w:p>
        </w:tc>
        <w:tc>
          <w:tcPr>
            <w:tcW w:w="1960" w:type="dxa"/>
            <w:vAlign w:val="center"/>
          </w:tcPr>
          <w:p w14:paraId="2116699C">
            <w:pPr>
              <w:spacing w:line="288" w:lineRule="exact"/>
              <w:jc w:val="center"/>
              <w:rPr>
                <w:rFonts w:ascii="宋体" w:hAnsi="宋体" w:cs="宋体"/>
                <w:sz w:val="18"/>
                <w:szCs w:val="18"/>
              </w:rPr>
            </w:pPr>
            <w:r>
              <w:rPr>
                <w:rFonts w:hint="eastAsia" w:ascii="宋体" w:hAnsi="宋体" w:cs="宋体"/>
                <w:color w:val="000000"/>
                <w:sz w:val="18"/>
                <w:szCs w:val="18"/>
              </w:rPr>
              <w:t>400</w:t>
            </w:r>
          </w:p>
        </w:tc>
        <w:tc>
          <w:tcPr>
            <w:tcW w:w="5226" w:type="dxa"/>
            <w:vAlign w:val="center"/>
          </w:tcPr>
          <w:p w14:paraId="748A16CF">
            <w:pPr>
              <w:spacing w:line="288" w:lineRule="exact"/>
              <w:jc w:val="center"/>
              <w:rPr>
                <w:rFonts w:ascii="宋体" w:hAnsi="宋体" w:cs="宋体"/>
                <w:color w:val="000000"/>
                <w:sz w:val="18"/>
                <w:szCs w:val="18"/>
              </w:rPr>
            </w:pPr>
            <w:r>
              <w:rPr>
                <w:rFonts w:hint="eastAsia" w:ascii="宋体" w:hAnsi="宋体" w:cs="宋体"/>
                <w:color w:val="000000"/>
                <w:sz w:val="18"/>
                <w:szCs w:val="18"/>
              </w:rPr>
              <w:t>大型机动车通行的区域或城市道路、各等级公路</w:t>
            </w:r>
          </w:p>
        </w:tc>
      </w:tr>
      <w:tr w14:paraId="371A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913" w:type="dxa"/>
            <w:vAlign w:val="center"/>
          </w:tcPr>
          <w:p w14:paraId="19658116">
            <w:pPr>
              <w:spacing w:line="300" w:lineRule="exact"/>
              <w:jc w:val="center"/>
              <w:rPr>
                <w:rFonts w:ascii="宋体" w:hAnsi="宋体" w:cs="宋体"/>
                <w:sz w:val="18"/>
                <w:szCs w:val="18"/>
              </w:rPr>
            </w:pPr>
            <w:r>
              <w:rPr>
                <w:rFonts w:hint="eastAsia" w:ascii="宋体" w:hAnsi="宋体" w:cs="宋体"/>
                <w:color w:val="000000"/>
                <w:sz w:val="18"/>
                <w:szCs w:val="18"/>
              </w:rPr>
              <w:t>4</w:t>
            </w:r>
          </w:p>
        </w:tc>
        <w:tc>
          <w:tcPr>
            <w:tcW w:w="920" w:type="dxa"/>
            <w:vAlign w:val="center"/>
          </w:tcPr>
          <w:p w14:paraId="0C6218F3">
            <w:pPr>
              <w:spacing w:line="300" w:lineRule="exact"/>
              <w:jc w:val="center"/>
              <w:rPr>
                <w:rFonts w:ascii="宋体" w:hAnsi="宋体" w:cs="宋体"/>
                <w:sz w:val="18"/>
                <w:szCs w:val="18"/>
              </w:rPr>
            </w:pPr>
            <w:r>
              <w:rPr>
                <w:rFonts w:hint="eastAsia" w:ascii="宋体" w:hAnsi="宋体" w:cs="宋体"/>
                <w:color w:val="000000"/>
                <w:sz w:val="18"/>
                <w:szCs w:val="18"/>
              </w:rPr>
              <w:t>E600</w:t>
            </w:r>
          </w:p>
        </w:tc>
        <w:tc>
          <w:tcPr>
            <w:tcW w:w="1960" w:type="dxa"/>
            <w:vAlign w:val="center"/>
          </w:tcPr>
          <w:p w14:paraId="2A050053">
            <w:pPr>
              <w:spacing w:line="288" w:lineRule="exact"/>
              <w:jc w:val="center"/>
              <w:rPr>
                <w:rFonts w:ascii="宋体" w:hAnsi="宋体" w:cs="宋体"/>
                <w:sz w:val="18"/>
                <w:szCs w:val="18"/>
              </w:rPr>
            </w:pPr>
            <w:r>
              <w:rPr>
                <w:rFonts w:hint="eastAsia" w:ascii="宋体" w:hAnsi="宋体" w:cs="宋体"/>
                <w:color w:val="000000"/>
                <w:sz w:val="18"/>
                <w:szCs w:val="18"/>
              </w:rPr>
              <w:t>600</w:t>
            </w:r>
          </w:p>
        </w:tc>
        <w:tc>
          <w:tcPr>
            <w:tcW w:w="5226" w:type="dxa"/>
            <w:vAlign w:val="center"/>
          </w:tcPr>
          <w:p w14:paraId="3AF1031E">
            <w:pPr>
              <w:spacing w:line="288" w:lineRule="exact"/>
              <w:jc w:val="center"/>
              <w:rPr>
                <w:rFonts w:ascii="宋体" w:hAnsi="宋体" w:cs="宋体"/>
                <w:color w:val="000000"/>
                <w:sz w:val="18"/>
                <w:szCs w:val="18"/>
              </w:rPr>
            </w:pPr>
            <w:r>
              <w:rPr>
                <w:rFonts w:hint="eastAsia" w:ascii="宋体" w:hAnsi="宋体" w:cs="宋体"/>
                <w:color w:val="000000"/>
                <w:sz w:val="18"/>
                <w:szCs w:val="18"/>
              </w:rPr>
              <w:t>大型货运站，机场内跑道和滑行道以外区域，有特殊需求的城市快速路、高速公路</w:t>
            </w:r>
          </w:p>
        </w:tc>
      </w:tr>
      <w:tr w14:paraId="6E06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913" w:type="dxa"/>
            <w:vAlign w:val="center"/>
          </w:tcPr>
          <w:p w14:paraId="02D19E49">
            <w:pPr>
              <w:spacing w:line="300" w:lineRule="exact"/>
              <w:jc w:val="center"/>
              <w:rPr>
                <w:rFonts w:ascii="宋体" w:hAnsi="宋体" w:cs="宋体"/>
                <w:sz w:val="18"/>
                <w:szCs w:val="18"/>
              </w:rPr>
            </w:pPr>
            <w:r>
              <w:rPr>
                <w:rFonts w:hint="eastAsia" w:ascii="宋体" w:hAnsi="宋体" w:cs="宋体"/>
                <w:color w:val="000000"/>
                <w:sz w:val="18"/>
                <w:szCs w:val="18"/>
              </w:rPr>
              <w:t>5</w:t>
            </w:r>
          </w:p>
        </w:tc>
        <w:tc>
          <w:tcPr>
            <w:tcW w:w="920" w:type="dxa"/>
            <w:vAlign w:val="center"/>
          </w:tcPr>
          <w:p w14:paraId="2A317164">
            <w:pPr>
              <w:spacing w:line="288" w:lineRule="exact"/>
              <w:jc w:val="center"/>
              <w:rPr>
                <w:rFonts w:ascii="宋体" w:hAnsi="宋体" w:cs="宋体"/>
                <w:sz w:val="18"/>
                <w:szCs w:val="18"/>
              </w:rPr>
            </w:pPr>
            <w:r>
              <w:rPr>
                <w:rFonts w:hint="eastAsia" w:ascii="宋体" w:hAnsi="宋体" w:cs="宋体"/>
                <w:color w:val="000000"/>
                <w:sz w:val="18"/>
                <w:szCs w:val="18"/>
              </w:rPr>
              <w:t>F900</w:t>
            </w:r>
          </w:p>
        </w:tc>
        <w:tc>
          <w:tcPr>
            <w:tcW w:w="1960" w:type="dxa"/>
            <w:vAlign w:val="center"/>
          </w:tcPr>
          <w:p w14:paraId="2A7B4C07">
            <w:pPr>
              <w:spacing w:line="288" w:lineRule="exact"/>
              <w:jc w:val="center"/>
              <w:rPr>
                <w:rFonts w:ascii="宋体" w:hAnsi="宋体" w:cs="宋体"/>
                <w:sz w:val="18"/>
                <w:szCs w:val="18"/>
              </w:rPr>
            </w:pPr>
            <w:r>
              <w:rPr>
                <w:rFonts w:hint="eastAsia" w:ascii="宋体" w:hAnsi="宋体" w:cs="宋体"/>
                <w:color w:val="000000"/>
                <w:sz w:val="18"/>
                <w:szCs w:val="18"/>
              </w:rPr>
              <w:t>900</w:t>
            </w:r>
          </w:p>
        </w:tc>
        <w:tc>
          <w:tcPr>
            <w:tcW w:w="5226" w:type="dxa"/>
            <w:vAlign w:val="center"/>
          </w:tcPr>
          <w:p w14:paraId="5E6888AB">
            <w:pPr>
              <w:spacing w:line="288" w:lineRule="exact"/>
              <w:jc w:val="center"/>
              <w:rPr>
                <w:rFonts w:ascii="宋体" w:hAnsi="宋体" w:cs="宋体"/>
                <w:color w:val="000000"/>
                <w:sz w:val="18"/>
                <w:szCs w:val="18"/>
              </w:rPr>
            </w:pPr>
            <w:r>
              <w:rPr>
                <w:rFonts w:hint="eastAsia" w:ascii="宋体" w:hAnsi="宋体" w:cs="宋体"/>
                <w:color w:val="000000"/>
                <w:sz w:val="18"/>
                <w:szCs w:val="18"/>
              </w:rPr>
              <w:t>机场跑道和滑行道区域，特殊保障区域</w:t>
            </w:r>
          </w:p>
        </w:tc>
      </w:tr>
    </w:tbl>
    <w:p w14:paraId="0295D5D4">
      <w:pPr>
        <w:pStyle w:val="130"/>
        <w:numPr>
          <w:ilvl w:val="255"/>
          <w:numId w:val="0"/>
        </w:numPr>
        <w:spacing w:before="156" w:beforeLines="50"/>
        <w:ind w:firstLine="180" w:firstLineChars="100"/>
        <w:outlineLvl w:val="1"/>
        <w:rPr>
          <w:rFonts w:ascii="Times New Roman"/>
          <w:color w:val="000000" w:themeColor="text1"/>
          <w:sz w:val="20"/>
          <w:szCs w:val="20"/>
          <w14:textFill>
            <w14:solidFill>
              <w14:schemeClr w14:val="tx1"/>
            </w14:solidFill>
          </w14:textFill>
        </w:rPr>
      </w:pPr>
      <w:bookmarkStart w:id="156" w:name="_Toc28397"/>
      <w:bookmarkStart w:id="157" w:name="_Toc14159"/>
      <w:bookmarkStart w:id="158" w:name="_Toc18119"/>
      <w:r>
        <w:rPr>
          <w:rFonts w:hint="eastAsia" w:ascii="黑体" w:hAnsi="黑体" w:eastAsia="黑体" w:cs="黑体"/>
          <w:color w:val="000000" w:themeColor="text1"/>
          <w:sz w:val="18"/>
          <w:szCs w:val="18"/>
          <w14:textFill>
            <w14:solidFill>
              <w14:schemeClr w14:val="tx1"/>
            </w14:solidFill>
          </w14:textFill>
        </w:rPr>
        <w:t>注：</w:t>
      </w:r>
      <w:r>
        <w:rPr>
          <w:rFonts w:hint="eastAsia" w:ascii="Times New Roman"/>
          <w:color w:val="000000" w:themeColor="text1"/>
          <w:sz w:val="18"/>
          <w:szCs w:val="18"/>
          <w14:textFill>
            <w14:solidFill>
              <w14:schemeClr w14:val="tx1"/>
            </w14:solidFill>
          </w14:textFill>
        </w:rPr>
        <w:t>代号与国标一致</w:t>
      </w:r>
    </w:p>
    <w:p w14:paraId="17C0440C">
      <w:pPr>
        <w:pStyle w:val="130"/>
        <w:numPr>
          <w:ilvl w:val="1"/>
          <w:numId w:val="20"/>
        </w:numPr>
        <w:spacing w:before="156" w:beforeLines="50"/>
        <w:outlineLvl w:val="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当使用环境改变，应根据承载能力</w:t>
      </w:r>
      <w:r>
        <w:rPr>
          <w:rFonts w:hint="eastAsia" w:ascii="Times New Roman"/>
          <w:color w:val="000000" w:themeColor="text1"/>
          <w14:textFill>
            <w14:solidFill>
              <w14:schemeClr w14:val="tx1"/>
            </w14:solidFill>
          </w14:textFill>
        </w:rPr>
        <w:t>要求</w:t>
      </w:r>
      <w:r>
        <w:rPr>
          <w:rFonts w:ascii="Times New Roman"/>
          <w:color w:val="000000" w:themeColor="text1"/>
          <w14:textFill>
            <w14:solidFill>
              <w14:schemeClr w14:val="tx1"/>
            </w14:solidFill>
          </w14:textFill>
        </w:rPr>
        <w:t>及时更换</w:t>
      </w:r>
      <w:r>
        <w:rPr>
          <w:rFonts w:hint="eastAsia" w:ascii="Times New Roman"/>
          <w:color w:val="000000" w:themeColor="text1"/>
          <w14:textFill>
            <w14:solidFill>
              <w14:schemeClr w14:val="tx1"/>
            </w14:solidFill>
          </w14:textFill>
        </w:rPr>
        <w:t>检查</w:t>
      </w:r>
      <w:r>
        <w:rPr>
          <w:rFonts w:ascii="Times New Roman"/>
          <w:color w:val="000000" w:themeColor="text1"/>
          <w14:textFill>
            <w14:solidFill>
              <w14:schemeClr w14:val="tx1"/>
            </w14:solidFill>
          </w14:textFill>
        </w:rPr>
        <w:t>井盖。</w:t>
      </w:r>
      <w:bookmarkEnd w:id="156"/>
      <w:bookmarkEnd w:id="157"/>
      <w:bookmarkEnd w:id="158"/>
    </w:p>
    <w:p w14:paraId="07253F38">
      <w:pPr>
        <w:pStyle w:val="130"/>
        <w:numPr>
          <w:ilvl w:val="1"/>
          <w:numId w:val="20"/>
        </w:numPr>
        <w:outlineLvl w:val="1"/>
        <w:rPr>
          <w:rFonts w:hAnsi="宋体" w:cs="宋体"/>
          <w:color w:val="000000" w:themeColor="text1"/>
          <w14:textFill>
            <w14:solidFill>
              <w14:schemeClr w14:val="tx1"/>
            </w14:solidFill>
          </w14:textFill>
        </w:rPr>
      </w:pPr>
      <w:bookmarkStart w:id="159" w:name="_Toc19828"/>
      <w:bookmarkStart w:id="160" w:name="_Toc8205"/>
      <w:bookmarkStart w:id="161" w:name="_Toc31906"/>
      <w:r>
        <w:rPr>
          <w:rFonts w:hint="eastAsia" w:hAnsi="宋体" w:cs="宋体"/>
          <w:color w:val="000000" w:themeColor="text1"/>
          <w14:textFill>
            <w14:solidFill>
              <w14:schemeClr w14:val="tx1"/>
            </w14:solidFill>
          </w14:textFill>
        </w:rPr>
        <w:t>检查井盖井座净开孔（co）与井盖直径（D）的对应关系应满足表2的要求。人孔井座净开孔不宜小于700mm。</w:t>
      </w:r>
      <w:bookmarkEnd w:id="159"/>
      <w:bookmarkEnd w:id="160"/>
      <w:bookmarkEnd w:id="161"/>
    </w:p>
    <w:p w14:paraId="30F64522">
      <w:pPr>
        <w:pStyle w:val="23"/>
        <w:autoSpaceDE/>
        <w:autoSpaceDN/>
        <w:spacing w:before="156" w:beforeLines="50"/>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表2  井座净开孔与井盖直径对应关系</w:t>
      </w:r>
    </w:p>
    <w:tbl>
      <w:tblPr>
        <w:tblStyle w:val="33"/>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12"/>
        <w:gridCol w:w="4565"/>
      </w:tblGrid>
      <w:tr w14:paraId="67C3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atLeast"/>
          <w:jc w:val="center"/>
        </w:trPr>
        <w:tc>
          <w:tcPr>
            <w:tcW w:w="4412" w:type="dxa"/>
            <w:vAlign w:val="center"/>
          </w:tcPr>
          <w:p w14:paraId="5686B208">
            <w:pPr>
              <w:jc w:val="center"/>
              <w:rPr>
                <w:rFonts w:ascii="宋体" w:hAnsi="宋体" w:cs="宋体"/>
                <w:sz w:val="18"/>
                <w:szCs w:val="18"/>
              </w:rPr>
            </w:pPr>
            <w:r>
              <w:rPr>
                <w:rFonts w:hint="eastAsia" w:ascii="宋体" w:hAnsi="宋体" w:cs="宋体"/>
                <w:color w:val="000000"/>
                <w:sz w:val="18"/>
                <w:szCs w:val="18"/>
              </w:rPr>
              <w:t>井座净开孔co（mm）</w:t>
            </w:r>
          </w:p>
        </w:tc>
        <w:tc>
          <w:tcPr>
            <w:tcW w:w="4565" w:type="dxa"/>
            <w:vAlign w:val="center"/>
          </w:tcPr>
          <w:p w14:paraId="4AF71FA6">
            <w:pPr>
              <w:jc w:val="center"/>
              <w:rPr>
                <w:rFonts w:ascii="宋体" w:hAnsi="宋体" w:cs="宋体"/>
                <w:sz w:val="18"/>
                <w:szCs w:val="18"/>
              </w:rPr>
            </w:pPr>
            <w:r>
              <w:rPr>
                <w:rFonts w:hint="eastAsia" w:ascii="宋体" w:hAnsi="宋体" w:cs="宋体"/>
                <w:color w:val="000000"/>
                <w:sz w:val="18"/>
                <w:szCs w:val="18"/>
              </w:rPr>
              <w:t>井盖直径D（mm）</w:t>
            </w:r>
          </w:p>
        </w:tc>
      </w:tr>
      <w:tr w14:paraId="635F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 w:hRule="atLeast"/>
          <w:jc w:val="center"/>
        </w:trPr>
        <w:tc>
          <w:tcPr>
            <w:tcW w:w="4412" w:type="dxa"/>
            <w:vAlign w:val="center"/>
          </w:tcPr>
          <w:p w14:paraId="76BC90FC">
            <w:pPr>
              <w:jc w:val="center"/>
              <w:rPr>
                <w:rFonts w:ascii="宋体" w:hAnsi="宋体" w:cs="宋体"/>
                <w:sz w:val="18"/>
                <w:szCs w:val="18"/>
              </w:rPr>
            </w:pPr>
            <w:r>
              <w:rPr>
                <w:rFonts w:hint="eastAsia" w:ascii="宋体" w:hAnsi="宋体" w:cs="宋体"/>
                <w:color w:val="000000"/>
                <w:sz w:val="18"/>
                <w:szCs w:val="18"/>
              </w:rPr>
              <w:t>co＜700</w:t>
            </w:r>
          </w:p>
        </w:tc>
        <w:tc>
          <w:tcPr>
            <w:tcW w:w="4565" w:type="dxa"/>
            <w:vAlign w:val="center"/>
          </w:tcPr>
          <w:p w14:paraId="6F9E5F71">
            <w:pPr>
              <w:spacing w:line="160" w:lineRule="exact"/>
              <w:jc w:val="center"/>
              <w:rPr>
                <w:rFonts w:ascii="宋体" w:hAnsi="宋体" w:cs="宋体"/>
                <w:sz w:val="18"/>
                <w:szCs w:val="18"/>
              </w:rPr>
            </w:pPr>
            <w:r>
              <w:rPr>
                <w:rFonts w:hint="eastAsia" w:ascii="宋体" w:hAnsi="宋体" w:cs="宋体"/>
                <w:color w:val="000000"/>
                <w:sz w:val="18"/>
                <w:szCs w:val="18"/>
              </w:rPr>
              <w:t>-</w:t>
            </w:r>
          </w:p>
        </w:tc>
      </w:tr>
      <w:tr w14:paraId="3A98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 w:hRule="atLeast"/>
          <w:jc w:val="center"/>
        </w:trPr>
        <w:tc>
          <w:tcPr>
            <w:tcW w:w="4412" w:type="dxa"/>
            <w:vAlign w:val="center"/>
          </w:tcPr>
          <w:p w14:paraId="39C2A97D">
            <w:pPr>
              <w:jc w:val="center"/>
              <w:rPr>
                <w:rFonts w:ascii="宋体" w:hAnsi="宋体" w:cs="宋体"/>
                <w:sz w:val="18"/>
                <w:szCs w:val="18"/>
              </w:rPr>
            </w:pPr>
            <w:r>
              <w:rPr>
                <w:rFonts w:hint="eastAsia" w:ascii="宋体" w:hAnsi="宋体" w:cs="宋体"/>
                <w:color w:val="000000"/>
                <w:sz w:val="18"/>
                <w:szCs w:val="18"/>
              </w:rPr>
              <w:t>co=700</w:t>
            </w:r>
          </w:p>
        </w:tc>
        <w:tc>
          <w:tcPr>
            <w:tcW w:w="4565" w:type="dxa"/>
            <w:vAlign w:val="center"/>
          </w:tcPr>
          <w:p w14:paraId="7AD27E3F">
            <w:pPr>
              <w:spacing w:line="240" w:lineRule="exact"/>
              <w:jc w:val="center"/>
              <w:rPr>
                <w:rFonts w:ascii="宋体" w:hAnsi="宋体" w:cs="宋体"/>
                <w:sz w:val="18"/>
                <w:szCs w:val="18"/>
              </w:rPr>
            </w:pPr>
            <w:r>
              <w:rPr>
                <w:rFonts w:hint="eastAsia" w:ascii="宋体" w:hAnsi="宋体" w:cs="宋体"/>
                <w:color w:val="000000"/>
                <w:sz w:val="18"/>
                <w:szCs w:val="18"/>
              </w:rPr>
              <w:t>760</w:t>
            </w:r>
          </w:p>
        </w:tc>
      </w:tr>
      <w:tr w14:paraId="55EA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 w:hRule="atLeast"/>
          <w:jc w:val="center"/>
        </w:trPr>
        <w:tc>
          <w:tcPr>
            <w:tcW w:w="4412" w:type="dxa"/>
            <w:vAlign w:val="center"/>
          </w:tcPr>
          <w:p w14:paraId="6442429A">
            <w:pPr>
              <w:jc w:val="center"/>
              <w:rPr>
                <w:rFonts w:ascii="宋体" w:hAnsi="宋体" w:cs="宋体"/>
                <w:sz w:val="18"/>
                <w:szCs w:val="18"/>
              </w:rPr>
            </w:pPr>
            <w:r>
              <w:rPr>
                <w:rFonts w:hint="eastAsia" w:ascii="宋体" w:hAnsi="宋体" w:cs="宋体"/>
                <w:color w:val="000000"/>
                <w:sz w:val="18"/>
                <w:szCs w:val="18"/>
              </w:rPr>
              <w:t>co=800</w:t>
            </w:r>
          </w:p>
        </w:tc>
        <w:tc>
          <w:tcPr>
            <w:tcW w:w="4565" w:type="dxa"/>
            <w:vAlign w:val="center"/>
          </w:tcPr>
          <w:p w14:paraId="6ACB1A75">
            <w:pPr>
              <w:spacing w:line="225" w:lineRule="exact"/>
              <w:jc w:val="center"/>
              <w:rPr>
                <w:rFonts w:ascii="宋体" w:hAnsi="宋体" w:cs="宋体"/>
                <w:sz w:val="18"/>
                <w:szCs w:val="18"/>
              </w:rPr>
            </w:pPr>
            <w:r>
              <w:rPr>
                <w:rFonts w:hint="eastAsia" w:ascii="宋体" w:hAnsi="宋体" w:cs="宋体"/>
                <w:color w:val="000000"/>
                <w:sz w:val="18"/>
                <w:szCs w:val="18"/>
              </w:rPr>
              <w:t>860</w:t>
            </w:r>
          </w:p>
        </w:tc>
      </w:tr>
      <w:tr w14:paraId="3C4A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 w:hRule="atLeast"/>
          <w:jc w:val="center"/>
        </w:trPr>
        <w:tc>
          <w:tcPr>
            <w:tcW w:w="4412" w:type="dxa"/>
            <w:vAlign w:val="center"/>
          </w:tcPr>
          <w:p w14:paraId="11AFB0E8">
            <w:pPr>
              <w:jc w:val="center"/>
              <w:rPr>
                <w:rFonts w:ascii="宋体" w:hAnsi="宋体" w:cs="宋体"/>
                <w:sz w:val="18"/>
                <w:szCs w:val="18"/>
              </w:rPr>
            </w:pPr>
            <w:r>
              <w:rPr>
                <w:rFonts w:hint="eastAsia" w:ascii="宋体" w:hAnsi="宋体" w:cs="宋体"/>
                <w:color w:val="000000"/>
                <w:sz w:val="18"/>
                <w:szCs w:val="18"/>
              </w:rPr>
              <w:t>co=900</w:t>
            </w:r>
          </w:p>
        </w:tc>
        <w:tc>
          <w:tcPr>
            <w:tcW w:w="4565" w:type="dxa"/>
            <w:vAlign w:val="center"/>
          </w:tcPr>
          <w:p w14:paraId="626075DB">
            <w:pPr>
              <w:spacing w:line="240" w:lineRule="exact"/>
              <w:jc w:val="center"/>
              <w:rPr>
                <w:rFonts w:ascii="宋体" w:hAnsi="宋体" w:cs="宋体"/>
                <w:sz w:val="18"/>
                <w:szCs w:val="18"/>
              </w:rPr>
            </w:pPr>
            <w:r>
              <w:rPr>
                <w:rFonts w:hint="eastAsia" w:ascii="宋体" w:hAnsi="宋体" w:cs="宋体"/>
                <w:color w:val="000000"/>
                <w:sz w:val="18"/>
                <w:szCs w:val="18"/>
              </w:rPr>
              <w:t>960</w:t>
            </w:r>
          </w:p>
        </w:tc>
      </w:tr>
    </w:tbl>
    <w:p w14:paraId="68AD070D">
      <w:pPr>
        <w:pStyle w:val="130"/>
        <w:numPr>
          <w:ilvl w:val="1"/>
          <w:numId w:val="20"/>
        </w:numPr>
        <w:spacing w:before="156" w:beforeLines="50"/>
        <w:outlineLvl w:val="1"/>
        <w:rPr>
          <w:rFonts w:hAnsi="宋体" w:cs="宋体"/>
          <w:color w:val="000000" w:themeColor="text1"/>
          <w14:textFill>
            <w14:solidFill>
              <w14:schemeClr w14:val="tx1"/>
            </w14:solidFill>
          </w14:textFill>
        </w:rPr>
      </w:pPr>
      <w:bookmarkStart w:id="162" w:name="_Toc13633"/>
      <w:bookmarkStart w:id="163" w:name="_Toc9750"/>
      <w:bookmarkStart w:id="164" w:name="_Toc25586"/>
      <w:r>
        <w:rPr>
          <w:rFonts w:hint="eastAsia" w:hAnsi="宋体" w:cs="宋体"/>
          <w:color w:val="000000" w:themeColor="text1"/>
          <w14:textFill>
            <w14:solidFill>
              <w14:schemeClr w14:val="tx1"/>
            </w14:solidFill>
          </w14:textFill>
        </w:rPr>
        <w:t>井盖承载能力测试应符合GB/T 23858的要求。井盖的允许残留变形值</w:t>
      </w:r>
      <w:r>
        <w:rPr>
          <w:rFonts w:hint="eastAsia" w:hAnsi="宋体" w:cs="宋体"/>
        </w:rPr>
        <w:t>宜</w:t>
      </w:r>
      <w:r>
        <w:rPr>
          <w:rFonts w:hint="eastAsia" w:hAnsi="宋体" w:cs="宋体"/>
          <w:color w:val="000000" w:themeColor="text1"/>
          <w14:textFill>
            <w14:solidFill>
              <w14:schemeClr w14:val="tx1"/>
            </w14:solidFill>
          </w14:textFill>
        </w:rPr>
        <w:t>符合表3的规定。</w:t>
      </w:r>
      <w:bookmarkEnd w:id="162"/>
      <w:bookmarkEnd w:id="163"/>
      <w:bookmarkEnd w:id="164"/>
      <w:r>
        <w:rPr>
          <w:rFonts w:hint="eastAsia" w:hAnsi="宋体" w:cs="宋体"/>
          <w:color w:val="000000" w:themeColor="text1"/>
          <w14:textFill>
            <w14:solidFill>
              <w14:schemeClr w14:val="tx1"/>
            </w14:solidFill>
          </w14:textFill>
        </w:rPr>
        <w:t>钢纤维混凝土井盖的裂缝宽度应小于0.2mm。</w:t>
      </w:r>
    </w:p>
    <w:p w14:paraId="67C867E7">
      <w:pPr>
        <w:pStyle w:val="23"/>
        <w:spacing w:before="156" w:beforeLines="50"/>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bidi="ar"/>
          <w14:textFill>
            <w14:solidFill>
              <w14:schemeClr w14:val="tx1"/>
            </w14:solidFill>
          </w14:textFill>
        </w:rPr>
        <w:t>表3  井盖允许残留变形值</w:t>
      </w:r>
    </w:p>
    <w:tbl>
      <w:tblPr>
        <w:tblStyle w:val="33"/>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324"/>
        <w:gridCol w:w="1646"/>
        <w:gridCol w:w="917"/>
        <w:gridCol w:w="1157"/>
        <w:gridCol w:w="1335"/>
      </w:tblGrid>
      <w:tr w14:paraId="0168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 w:hRule="atLeast"/>
        </w:trPr>
        <w:tc>
          <w:tcPr>
            <w:tcW w:w="4324" w:type="dxa"/>
            <w:vAlign w:val="center"/>
          </w:tcPr>
          <w:p w14:paraId="016F3994">
            <w:pPr>
              <w:spacing w:line="291" w:lineRule="exact"/>
              <w:jc w:val="center"/>
              <w:rPr>
                <w:rFonts w:ascii="宋体" w:hAnsi="宋体" w:cs="宋体"/>
                <w:sz w:val="18"/>
                <w:szCs w:val="18"/>
              </w:rPr>
            </w:pPr>
            <w:r>
              <w:rPr>
                <w:rFonts w:hint="eastAsia" w:ascii="宋体" w:hAnsi="宋体" w:cs="宋体"/>
                <w:color w:val="000000"/>
                <w:sz w:val="18"/>
                <w:szCs w:val="18"/>
              </w:rPr>
              <w:t>井盖材性</w:t>
            </w:r>
          </w:p>
        </w:tc>
        <w:tc>
          <w:tcPr>
            <w:tcW w:w="5055" w:type="dxa"/>
            <w:gridSpan w:val="4"/>
            <w:vAlign w:val="center"/>
          </w:tcPr>
          <w:p w14:paraId="7C5E107D">
            <w:pPr>
              <w:spacing w:line="272" w:lineRule="exact"/>
              <w:jc w:val="center"/>
              <w:rPr>
                <w:rFonts w:ascii="宋体" w:hAnsi="宋体" w:cs="宋体"/>
                <w:sz w:val="18"/>
                <w:szCs w:val="18"/>
              </w:rPr>
            </w:pPr>
            <w:r>
              <w:rPr>
                <w:rFonts w:hint="eastAsia" w:ascii="宋体" w:hAnsi="宋体" w:cs="宋体"/>
                <w:color w:val="000000"/>
                <w:sz w:val="18"/>
                <w:szCs w:val="18"/>
              </w:rPr>
              <w:t>要求</w:t>
            </w:r>
          </w:p>
        </w:tc>
      </w:tr>
      <w:tr w14:paraId="6367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 w:hRule="atLeast"/>
        </w:trPr>
        <w:tc>
          <w:tcPr>
            <w:tcW w:w="4324" w:type="dxa"/>
            <w:vMerge w:val="restart"/>
            <w:vAlign w:val="center"/>
          </w:tcPr>
          <w:p w14:paraId="09D7BA9B">
            <w:pPr>
              <w:spacing w:line="291" w:lineRule="exact"/>
              <w:jc w:val="center"/>
              <w:rPr>
                <w:rFonts w:ascii="宋体" w:hAnsi="宋体" w:cs="宋体"/>
                <w:sz w:val="18"/>
                <w:szCs w:val="18"/>
              </w:rPr>
            </w:pPr>
            <w:r>
              <w:rPr>
                <w:rFonts w:hint="eastAsia" w:ascii="宋体" w:hAnsi="宋体" w:cs="宋体"/>
                <w:color w:val="000000"/>
                <w:sz w:val="18"/>
                <w:szCs w:val="18"/>
              </w:rPr>
              <w:t>金属井盖</w:t>
            </w:r>
          </w:p>
        </w:tc>
        <w:tc>
          <w:tcPr>
            <w:tcW w:w="1646" w:type="dxa"/>
            <w:vAlign w:val="center"/>
          </w:tcPr>
          <w:p w14:paraId="6EC0948E">
            <w:pPr>
              <w:spacing w:line="291" w:lineRule="exact"/>
              <w:jc w:val="center"/>
              <w:rPr>
                <w:rFonts w:ascii="宋体" w:hAnsi="宋体" w:cs="宋体"/>
                <w:sz w:val="18"/>
                <w:szCs w:val="18"/>
              </w:rPr>
            </w:pPr>
            <w:r>
              <w:rPr>
                <w:rFonts w:hint="eastAsia" w:ascii="宋体" w:hAnsi="宋体" w:cs="宋体"/>
                <w:color w:val="000000"/>
                <w:sz w:val="18"/>
                <w:szCs w:val="18"/>
              </w:rPr>
              <w:t>级别</w:t>
            </w:r>
          </w:p>
        </w:tc>
        <w:tc>
          <w:tcPr>
            <w:tcW w:w="3409" w:type="dxa"/>
            <w:gridSpan w:val="3"/>
            <w:vAlign w:val="center"/>
          </w:tcPr>
          <w:p w14:paraId="66BDB47B">
            <w:pPr>
              <w:spacing w:line="269" w:lineRule="exact"/>
              <w:ind w:firstLine="180" w:firstLineChars="100"/>
              <w:jc w:val="left"/>
              <w:rPr>
                <w:rFonts w:ascii="宋体" w:hAnsi="宋体" w:cs="宋体"/>
                <w:sz w:val="18"/>
                <w:szCs w:val="18"/>
              </w:rPr>
            </w:pPr>
            <w:r>
              <w:rPr>
                <w:rFonts w:hint="eastAsia" w:ascii="宋体" w:hAnsi="宋体" w:cs="宋体"/>
                <w:color w:val="000000"/>
                <w:sz w:val="18"/>
                <w:szCs w:val="18"/>
              </w:rPr>
              <w:t>允许的残留变形</w:t>
            </w:r>
          </w:p>
        </w:tc>
      </w:tr>
      <w:tr w14:paraId="69D2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0" w:hRule="atLeast"/>
        </w:trPr>
        <w:tc>
          <w:tcPr>
            <w:tcW w:w="4324" w:type="dxa"/>
            <w:vMerge w:val="continue"/>
          </w:tcPr>
          <w:p w14:paraId="6545E8A9">
            <w:pPr>
              <w:rPr>
                <w:rFonts w:ascii="宋体" w:hAnsi="宋体" w:cs="宋体"/>
                <w:sz w:val="18"/>
                <w:szCs w:val="18"/>
              </w:rPr>
            </w:pPr>
          </w:p>
        </w:tc>
        <w:tc>
          <w:tcPr>
            <w:tcW w:w="1646" w:type="dxa"/>
            <w:vAlign w:val="center"/>
          </w:tcPr>
          <w:p w14:paraId="584FCBE0">
            <w:pPr>
              <w:spacing w:line="288" w:lineRule="exact"/>
              <w:jc w:val="center"/>
              <w:rPr>
                <w:rFonts w:ascii="宋体" w:hAnsi="宋体" w:cs="宋体"/>
                <w:sz w:val="18"/>
                <w:szCs w:val="18"/>
              </w:rPr>
            </w:pPr>
            <w:r>
              <w:rPr>
                <w:rFonts w:hint="eastAsia" w:ascii="宋体" w:hAnsi="宋体" w:cs="宋体"/>
                <w:color w:val="000000"/>
                <w:sz w:val="18"/>
                <w:szCs w:val="18"/>
              </w:rPr>
              <w:t>B125</w:t>
            </w:r>
          </w:p>
        </w:tc>
        <w:tc>
          <w:tcPr>
            <w:tcW w:w="3409" w:type="dxa"/>
            <w:gridSpan w:val="3"/>
            <w:vAlign w:val="center"/>
          </w:tcPr>
          <w:p w14:paraId="2E76E310">
            <w:pPr>
              <w:spacing w:line="283" w:lineRule="exact"/>
              <w:ind w:firstLine="180" w:firstLineChars="100"/>
              <w:jc w:val="left"/>
              <w:rPr>
                <w:rFonts w:ascii="宋体" w:hAnsi="宋体" w:cs="宋体"/>
                <w:color w:val="000000"/>
                <w:sz w:val="18"/>
                <w:szCs w:val="18"/>
              </w:rPr>
            </w:pPr>
            <w:r>
              <w:rPr>
                <w:rFonts w:hint="eastAsia" w:ascii="宋体" w:hAnsi="宋体" w:cs="宋体"/>
                <w:color w:val="000000"/>
                <w:sz w:val="18"/>
                <w:szCs w:val="18"/>
              </w:rPr>
              <w:t>co≥700mm时为co／100</w:t>
            </w:r>
          </w:p>
          <w:p w14:paraId="53E10FFF">
            <w:pPr>
              <w:spacing w:line="283" w:lineRule="exact"/>
              <w:ind w:firstLine="180" w:firstLineChars="100"/>
              <w:jc w:val="left"/>
              <w:rPr>
                <w:rFonts w:ascii="宋体" w:hAnsi="宋体" w:cs="宋体"/>
                <w:color w:val="000000"/>
                <w:sz w:val="18"/>
                <w:szCs w:val="18"/>
              </w:rPr>
            </w:pPr>
            <w:r>
              <w:rPr>
                <w:rFonts w:hint="eastAsia" w:ascii="宋体" w:hAnsi="宋体" w:cs="宋体"/>
                <w:color w:val="000000"/>
                <w:sz w:val="18"/>
                <w:szCs w:val="18"/>
              </w:rPr>
              <w:t>co＜700mm时不应出现影响使用功能的损坏</w:t>
            </w:r>
          </w:p>
        </w:tc>
      </w:tr>
      <w:tr w14:paraId="04BC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2" w:hRule="atLeast"/>
        </w:trPr>
        <w:tc>
          <w:tcPr>
            <w:tcW w:w="4324" w:type="dxa"/>
            <w:vMerge w:val="continue"/>
          </w:tcPr>
          <w:p w14:paraId="4DB7E307">
            <w:pPr>
              <w:rPr>
                <w:rFonts w:ascii="宋体" w:hAnsi="宋体" w:cs="宋体"/>
                <w:sz w:val="18"/>
                <w:szCs w:val="18"/>
              </w:rPr>
            </w:pPr>
          </w:p>
        </w:tc>
        <w:tc>
          <w:tcPr>
            <w:tcW w:w="1646" w:type="dxa"/>
            <w:vMerge w:val="restart"/>
            <w:vAlign w:val="center"/>
          </w:tcPr>
          <w:p w14:paraId="4B8FBB17">
            <w:pPr>
              <w:spacing w:line="288" w:lineRule="exact"/>
              <w:jc w:val="center"/>
              <w:rPr>
                <w:rFonts w:ascii="宋体" w:hAnsi="宋体" w:cs="宋体"/>
                <w:sz w:val="18"/>
                <w:szCs w:val="18"/>
              </w:rPr>
            </w:pPr>
            <w:r>
              <w:rPr>
                <w:rFonts w:hint="eastAsia" w:ascii="宋体" w:hAnsi="宋体" w:cs="宋体"/>
                <w:color w:val="000000"/>
                <w:sz w:val="18"/>
                <w:szCs w:val="18"/>
              </w:rPr>
              <w:t>C250到F900</w:t>
            </w:r>
            <w:r>
              <w:rPr>
                <w:rFonts w:hint="eastAsia" w:ascii="宋体" w:hAnsi="宋体" w:cs="宋体"/>
                <w:color w:val="000000"/>
                <w:sz w:val="18"/>
                <w:szCs w:val="18"/>
                <w:vertAlign w:val="superscript"/>
              </w:rPr>
              <w:t>a</w:t>
            </w:r>
          </w:p>
        </w:tc>
        <w:tc>
          <w:tcPr>
            <w:tcW w:w="917" w:type="dxa"/>
            <w:vAlign w:val="center"/>
          </w:tcPr>
          <w:p w14:paraId="576B531E">
            <w:pPr>
              <w:jc w:val="center"/>
              <w:rPr>
                <w:rFonts w:ascii="宋体" w:hAnsi="宋体" w:cs="宋体"/>
                <w:sz w:val="18"/>
                <w:szCs w:val="18"/>
              </w:rPr>
            </w:pPr>
          </w:p>
        </w:tc>
        <w:tc>
          <w:tcPr>
            <w:tcW w:w="1157" w:type="dxa"/>
            <w:vAlign w:val="center"/>
          </w:tcPr>
          <w:p w14:paraId="46D48AFE">
            <w:pPr>
              <w:spacing w:line="288" w:lineRule="exact"/>
              <w:jc w:val="center"/>
              <w:rPr>
                <w:rFonts w:ascii="宋体" w:hAnsi="宋体" w:cs="宋体"/>
                <w:sz w:val="18"/>
                <w:szCs w:val="18"/>
              </w:rPr>
            </w:pPr>
            <w:r>
              <w:rPr>
                <w:rFonts w:hint="eastAsia" w:ascii="宋体" w:hAnsi="宋体" w:cs="宋体"/>
                <w:color w:val="000000"/>
                <w:sz w:val="18"/>
                <w:szCs w:val="18"/>
              </w:rPr>
              <w:t>co≤700mm</w:t>
            </w:r>
          </w:p>
        </w:tc>
        <w:tc>
          <w:tcPr>
            <w:tcW w:w="1335" w:type="dxa"/>
            <w:vAlign w:val="center"/>
          </w:tcPr>
          <w:p w14:paraId="09962CFE">
            <w:pPr>
              <w:spacing w:line="291" w:lineRule="exact"/>
              <w:jc w:val="center"/>
              <w:rPr>
                <w:rFonts w:ascii="宋体" w:hAnsi="宋体" w:cs="宋体"/>
                <w:sz w:val="18"/>
                <w:szCs w:val="18"/>
              </w:rPr>
            </w:pPr>
            <w:r>
              <w:rPr>
                <w:rFonts w:hint="eastAsia" w:ascii="宋体" w:hAnsi="宋体" w:cs="宋体"/>
                <w:color w:val="000000"/>
                <w:sz w:val="18"/>
                <w:szCs w:val="18"/>
              </w:rPr>
              <w:t>co&gt;700mm</w:t>
            </w:r>
          </w:p>
        </w:tc>
      </w:tr>
      <w:tr w14:paraId="2638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 w:hRule="atLeast"/>
        </w:trPr>
        <w:tc>
          <w:tcPr>
            <w:tcW w:w="4324" w:type="dxa"/>
            <w:vMerge w:val="continue"/>
          </w:tcPr>
          <w:p w14:paraId="178A03AD">
            <w:pPr>
              <w:rPr>
                <w:rFonts w:ascii="宋体" w:hAnsi="宋体" w:cs="宋体"/>
                <w:sz w:val="18"/>
                <w:szCs w:val="18"/>
              </w:rPr>
            </w:pPr>
          </w:p>
        </w:tc>
        <w:tc>
          <w:tcPr>
            <w:tcW w:w="1646" w:type="dxa"/>
            <w:vMerge w:val="continue"/>
          </w:tcPr>
          <w:p w14:paraId="7E2A653D">
            <w:pPr>
              <w:jc w:val="center"/>
              <w:rPr>
                <w:rFonts w:ascii="宋体" w:hAnsi="宋体" w:cs="宋体"/>
                <w:sz w:val="18"/>
                <w:szCs w:val="18"/>
              </w:rPr>
            </w:pPr>
          </w:p>
        </w:tc>
        <w:tc>
          <w:tcPr>
            <w:tcW w:w="917" w:type="dxa"/>
            <w:vAlign w:val="center"/>
          </w:tcPr>
          <w:p w14:paraId="758CDF81">
            <w:pPr>
              <w:jc w:val="center"/>
              <w:rPr>
                <w:rFonts w:ascii="宋体" w:hAnsi="宋体" w:cs="宋体"/>
                <w:sz w:val="18"/>
                <w:szCs w:val="18"/>
              </w:rPr>
            </w:pPr>
            <w:r>
              <w:rPr>
                <w:rFonts w:hint="eastAsia" w:ascii="宋体" w:hAnsi="宋体" w:cs="宋体"/>
                <w:color w:val="000000"/>
                <w:sz w:val="18"/>
                <w:szCs w:val="18"/>
              </w:rPr>
              <w:t>（1）</w:t>
            </w:r>
          </w:p>
        </w:tc>
        <w:tc>
          <w:tcPr>
            <w:tcW w:w="1157" w:type="dxa"/>
            <w:vAlign w:val="center"/>
          </w:tcPr>
          <w:p w14:paraId="3289747A">
            <w:pPr>
              <w:spacing w:line="272" w:lineRule="exact"/>
              <w:jc w:val="center"/>
              <w:rPr>
                <w:rFonts w:ascii="宋体" w:hAnsi="宋体" w:cs="宋体"/>
                <w:sz w:val="18"/>
                <w:szCs w:val="18"/>
              </w:rPr>
            </w:pPr>
            <w:r>
              <w:rPr>
                <w:rFonts w:hint="eastAsia" w:ascii="宋体" w:hAnsi="宋体" w:cs="宋体"/>
                <w:color w:val="000000"/>
                <w:sz w:val="18"/>
                <w:szCs w:val="18"/>
              </w:rPr>
              <w:t>2mm</w:t>
            </w:r>
          </w:p>
        </w:tc>
        <w:tc>
          <w:tcPr>
            <w:tcW w:w="1335" w:type="dxa"/>
            <w:vAlign w:val="center"/>
          </w:tcPr>
          <w:p w14:paraId="7C49B8FC">
            <w:pPr>
              <w:spacing w:line="272" w:lineRule="exact"/>
              <w:jc w:val="center"/>
              <w:rPr>
                <w:rFonts w:ascii="宋体" w:hAnsi="宋体" w:cs="宋体"/>
                <w:sz w:val="18"/>
                <w:szCs w:val="18"/>
              </w:rPr>
            </w:pPr>
            <w:r>
              <w:rPr>
                <w:rFonts w:hint="eastAsia" w:ascii="宋体" w:hAnsi="宋体" w:cs="宋体"/>
                <w:color w:val="000000"/>
                <w:sz w:val="18"/>
                <w:szCs w:val="18"/>
              </w:rPr>
              <w:t>3mm</w:t>
            </w:r>
          </w:p>
        </w:tc>
      </w:tr>
      <w:tr w14:paraId="6F50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4324" w:type="dxa"/>
            <w:vMerge w:val="continue"/>
          </w:tcPr>
          <w:p w14:paraId="4268F5B9">
            <w:pPr>
              <w:rPr>
                <w:rFonts w:ascii="宋体" w:hAnsi="宋体" w:cs="宋体"/>
                <w:sz w:val="18"/>
                <w:szCs w:val="18"/>
              </w:rPr>
            </w:pPr>
          </w:p>
        </w:tc>
        <w:tc>
          <w:tcPr>
            <w:tcW w:w="1646" w:type="dxa"/>
            <w:vMerge w:val="continue"/>
          </w:tcPr>
          <w:p w14:paraId="02941F02">
            <w:pPr>
              <w:jc w:val="center"/>
              <w:rPr>
                <w:rFonts w:ascii="宋体" w:hAnsi="宋体" w:cs="宋体"/>
                <w:sz w:val="18"/>
                <w:szCs w:val="18"/>
              </w:rPr>
            </w:pPr>
          </w:p>
        </w:tc>
        <w:tc>
          <w:tcPr>
            <w:tcW w:w="917" w:type="dxa"/>
            <w:vAlign w:val="center"/>
          </w:tcPr>
          <w:p w14:paraId="10E6FB4D">
            <w:pPr>
              <w:spacing w:line="291" w:lineRule="exact"/>
              <w:jc w:val="center"/>
              <w:rPr>
                <w:rFonts w:ascii="宋体" w:hAnsi="宋体" w:cs="宋体"/>
                <w:sz w:val="18"/>
                <w:szCs w:val="18"/>
              </w:rPr>
            </w:pPr>
            <w:r>
              <w:rPr>
                <w:rFonts w:hint="eastAsia" w:ascii="宋体" w:hAnsi="宋体" w:cs="宋体"/>
                <w:color w:val="000000"/>
                <w:sz w:val="18"/>
                <w:szCs w:val="18"/>
              </w:rPr>
              <w:t>（2）</w:t>
            </w:r>
          </w:p>
        </w:tc>
        <w:tc>
          <w:tcPr>
            <w:tcW w:w="1157" w:type="dxa"/>
            <w:vAlign w:val="center"/>
          </w:tcPr>
          <w:p w14:paraId="501CBA91">
            <w:pPr>
              <w:spacing w:line="254" w:lineRule="exact"/>
              <w:jc w:val="center"/>
              <w:rPr>
                <w:rFonts w:ascii="宋体" w:hAnsi="宋体" w:cs="宋体"/>
                <w:sz w:val="18"/>
                <w:szCs w:val="18"/>
              </w:rPr>
            </w:pPr>
            <w:r>
              <w:rPr>
                <w:rFonts w:hint="eastAsia" w:ascii="宋体" w:hAnsi="宋体" w:cs="宋体"/>
                <w:color w:val="000000"/>
                <w:sz w:val="18"/>
                <w:szCs w:val="18"/>
              </w:rPr>
              <w:t>1mm</w:t>
            </w:r>
          </w:p>
        </w:tc>
        <w:tc>
          <w:tcPr>
            <w:tcW w:w="1335" w:type="dxa"/>
            <w:vAlign w:val="center"/>
          </w:tcPr>
          <w:p w14:paraId="03CF79A2">
            <w:pPr>
              <w:spacing w:line="272" w:lineRule="exact"/>
              <w:jc w:val="center"/>
              <w:rPr>
                <w:rFonts w:ascii="宋体" w:hAnsi="宋体" w:cs="宋体"/>
                <w:sz w:val="18"/>
                <w:szCs w:val="18"/>
              </w:rPr>
            </w:pPr>
            <w:r>
              <w:rPr>
                <w:rFonts w:hint="eastAsia" w:ascii="宋体" w:hAnsi="宋体" w:cs="宋体"/>
                <w:color w:val="000000"/>
                <w:sz w:val="18"/>
                <w:szCs w:val="18"/>
              </w:rPr>
              <w:t>2mm</w:t>
            </w:r>
          </w:p>
        </w:tc>
      </w:tr>
      <w:tr w14:paraId="4EE8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6" w:hRule="atLeast"/>
        </w:trPr>
        <w:tc>
          <w:tcPr>
            <w:tcW w:w="4324" w:type="dxa"/>
          </w:tcPr>
          <w:p w14:paraId="29824929">
            <w:pPr>
              <w:spacing w:before="12" w:line="342" w:lineRule="exact"/>
              <w:ind w:left="199" w:leftChars="95"/>
              <w:rPr>
                <w:rFonts w:ascii="宋体" w:hAnsi="宋体" w:cs="宋体"/>
                <w:sz w:val="18"/>
                <w:szCs w:val="18"/>
              </w:rPr>
            </w:pPr>
            <w:r>
              <w:rPr>
                <w:rFonts w:hint="eastAsia" w:ascii="宋体" w:hAnsi="宋体" w:cs="宋体"/>
                <w:color w:val="000000"/>
                <w:sz w:val="18"/>
                <w:szCs w:val="18"/>
              </w:rPr>
              <w:t>聚合物基复合材料井盖、玻璃纤维增强塑料复合井盖及再生树脂复合材料井盖</w:t>
            </w:r>
          </w:p>
        </w:tc>
        <w:tc>
          <w:tcPr>
            <w:tcW w:w="5055" w:type="dxa"/>
            <w:gridSpan w:val="4"/>
            <w:vAlign w:val="center"/>
          </w:tcPr>
          <w:p w14:paraId="67EED8CD">
            <w:pPr>
              <w:spacing w:line="288" w:lineRule="exact"/>
              <w:ind w:firstLine="180" w:firstLineChars="100"/>
              <w:jc w:val="left"/>
              <w:rPr>
                <w:rFonts w:ascii="宋体" w:hAnsi="宋体" w:cs="宋体"/>
                <w:sz w:val="18"/>
                <w:szCs w:val="18"/>
              </w:rPr>
            </w:pPr>
            <w:r>
              <w:rPr>
                <w:rFonts w:hint="eastAsia" w:ascii="宋体" w:hAnsi="宋体" w:cs="宋体"/>
                <w:color w:val="000000"/>
                <w:sz w:val="18"/>
                <w:szCs w:val="18"/>
              </w:rPr>
              <w:t>co/500</w:t>
            </w:r>
          </w:p>
        </w:tc>
      </w:tr>
      <w:tr w14:paraId="7661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1" w:hRule="atLeast"/>
        </w:trPr>
        <w:tc>
          <w:tcPr>
            <w:tcW w:w="9379" w:type="dxa"/>
            <w:gridSpan w:val="5"/>
            <w:vAlign w:val="center"/>
          </w:tcPr>
          <w:p w14:paraId="320A7619">
            <w:pPr>
              <w:spacing w:line="285" w:lineRule="exact"/>
              <w:ind w:firstLine="180" w:firstLineChars="100"/>
              <w:jc w:val="left"/>
              <w:rPr>
                <w:rFonts w:ascii="宋体" w:hAnsi="宋体" w:cs="宋体"/>
                <w:sz w:val="18"/>
                <w:szCs w:val="18"/>
              </w:rPr>
            </w:pPr>
            <w:r>
              <w:rPr>
                <w:rFonts w:hint="eastAsia" w:ascii="宋体" w:hAnsi="宋体" w:cs="宋体"/>
                <w:color w:val="000000"/>
                <w:sz w:val="18"/>
                <w:szCs w:val="18"/>
                <w:vertAlign w:val="superscript"/>
              </w:rPr>
              <w:t>a</w:t>
            </w:r>
            <w:r>
              <w:rPr>
                <w:rFonts w:hint="eastAsia" w:ascii="宋体" w:hAnsi="宋体" w:cs="宋体"/>
                <w:color w:val="000000"/>
                <w:sz w:val="18"/>
                <w:szCs w:val="18"/>
              </w:rPr>
              <w:t>当采用锁定装置或特殊设计的安全措施时采用（1）；当仅依靠产品重量保障安全时采用（2）。</w:t>
            </w:r>
          </w:p>
        </w:tc>
      </w:tr>
    </w:tbl>
    <w:p w14:paraId="1B5B3B03">
      <w:pPr>
        <w:pStyle w:val="130"/>
        <w:numPr>
          <w:ilvl w:val="1"/>
          <w:numId w:val="20"/>
        </w:numPr>
        <w:spacing w:before="156" w:beforeLines="50"/>
        <w:outlineLvl w:val="1"/>
        <w:rPr>
          <w:rFonts w:hAnsi="宋体" w:cs="宋体"/>
          <w:color w:val="000000" w:themeColor="text1"/>
          <w14:textFill>
            <w14:solidFill>
              <w14:schemeClr w14:val="tx1"/>
            </w14:solidFill>
          </w14:textFill>
        </w:rPr>
      </w:pPr>
      <w:bookmarkStart w:id="165" w:name="_Toc16538"/>
      <w:bookmarkStart w:id="166" w:name="_Toc2532"/>
      <w:bookmarkStart w:id="167" w:name="_Toc4171"/>
      <w:r>
        <w:rPr>
          <w:rFonts w:hint="eastAsia" w:hAnsi="宋体" w:cs="宋体"/>
          <w:color w:val="000000" w:themeColor="text1"/>
          <w14:textFill>
            <w14:solidFill>
              <w14:schemeClr w14:val="tx1"/>
            </w14:solidFill>
          </w14:textFill>
        </w:rPr>
        <w:t>井盖与井座应采用同一材质材料制作，并应具有较好的耐腐蚀性能或做防腐处理。</w:t>
      </w:r>
      <w:bookmarkEnd w:id="165"/>
      <w:bookmarkEnd w:id="166"/>
      <w:bookmarkEnd w:id="167"/>
    </w:p>
    <w:p w14:paraId="78C0AC3C">
      <w:pPr>
        <w:pStyle w:val="130"/>
        <w:numPr>
          <w:ilvl w:val="1"/>
          <w:numId w:val="20"/>
        </w:numPr>
        <w:outlineLvl w:val="1"/>
        <w:rPr>
          <w:rFonts w:hAnsi="宋体" w:cs="宋体"/>
          <w:color w:val="000000" w:themeColor="text1"/>
          <w14:textFill>
            <w14:solidFill>
              <w14:schemeClr w14:val="tx1"/>
            </w14:solidFill>
          </w14:textFill>
        </w:rPr>
      </w:pPr>
      <w:bookmarkStart w:id="168" w:name="_Toc11047"/>
      <w:bookmarkStart w:id="169" w:name="_Toc12265"/>
      <w:bookmarkStart w:id="170" w:name="_Toc21607"/>
      <w:r>
        <w:rPr>
          <w:rFonts w:hint="eastAsia" w:hAnsi="宋体" w:cs="宋体"/>
          <w:color w:val="000000" w:themeColor="text1"/>
          <w14:textFill>
            <w14:solidFill>
              <w14:schemeClr w14:val="tx1"/>
            </w14:solidFill>
          </w14:textFill>
        </w:rPr>
        <w:t>双层井盖的子盖宜采用聚合物基复合材料制造，其承载能力应不小于50kN。</w:t>
      </w:r>
      <w:bookmarkEnd w:id="168"/>
      <w:bookmarkEnd w:id="169"/>
      <w:bookmarkEnd w:id="170"/>
    </w:p>
    <w:p w14:paraId="74F16821">
      <w:pPr>
        <w:pStyle w:val="130"/>
        <w:numPr>
          <w:ilvl w:val="1"/>
          <w:numId w:val="20"/>
        </w:numPr>
        <w:outlineLvl w:val="1"/>
        <w:rPr>
          <w:rFonts w:hAnsi="宋体" w:cs="宋体"/>
          <w:color w:val="000000" w:themeColor="text1"/>
          <w14:textFill>
            <w14:solidFill>
              <w14:schemeClr w14:val="tx1"/>
            </w14:solidFill>
          </w14:textFill>
        </w:rPr>
      </w:pPr>
      <w:bookmarkStart w:id="171" w:name="_Toc1825"/>
      <w:bookmarkStart w:id="172" w:name="_Toc4862"/>
      <w:bookmarkStart w:id="173" w:name="_Toc22744"/>
      <w:r>
        <w:rPr>
          <w:rFonts w:hint="eastAsia" w:hAnsi="宋体" w:cs="宋体"/>
          <w:color w:val="000000" w:themeColor="text1"/>
          <w14:textFill>
            <w14:solidFill>
              <w14:schemeClr w14:val="tx1"/>
            </w14:solidFill>
          </w14:textFill>
        </w:rPr>
        <w:t>井盖表面应有标志，并符合以下要求：</w:t>
      </w:r>
      <w:bookmarkEnd w:id="171"/>
      <w:bookmarkEnd w:id="172"/>
      <w:bookmarkEnd w:id="173"/>
    </w:p>
    <w:p w14:paraId="4E8CDF64">
      <w:pPr>
        <w:pStyle w:val="23"/>
        <w:numPr>
          <w:ilvl w:val="0"/>
          <w:numId w:val="21"/>
        </w:numPr>
        <w:ind w:left="945" w:leftChars="200" w:hanging="525" w:hangingChars="250"/>
        <w:rPr>
          <w:rFonts w:hAnsi="宋体" w:cs="宋体"/>
        </w:rPr>
      </w:pPr>
      <w:r>
        <w:rPr>
          <w:rFonts w:hint="eastAsia" w:hAnsi="宋体" w:cs="宋体"/>
        </w:rPr>
        <w:t xml:space="preserve"> 标志至少包含产权单位或市政设施供应管理单位名称、功能字符、生产厂商（商标）、荷载等级、井盖直径与生产年份等信息；</w:t>
      </w:r>
    </w:p>
    <w:p w14:paraId="5DAAB730">
      <w:pPr>
        <w:pStyle w:val="23"/>
        <w:numPr>
          <w:ilvl w:val="0"/>
          <w:numId w:val="21"/>
        </w:numPr>
        <w:ind w:left="945" w:leftChars="200" w:hanging="525" w:hangingChars="250"/>
        <w:rPr>
          <w:rFonts w:hAnsi="宋体" w:cs="宋体"/>
        </w:rPr>
      </w:pPr>
      <w:r>
        <w:rPr>
          <w:rFonts w:hint="eastAsia" w:hAnsi="宋体" w:cs="宋体"/>
        </w:rPr>
        <w:t xml:space="preserve"> 在适宜的位置设置开启点标志；</w:t>
      </w:r>
    </w:p>
    <w:p w14:paraId="52A984CF">
      <w:pPr>
        <w:pStyle w:val="23"/>
        <w:numPr>
          <w:ilvl w:val="0"/>
          <w:numId w:val="21"/>
        </w:numPr>
        <w:ind w:left="945" w:leftChars="200" w:hanging="525" w:hangingChars="250"/>
        <w:rPr>
          <w:rFonts w:hAnsi="宋体" w:cs="宋体"/>
        </w:rPr>
      </w:pPr>
      <w:r>
        <w:rPr>
          <w:rFonts w:hint="eastAsia" w:hAnsi="宋体" w:cs="宋体"/>
        </w:rPr>
        <w:t xml:space="preserve"> 标志应铸造或压印清晰。</w:t>
      </w:r>
    </w:p>
    <w:p w14:paraId="02F8B542">
      <w:pPr>
        <w:pStyle w:val="130"/>
        <w:numPr>
          <w:ilvl w:val="1"/>
          <w:numId w:val="20"/>
        </w:numPr>
        <w:outlineLvl w:val="1"/>
        <w:rPr>
          <w:rFonts w:hAnsi="宋体" w:cs="宋体"/>
          <w:color w:val="000000" w:themeColor="text1"/>
          <w14:textFill>
            <w14:solidFill>
              <w14:schemeClr w14:val="tx1"/>
            </w14:solidFill>
          </w14:textFill>
        </w:rPr>
      </w:pPr>
      <w:bookmarkStart w:id="174" w:name="_Toc24333"/>
      <w:bookmarkStart w:id="175" w:name="_Toc10217"/>
      <w:bookmarkStart w:id="176" w:name="_Toc18903"/>
      <w:r>
        <w:rPr>
          <w:rFonts w:hint="eastAsia" w:hAnsi="宋体" w:cs="宋体"/>
          <w:color w:val="000000" w:themeColor="text1"/>
          <w14:textFill>
            <w14:solidFill>
              <w14:schemeClr w14:val="tx1"/>
            </w14:solidFill>
          </w14:textFill>
        </w:rPr>
        <w:t>当检查井盖采用智能井盖时，应符合GB/T 41401的</w:t>
      </w:r>
      <w:bookmarkEnd w:id="174"/>
      <w:r>
        <w:rPr>
          <w:rFonts w:hint="eastAsia" w:hAnsi="宋体" w:cs="宋体"/>
          <w:color w:val="000000" w:themeColor="text1"/>
          <w14:textFill>
            <w14:solidFill>
              <w14:schemeClr w14:val="tx1"/>
            </w14:solidFill>
          </w14:textFill>
        </w:rPr>
        <w:t>要求。</w:t>
      </w:r>
      <w:bookmarkEnd w:id="175"/>
    </w:p>
    <w:p w14:paraId="07C3B840">
      <w:pPr>
        <w:pStyle w:val="130"/>
        <w:numPr>
          <w:ilvl w:val="1"/>
          <w:numId w:val="20"/>
        </w:numPr>
        <w:outlineLvl w:val="1"/>
        <w:rPr>
          <w:rFonts w:hAnsi="宋体" w:cs="宋体"/>
          <w:color w:val="000000" w:themeColor="text1"/>
          <w14:textFill>
            <w14:solidFill>
              <w14:schemeClr w14:val="tx1"/>
            </w14:solidFill>
          </w14:textFill>
        </w:rPr>
      </w:pPr>
      <w:bookmarkStart w:id="177" w:name="_Toc31096"/>
      <w:r>
        <w:rPr>
          <w:rFonts w:hint="eastAsia" w:hAnsi="宋体" w:cs="宋体"/>
          <w:color w:val="000000" w:themeColor="text1"/>
          <w14:textFill>
            <w14:solidFill>
              <w14:schemeClr w14:val="tx1"/>
            </w14:solidFill>
          </w14:textFill>
        </w:rPr>
        <w:t>检查井盖的检验规则与检验方法，以及</w:t>
      </w:r>
      <w:r>
        <w:rPr>
          <w:rFonts w:hint="eastAsia" w:hAnsi="宋体" w:cs="宋体"/>
        </w:rPr>
        <w:t>包装、运输与贮存</w:t>
      </w:r>
      <w:r>
        <w:rPr>
          <w:rFonts w:hint="eastAsia" w:hAnsi="宋体" w:cs="宋体"/>
          <w:color w:val="000000" w:themeColor="text1"/>
          <w14:textFill>
            <w14:solidFill>
              <w14:schemeClr w14:val="tx1"/>
            </w14:solidFill>
          </w14:textFill>
        </w:rPr>
        <w:t>应符合GB/T 23858、GB 26537、CJ/T 211、CJ/T 121及JC/T 1009的要求。</w:t>
      </w:r>
      <w:bookmarkEnd w:id="177"/>
    </w:p>
    <w:bookmarkEnd w:id="176"/>
    <w:p w14:paraId="42827A90">
      <w:pPr>
        <w:pStyle w:val="49"/>
        <w:adjustRightInd w:val="0"/>
        <w:spacing w:before="312" w:after="312"/>
        <w:outlineLvl w:val="0"/>
        <w:rPr>
          <w:rFonts w:ascii="Times New Roman"/>
          <w:color w:val="000000" w:themeColor="text1"/>
          <w:szCs w:val="21"/>
          <w14:textFill>
            <w14:solidFill>
              <w14:schemeClr w14:val="tx1"/>
            </w14:solidFill>
          </w14:textFill>
        </w:rPr>
      </w:pPr>
      <w:bookmarkStart w:id="178" w:name="_Toc507151385"/>
      <w:bookmarkStart w:id="179" w:name="_Toc505874123"/>
      <w:bookmarkStart w:id="180" w:name="_Toc507669615"/>
      <w:bookmarkStart w:id="181" w:name="_Toc505682354"/>
      <w:bookmarkStart w:id="182" w:name="_Toc520725800"/>
      <w:bookmarkStart w:id="183" w:name="_Toc507755141"/>
      <w:bookmarkStart w:id="184" w:name="_Toc507756887"/>
      <w:bookmarkStart w:id="185" w:name="_Toc507407228"/>
      <w:bookmarkStart w:id="186" w:name="_Toc507667266"/>
      <w:bookmarkStart w:id="187" w:name="_Toc519268125"/>
      <w:bookmarkStart w:id="188" w:name="_Toc502060089"/>
      <w:bookmarkStart w:id="189" w:name="_Toc508361002"/>
      <w:bookmarkStart w:id="190" w:name="_Toc3249"/>
      <w:bookmarkStart w:id="191" w:name="_Toc508358878"/>
      <w:bookmarkStart w:id="192" w:name="_Toc502060043"/>
      <w:bookmarkStart w:id="193" w:name="_Toc505870973"/>
      <w:bookmarkStart w:id="194" w:name="_Toc522184038"/>
      <w:bookmarkStart w:id="195" w:name="_Toc507669472"/>
      <w:bookmarkStart w:id="196" w:name="_Toc520725733"/>
      <w:bookmarkStart w:id="197" w:name="_Toc494020324"/>
      <w:r>
        <w:rPr>
          <w:rFonts w:ascii="Times New Roman"/>
          <w:color w:val="000000" w:themeColor="text1"/>
          <w:szCs w:val="21"/>
          <w14:textFill>
            <w14:solidFill>
              <w14:schemeClr w14:val="tx1"/>
            </w14:solidFill>
          </w14:textFill>
        </w:rPr>
        <w:t>结构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Times New Roman"/>
          <w:color w:val="000000" w:themeColor="text1"/>
          <w:szCs w:val="21"/>
          <w14:textFill>
            <w14:solidFill>
              <w14:schemeClr w14:val="tx1"/>
            </w14:solidFill>
          </w14:textFill>
        </w:rPr>
        <w:t>形式</w:t>
      </w:r>
    </w:p>
    <w:p w14:paraId="5CE8CCB5">
      <w:pPr>
        <w:pStyle w:val="43"/>
        <w:numPr>
          <w:ilvl w:val="1"/>
          <w:numId w:val="20"/>
        </w:numPr>
        <w:spacing w:before="156" w:after="156"/>
        <w:rPr>
          <w:rFonts w:ascii="Times New Roman"/>
          <w:color w:val="000000" w:themeColor="text1"/>
          <w14:textFill>
            <w14:solidFill>
              <w14:schemeClr w14:val="tx1"/>
            </w14:solidFill>
          </w14:textFill>
        </w:rPr>
      </w:pPr>
      <w:bookmarkStart w:id="198" w:name="_Toc11973"/>
      <w:bookmarkStart w:id="199" w:name="_Toc30593"/>
      <w:bookmarkStart w:id="200" w:name="_Toc19059"/>
      <w:r>
        <w:rPr>
          <w:rFonts w:ascii="Times New Roman"/>
          <w:color w:val="000000" w:themeColor="text1"/>
          <w14:textFill>
            <w14:solidFill>
              <w14:schemeClr w14:val="tx1"/>
            </w14:solidFill>
          </w14:textFill>
        </w:rPr>
        <w:t>井盖</w:t>
      </w:r>
      <w:bookmarkEnd w:id="198"/>
      <w:bookmarkEnd w:id="199"/>
      <w:bookmarkEnd w:id="200"/>
    </w:p>
    <w:p w14:paraId="39D74CE1">
      <w:pPr>
        <w:pStyle w:val="68"/>
        <w:numPr>
          <w:ilvl w:val="2"/>
          <w:numId w:val="20"/>
        </w:numPr>
        <w:rPr>
          <w:rFonts w:hAnsi="宋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井盖外观结构形式</w:t>
      </w:r>
    </w:p>
    <w:p w14:paraId="7F6E3406">
      <w:pPr>
        <w:pStyle w:val="23"/>
        <w:spacing w:after="156" w:afterLines="5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分为单独的圆形（图1 a））、内圆外方形（图1 b））、单联、多联的矩形（图1 c）和 d））三种外观结构形式。</w:t>
      </w:r>
    </w:p>
    <w:p w14:paraId="55E65FCB">
      <w:pPr>
        <w:pStyle w:val="23"/>
        <w:ind w:firstLine="0" w:firstLineChars="0"/>
        <w:jc w:val="center"/>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drawing>
          <wp:inline distT="0" distB="0" distL="114300" distR="114300">
            <wp:extent cx="5935980" cy="1420495"/>
            <wp:effectExtent l="0" t="0" r="0" b="0"/>
            <wp:docPr id="23" name="图片 2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ntitled"/>
                    <pic:cNvPicPr>
                      <a:picLocks noChangeAspect="1"/>
                    </pic:cNvPicPr>
                  </pic:nvPicPr>
                  <pic:blipFill>
                    <a:blip r:embed="rId15"/>
                    <a:srcRect b="55712"/>
                    <a:stretch>
                      <a:fillRect/>
                    </a:stretch>
                  </pic:blipFill>
                  <pic:spPr>
                    <a:xfrm>
                      <a:off x="0" y="0"/>
                      <a:ext cx="5935980" cy="1420495"/>
                    </a:xfrm>
                    <a:prstGeom prst="rect">
                      <a:avLst/>
                    </a:prstGeom>
                  </pic:spPr>
                </pic:pic>
              </a:graphicData>
            </a:graphic>
          </wp:inline>
        </w:drawing>
      </w:r>
    </w:p>
    <w:p w14:paraId="3D54FC6B">
      <w:pPr>
        <w:pStyle w:val="23"/>
        <w:ind w:firstLine="638" w:firstLineChars="304"/>
        <w:jc w:val="left"/>
        <w:rPr>
          <w:rFonts w:ascii="黑体" w:hAnsi="黑体" w:eastAsia="黑体" w:cs="黑体"/>
          <w:color w:val="000000" w:themeColor="text1"/>
          <w:lang w:bidi="ar"/>
          <w14:textFill>
            <w14:solidFill>
              <w14:schemeClr w14:val="tx1"/>
            </w14:solidFill>
          </w14:textFill>
        </w:rPr>
      </w:pPr>
      <w:r>
        <w:rPr>
          <w:rFonts w:hint="eastAsia" w:ascii="黑体" w:hAnsi="黑体" w:eastAsia="黑体" w:cs="黑体"/>
          <w:color w:val="000000" w:themeColor="text1"/>
          <w:lang w:bidi="ar"/>
          <w14:textFill>
            <w14:solidFill>
              <w14:schemeClr w14:val="tx1"/>
            </w14:solidFill>
          </w14:textFill>
        </w:rPr>
        <w:t>a）圆形                          b）内圆外方形                   c）矩形（单联）</w:t>
      </w:r>
    </w:p>
    <w:p w14:paraId="45B82BAC">
      <w:pPr>
        <w:pStyle w:val="23"/>
        <w:ind w:firstLine="0" w:firstLineChars="0"/>
        <w:jc w:val="center"/>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drawing>
          <wp:inline distT="0" distB="0" distL="114300" distR="114300">
            <wp:extent cx="3351530" cy="1407160"/>
            <wp:effectExtent l="0" t="0" r="0" b="0"/>
            <wp:docPr id="24" name="图片 2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ntitled"/>
                    <pic:cNvPicPr>
                      <a:picLocks noChangeAspect="1"/>
                    </pic:cNvPicPr>
                  </pic:nvPicPr>
                  <pic:blipFill>
                    <a:blip r:embed="rId15"/>
                    <a:srcRect l="32488" t="56127" r="11050"/>
                    <a:stretch>
                      <a:fillRect/>
                    </a:stretch>
                  </pic:blipFill>
                  <pic:spPr>
                    <a:xfrm>
                      <a:off x="0" y="0"/>
                      <a:ext cx="3351530" cy="1407160"/>
                    </a:xfrm>
                    <a:prstGeom prst="rect">
                      <a:avLst/>
                    </a:prstGeom>
                  </pic:spPr>
                </pic:pic>
              </a:graphicData>
            </a:graphic>
          </wp:inline>
        </w:drawing>
      </w:r>
    </w:p>
    <w:p w14:paraId="731BD180">
      <w:pPr>
        <w:pStyle w:val="23"/>
        <w:ind w:firstLine="0" w:firstLineChars="0"/>
        <w:jc w:val="center"/>
        <w:rPr>
          <w:rFonts w:ascii="黑体" w:hAnsi="黑体" w:eastAsia="黑体" w:cs="黑体"/>
          <w:color w:val="000000" w:themeColor="text1"/>
          <w:lang w:bidi="ar"/>
          <w14:textFill>
            <w14:solidFill>
              <w14:schemeClr w14:val="tx1"/>
            </w14:solidFill>
          </w14:textFill>
        </w:rPr>
      </w:pPr>
      <w:r>
        <w:rPr>
          <w:rFonts w:hint="eastAsia" w:ascii="黑体" w:hAnsi="黑体" w:eastAsia="黑体" w:cs="黑体"/>
          <w:color w:val="000000" w:themeColor="text1"/>
          <w:lang w:bidi="ar"/>
          <w14:textFill>
            <w14:solidFill>
              <w14:schemeClr w14:val="tx1"/>
            </w14:solidFill>
          </w14:textFill>
        </w:rPr>
        <w:t>d）矩形（多联）</w:t>
      </w:r>
    </w:p>
    <w:p w14:paraId="396B68D1">
      <w:pPr>
        <w:pStyle w:val="23"/>
        <w:spacing w:after="156" w:afterLines="50"/>
        <w:ind w:firstLine="0" w:firstLineChars="0"/>
        <w:jc w:val="center"/>
        <w:rPr>
          <w:rFonts w:ascii="黑体" w:hAnsi="黑体" w:eastAsia="黑体" w:cs="黑体"/>
          <w:color w:val="000000" w:themeColor="text1"/>
          <w:lang w:bidi="ar"/>
          <w14:textFill>
            <w14:solidFill>
              <w14:schemeClr w14:val="tx1"/>
            </w14:solidFill>
          </w14:textFill>
        </w:rPr>
      </w:pPr>
      <w:r>
        <w:rPr>
          <w:rFonts w:hint="eastAsia" w:ascii="黑体" w:hAnsi="黑体" w:eastAsia="黑体" w:cs="黑体"/>
          <w:color w:val="000000" w:themeColor="text1"/>
          <w:lang w:bidi="ar"/>
          <w14:textFill>
            <w14:solidFill>
              <w14:schemeClr w14:val="tx1"/>
            </w14:solidFill>
          </w14:textFill>
        </w:rPr>
        <w:t>图1 井盖外观结构形式示意图</w:t>
      </w:r>
    </w:p>
    <w:p w14:paraId="3E36DDA8">
      <w:pPr>
        <w:pStyle w:val="68"/>
        <w:numPr>
          <w:ilvl w:val="2"/>
          <w:numId w:val="20"/>
        </w:numPr>
        <w:rPr>
          <w:rFonts w:hAnsi="宋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单层井盖结构</w:t>
      </w:r>
    </w:p>
    <w:p w14:paraId="2E176B43">
      <w:pPr>
        <w:pStyle w:val="23"/>
        <w:spacing w:after="156" w:afterLines="50"/>
        <w:jc w:val="left"/>
      </w:pPr>
      <w:r>
        <w:rPr>
          <w:rFonts w:hint="eastAsia" w:hAnsi="宋体" w:cs="宋体"/>
          <w:color w:val="000000" w:themeColor="text1"/>
          <w14:textFill>
            <w14:solidFill>
              <w14:schemeClr w14:val="tx1"/>
            </w14:solidFill>
          </w14:textFill>
        </w:rPr>
        <w:t>单层井盖结构如图2所示。</w:t>
      </w:r>
    </w:p>
    <w:p w14:paraId="5463BA48">
      <w:pPr>
        <w:pStyle w:val="68"/>
        <w:widowControl/>
        <w:jc w:val="center"/>
        <w:outlineLvl w:val="9"/>
      </w:pPr>
      <w:r>
        <w:drawing>
          <wp:inline distT="0" distB="0" distL="114300" distR="114300">
            <wp:extent cx="4034790" cy="1934845"/>
            <wp:effectExtent l="0" t="0" r="3810" b="6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034790" cy="1934845"/>
                    </a:xfrm>
                    <a:prstGeom prst="rect">
                      <a:avLst/>
                    </a:prstGeom>
                    <a:noFill/>
                    <a:ln>
                      <a:noFill/>
                    </a:ln>
                  </pic:spPr>
                </pic:pic>
              </a:graphicData>
            </a:graphic>
          </wp:inline>
        </w:drawing>
      </w:r>
    </w:p>
    <w:p w14:paraId="41364960">
      <w:pPr>
        <w:pStyle w:val="23"/>
        <w:ind w:firstLine="0" w:firstLineChars="0"/>
        <w:jc w:val="center"/>
        <w:rPr>
          <w:rFonts w:ascii="黑体" w:hAnsi="黑体" w:eastAsia="黑体" w:cs="黑体"/>
          <w:color w:val="000000" w:themeColor="text1"/>
          <w:lang w:bidi="ar"/>
          <w14:textFill>
            <w14:solidFill>
              <w14:schemeClr w14:val="tx1"/>
            </w14:solidFill>
          </w14:textFill>
        </w:rPr>
      </w:pPr>
      <w:r>
        <w:rPr>
          <w:rFonts w:hint="eastAsia" w:ascii="黑体" w:hAnsi="黑体" w:eastAsia="黑体" w:cs="黑体"/>
          <w:color w:val="000000" w:themeColor="text1"/>
          <w:lang w:bidi="ar"/>
          <w14:textFill>
            <w14:solidFill>
              <w14:schemeClr w14:val="tx1"/>
            </w14:solidFill>
          </w14:textFill>
        </w:rPr>
        <w:t>a）俯视图                           b）剖面图</w:t>
      </w:r>
    </w:p>
    <w:p w14:paraId="0356726C">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说明：</w:t>
      </w:r>
    </w:p>
    <w:p w14:paraId="76F9F833">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1——井盖；</w:t>
      </w:r>
    </w:p>
    <w:p w14:paraId="697BA88F">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2——井座；</w:t>
      </w:r>
    </w:p>
    <w:p w14:paraId="383C0609">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3——井圈槽。</w:t>
      </w:r>
    </w:p>
    <w:p w14:paraId="0FA5532E">
      <w:pPr>
        <w:pStyle w:val="23"/>
        <w:spacing w:after="156" w:afterLines="50"/>
        <w:ind w:firstLine="0" w:firstLineChars="0"/>
        <w:jc w:val="center"/>
        <w:rPr>
          <w:rFonts w:ascii="黑体" w:hAnsi="黑体" w:eastAsia="黑体" w:cs="黑体"/>
          <w:color w:val="000000" w:themeColor="text1"/>
          <w:lang w:bidi="ar"/>
          <w14:textFill>
            <w14:solidFill>
              <w14:schemeClr w14:val="tx1"/>
            </w14:solidFill>
          </w14:textFill>
        </w:rPr>
      </w:pPr>
      <w:r>
        <w:rPr>
          <w:rFonts w:hint="eastAsia" w:ascii="黑体" w:hAnsi="黑体" w:eastAsia="黑体" w:cs="黑体"/>
          <w:color w:val="000000" w:themeColor="text1"/>
          <w:lang w:bidi="ar"/>
          <w14:textFill>
            <w14:solidFill>
              <w14:schemeClr w14:val="tx1"/>
            </w14:solidFill>
          </w14:textFill>
        </w:rPr>
        <w:t>图2  单层井盖结构示意图</w:t>
      </w:r>
    </w:p>
    <w:p w14:paraId="7EFD3223">
      <w:pPr>
        <w:pStyle w:val="68"/>
        <w:numPr>
          <w:ilvl w:val="2"/>
          <w:numId w:val="20"/>
        </w:numPr>
        <w:rPr>
          <w:rFonts w:hAnsi="宋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双层井盖结构</w:t>
      </w:r>
    </w:p>
    <w:p w14:paraId="7BF86119">
      <w:pPr>
        <w:widowControl/>
        <w:spacing w:after="156" w:afterLines="50"/>
        <w:ind w:firstLine="420" w:firstLineChars="200"/>
        <w:jc w:val="left"/>
      </w:pPr>
      <w:r>
        <w:rPr>
          <w:rFonts w:hint="eastAsia" w:ascii="宋体" w:hAnsi="宋体" w:cs="宋体"/>
          <w:color w:val="000000" w:themeColor="text1"/>
          <w:kern w:val="0"/>
          <w:szCs w:val="20"/>
          <w14:textFill>
            <w14:solidFill>
              <w14:schemeClr w14:val="tx1"/>
            </w14:solidFill>
          </w14:textFill>
        </w:rPr>
        <w:t>双层井盖结构如图3、图4所示。</w:t>
      </w:r>
    </w:p>
    <w:p w14:paraId="2D308EBF">
      <w:pPr>
        <w:widowControl/>
        <w:jc w:val="center"/>
      </w:pPr>
      <w:r>
        <w:drawing>
          <wp:inline distT="0" distB="0" distL="114300" distR="114300">
            <wp:extent cx="4247515" cy="2038985"/>
            <wp:effectExtent l="0" t="0" r="4445" b="317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7"/>
                    <a:stretch>
                      <a:fillRect/>
                    </a:stretch>
                  </pic:blipFill>
                  <pic:spPr>
                    <a:xfrm>
                      <a:off x="0" y="0"/>
                      <a:ext cx="4247515" cy="2038985"/>
                    </a:xfrm>
                    <a:prstGeom prst="rect">
                      <a:avLst/>
                    </a:prstGeom>
                    <a:noFill/>
                    <a:ln>
                      <a:noFill/>
                    </a:ln>
                  </pic:spPr>
                </pic:pic>
              </a:graphicData>
            </a:graphic>
          </wp:inline>
        </w:drawing>
      </w:r>
    </w:p>
    <w:p w14:paraId="42E0449D">
      <w:pPr>
        <w:pStyle w:val="68"/>
        <w:widowControl/>
        <w:jc w:val="center"/>
        <w:outlineLvl w:val="9"/>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a）俯视图                             b）剖面图</w:t>
      </w:r>
    </w:p>
    <w:p w14:paraId="76020E0C">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说明：</w:t>
      </w:r>
    </w:p>
    <w:p w14:paraId="67BB1497">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1——主盖；</w:t>
      </w:r>
    </w:p>
    <w:p w14:paraId="7CA31612">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2——井座；</w:t>
      </w:r>
    </w:p>
    <w:p w14:paraId="71B4DFDB">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3——子盖；</w:t>
      </w:r>
    </w:p>
    <w:p w14:paraId="2C27028D">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4——加强肋；</w:t>
      </w:r>
    </w:p>
    <w:p w14:paraId="3A69722D">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5——子盖间隙；</w:t>
      </w:r>
    </w:p>
    <w:p w14:paraId="074F7A77">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6——井圈槽。</w:t>
      </w:r>
    </w:p>
    <w:p w14:paraId="78F53DD3">
      <w:pPr>
        <w:widowControl/>
        <w:spacing w:after="156" w:afterLines="50"/>
        <w:jc w:val="center"/>
      </w:pPr>
      <w:r>
        <w:rPr>
          <w:rFonts w:hint="eastAsia" w:ascii="黑体" w:hAnsi="黑体" w:eastAsia="黑体" w:cs="黑体"/>
          <w:color w:val="000000"/>
          <w:kern w:val="0"/>
          <w:szCs w:val="21"/>
          <w:lang w:bidi="ar"/>
        </w:rPr>
        <w:t>图3  圆形双层井盖结构示意图</w:t>
      </w:r>
    </w:p>
    <w:p w14:paraId="4494D2DB">
      <w:pPr>
        <w:widowControl/>
        <w:jc w:val="center"/>
      </w:pPr>
      <w:r>
        <w:drawing>
          <wp:inline distT="0" distB="0" distL="114300" distR="114300">
            <wp:extent cx="4568190" cy="1866900"/>
            <wp:effectExtent l="0" t="0" r="3810" b="762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8"/>
                    <a:stretch>
                      <a:fillRect/>
                    </a:stretch>
                  </pic:blipFill>
                  <pic:spPr>
                    <a:xfrm>
                      <a:off x="0" y="0"/>
                      <a:ext cx="4568190" cy="1866900"/>
                    </a:xfrm>
                    <a:prstGeom prst="rect">
                      <a:avLst/>
                    </a:prstGeom>
                    <a:noFill/>
                    <a:ln>
                      <a:noFill/>
                    </a:ln>
                  </pic:spPr>
                </pic:pic>
              </a:graphicData>
            </a:graphic>
          </wp:inline>
        </w:drawing>
      </w:r>
    </w:p>
    <w:p w14:paraId="327678F6">
      <w:pPr>
        <w:pStyle w:val="68"/>
        <w:widowControl/>
        <w:jc w:val="center"/>
        <w:outlineLvl w:val="9"/>
        <w:rPr>
          <w:rFonts w:ascii="黑体" w:hAnsi="黑体" w:eastAsia="黑体"/>
          <w:color w:val="000000"/>
          <w:lang w:bidi="ar"/>
        </w:rPr>
      </w:pPr>
      <w:r>
        <w:rPr>
          <w:rFonts w:hint="eastAsia" w:ascii="黑体" w:hAnsi="黑体" w:eastAsia="黑体"/>
          <w:color w:val="000000" w:themeColor="text1"/>
          <w14:textFill>
            <w14:solidFill>
              <w14:schemeClr w14:val="tx1"/>
            </w14:solidFill>
          </w14:textFill>
        </w:rPr>
        <w:t>a）俯视图                             b）剖面图</w:t>
      </w:r>
    </w:p>
    <w:p w14:paraId="5C425698">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说明：</w:t>
      </w:r>
    </w:p>
    <w:p w14:paraId="51A3FE4A">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1——主盖；</w:t>
      </w:r>
    </w:p>
    <w:p w14:paraId="3C741FB5">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2——井座；</w:t>
      </w:r>
    </w:p>
    <w:p w14:paraId="062AB32F">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3——子盖；</w:t>
      </w:r>
    </w:p>
    <w:p w14:paraId="34D5D5E7">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4——子盖间隙；</w:t>
      </w:r>
    </w:p>
    <w:p w14:paraId="756C6257">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5——锚固突起；</w:t>
      </w:r>
    </w:p>
    <w:p w14:paraId="631820B1">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6——加强肋。</w:t>
      </w:r>
    </w:p>
    <w:p w14:paraId="26014A5C">
      <w:pPr>
        <w:widowControl/>
        <w:spacing w:after="156" w:afterLines="50"/>
        <w:jc w:val="center"/>
        <w:rPr>
          <w:rFonts w:eastAsia="黑体"/>
          <w:color w:val="000000"/>
          <w:kern w:val="0"/>
          <w:szCs w:val="21"/>
          <w:lang w:bidi="ar"/>
        </w:rPr>
      </w:pPr>
      <w:r>
        <w:rPr>
          <w:rFonts w:hint="eastAsia" w:ascii="黑体" w:hAnsi="黑体" w:eastAsia="黑体" w:cs="黑体"/>
          <w:color w:val="000000"/>
          <w:kern w:val="0"/>
          <w:szCs w:val="21"/>
          <w:lang w:bidi="ar"/>
        </w:rPr>
        <w:t>图4  内圆外方形双层井盖结构示意图</w:t>
      </w:r>
    </w:p>
    <w:p w14:paraId="6123D4E3">
      <w:pPr>
        <w:pStyle w:val="68"/>
        <w:numPr>
          <w:ilvl w:val="2"/>
          <w:numId w:val="20"/>
        </w:numPr>
        <w:rPr>
          <w:rFonts w:hAnsi="宋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防反涌泄水孔</w:t>
      </w:r>
    </w:p>
    <w:p w14:paraId="4EA7875B">
      <w:pPr>
        <w:widowControl/>
        <w:spacing w:after="156" w:afterLines="50"/>
        <w:ind w:firstLine="420" w:firstLineChars="200"/>
        <w:jc w:val="left"/>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szCs w:val="20"/>
          <w14:textFill>
            <w14:solidFill>
              <w14:schemeClr w14:val="tx1"/>
            </w14:solidFill>
          </w14:textFill>
        </w:rPr>
        <w:t>在</w:t>
      </w:r>
      <w:bookmarkStart w:id="201" w:name="OLE_LINK6"/>
      <w:r>
        <w:rPr>
          <w:rFonts w:hint="eastAsia" w:ascii="宋体" w:hAnsi="宋体" w:cs="宋体"/>
          <w:color w:val="000000" w:themeColor="text1"/>
          <w:kern w:val="0"/>
          <w:szCs w:val="20"/>
          <w14:textFill>
            <w14:solidFill>
              <w14:schemeClr w14:val="tx1"/>
            </w14:solidFill>
          </w14:textFill>
        </w:rPr>
        <w:t>低洼地段或汛期积水严重的区域</w:t>
      </w:r>
      <w:bookmarkEnd w:id="201"/>
      <w:r>
        <w:rPr>
          <w:rFonts w:hint="eastAsia" w:ascii="宋体" w:hAnsi="宋体" w:cs="宋体"/>
          <w:color w:val="000000" w:themeColor="text1"/>
          <w:kern w:val="0"/>
          <w:szCs w:val="20"/>
          <w14:textFill>
            <w14:solidFill>
              <w14:schemeClr w14:val="tx1"/>
            </w14:solidFill>
          </w14:textFill>
        </w:rPr>
        <w:t>，雨水井盖应采用防反涌结构（如采用其他防反涌技术可不设）。雨水井盖防反涌泄水孔宜采用均布圆孔形式，如图5所示。</w:t>
      </w:r>
    </w:p>
    <w:p w14:paraId="70E23EC2">
      <w:pPr>
        <w:pStyle w:val="68"/>
        <w:jc w:val="center"/>
        <w:outlineLvl w:val="9"/>
        <w:rPr>
          <w:rFonts w:ascii="Times New Roman" w:cs="Times New Roman"/>
          <w:color w:val="000000" w:themeColor="text1"/>
          <w14:textFill>
            <w14:solidFill>
              <w14:schemeClr w14:val="tx1"/>
            </w14:solidFill>
          </w14:textFill>
        </w:rPr>
      </w:pPr>
      <w:r>
        <mc:AlternateContent>
          <mc:Choice Requires="wpg">
            <w:drawing>
              <wp:anchor distT="0" distB="0" distL="114300" distR="114300" simplePos="0" relativeHeight="251663360" behindDoc="0" locked="0" layoutInCell="1" allowOverlap="1">
                <wp:simplePos x="0" y="0"/>
                <wp:positionH relativeFrom="column">
                  <wp:posOffset>3209290</wp:posOffset>
                </wp:positionH>
                <wp:positionV relativeFrom="paragraph">
                  <wp:posOffset>198120</wp:posOffset>
                </wp:positionV>
                <wp:extent cx="742950" cy="571500"/>
                <wp:effectExtent l="3810" t="0" r="0" b="7620"/>
                <wp:wrapNone/>
                <wp:docPr id="28" name="组合 28"/>
                <wp:cNvGraphicFramePr/>
                <a:graphic xmlns:a="http://schemas.openxmlformats.org/drawingml/2006/main">
                  <a:graphicData uri="http://schemas.microsoft.com/office/word/2010/wordprocessingGroup">
                    <wpg:wgp>
                      <wpg:cNvGrpSpPr/>
                      <wpg:grpSpPr>
                        <a:xfrm>
                          <a:off x="0" y="0"/>
                          <a:ext cx="742950" cy="571500"/>
                          <a:chOff x="6471" y="139473"/>
                          <a:chExt cx="1170" cy="900"/>
                        </a:xfrm>
                      </wpg:grpSpPr>
                      <wps:wsp>
                        <wps:cNvPr id="26" name="文本框 26"/>
                        <wps:cNvSpPr txBox="1"/>
                        <wps:spPr>
                          <a:xfrm>
                            <a:off x="7197" y="139473"/>
                            <a:ext cx="355" cy="43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22DF21">
                              <w:pPr>
                                <w:jc w:val="center"/>
                                <w:rPr>
                                  <w:rFonts w:ascii="宋体" w:hAnsi="宋体" w:cs="宋体"/>
                                  <w:sz w:val="18"/>
                                  <w:szCs w:val="21"/>
                                </w:rPr>
                              </w:pPr>
                              <w:r>
                                <w:rPr>
                                  <w:rFonts w:hint="eastAsia" w:ascii="宋体" w:hAnsi="宋体" w:cs="宋体"/>
                                  <w:sz w:val="18"/>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连接符 20"/>
                        <wps:cNvCnPr/>
                        <wps:spPr>
                          <a:xfrm flipV="1">
                            <a:off x="6471" y="139815"/>
                            <a:ext cx="660" cy="558"/>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22" name="直接连接符 22"/>
                        <wps:cNvCnPr/>
                        <wps:spPr>
                          <a:xfrm>
                            <a:off x="7119" y="139821"/>
                            <a:ext cx="522"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52.7pt;margin-top:15.6pt;height:45pt;width:58.5pt;z-index:251663360;mso-width-relative:page;mso-height-relative:page;" coordorigin="6471,139473" coordsize="1170,900" o:gfxdata="UEsDBAoAAAAAAIdO4kAAAAAAAAAAAAAAAAAEAAAAZHJzL1BLAwQUAAAACACHTuJAIHmkpdkAAAAK&#10;AQAADwAAAGRycy9kb3ducmV2LnhtbE2PTUvDQBCG74L/YZmCN7sfNUXSbIoU9VQEW0G8bbPTJDS7&#10;G7LbpP33jid7nHce3nmmWF9cx0YcYhu8BjkXwNBXwba+1vC1f3t8BhaT8dZ0waOGK0ZYl/d3hclt&#10;mPwnjrtUMyrxMTcampT6nPNYNehMnIcePe2OYXAm0TjU3A5monLXcSXEkjvTerrQmB43DVan3dlp&#10;eJ/M9LKQr+P2dNxcf/bZx/dWotYPMylWwBJe0j8Mf/qkDiU5HcLZ28g6DZnIngjVsJAKGAFLpSg4&#10;EKko4WXBb18ofwFQSwMEFAAAAAgAh07iQMgRG7KIAwAAVgkAAA4AAABkcnMvZTJvRG9jLnhtbOVW&#10;S28kNRC+I/EfLN9JT/dMT2da6axCQiKkiI0UHmeP2/2Q3LaxPekJ5xVwQpy4gJA4wGmP3Djwa8jy&#10;Myg/ejKbTaQVSHthDj1+lKtc3/dVdR892w4c3TBteikqnB7MMGKCyroXbYU/+/T8g0OMjCWiJlwK&#10;VuFbZvCz4/ffOxpVyTLZSV4zjcCJMOWoKtxZq8okMbRjAzEHUjEBm43UA7Ew1W1SazKC94En2Wy2&#10;TEapa6UlZcbA6lnYxNGjfhuHsml6ys4k3QxM2OBVM04spGS6Xhl87G/bNIza501jmEW8wpCp9U8I&#10;AuO1eybHR6RsNVFdT+MVyNtc4UFOA+kFBN25OiOWoI3u33A19FRLIxt7QOWQhEQ8IpBFOnuAzYWW&#10;G+VzacuxVTvQgagHqP9rt/STmyuN+rrCGfAuyACMv/rjxV/ff4tgAdAZVVuC0YVW1+pKx4U2zFzC&#10;20YP7h9SQVuP6+0OV7a1iMJischWOSBOYSsv0nwWcacdkONOLRdFihHspvPVopgHVmj3UTyfpkU8&#10;vQpHkylu4q63u82oQJLmHifz33C67ohiHn7jIJhwWk443f3wzd1PL+9++RplywCVt3M4Ibv9UEJi&#10;6bRuYPERuIp0VbyR+ATbPM8DZot55vzssial0sZeMDkgN6iwBp17+ZGbS2OD6WTiohrJ+/q859xP&#10;dLs+5RrdEKiJc/+L3l8z4wKNwMwciHOnhHTng2su4DIO7JCVG9nteuvFYcq1rG8BAS1DsRlFz3u4&#10;5SUx9opoqC7gEvqPfQ6PhksIIuMIo07qrx5bd/ZAJuxiNEK1Vth8uSGaYcQ/FkDzKl0swK31k0Ve&#10;ZDDR+zvr/R2xGU4lJA+ag9v5obO3fBo2Wg5fQJs6cVFhiwgKsStsp+GpDT0E2hxlJyfeCApaEXsp&#10;rhV1rgNoJxsrm95T4mAK2ET0QKquvt6FZiGHWNs//n733a9///kzPF+9/A0BUJE2UPipiBU+MRvK&#10;DDW8V59POcVC3y/ZwzR3Xkg5KXe5hIC+2nPfRJ5WLu+FKzFSPqHcnexIGQSZZgX0AESdBhpo+TAc&#10;VA16EC2Qw1t4p1GrvcvX5Gz2VT/zv8dU76rmjJguVIf3EM0eEX1g09VEZPFd0Zk9SadvFO42T9Pp&#10;0I4kFmm6mtrPYeab1T2JeQZhHIleIv8fCv07BV63vuHGTwP3Pt+fe8rvP4eO/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AgeaSl2QAAAAoBAAAPAAAAAAAAAAEAIAAAACIAAABkcnMvZG93bnJldi54&#10;bWxQSwECFAAUAAAACACHTuJAyBEbsogDAABWCQAADgAAAAAAAAABACAAAAAoAQAAZHJzL2Uyb0Rv&#10;Yy54bWxQSwUGAAAAAAYABgBZAQAAIgcAAAAA&#10;">
                <o:lock v:ext="edit" aspectratio="f"/>
                <v:shape id="_x0000_s1026" o:spid="_x0000_s1026" o:spt="202" type="#_x0000_t202" style="position:absolute;left:7197;top:139473;height:432;width:355;" fillcolor="#FFFFFF [3201]" filled="t" stroked="f" coordsize="21600,21600" o:gfxdata="UEsDBAoAAAAAAIdO4kAAAAAAAAAAAAAAAAAEAAAAZHJzL1BLAwQUAAAACACHTuJAVXld5LYAAADb&#10;AAAADwAAAGRycy9kb3ducmV2LnhtbEWPSwvCMBCE74L/IazgTdOKiFSjB0HwJPg8L83aFJtNSeLz&#10;1xtB8DjMzDfMfPm0jbiTD7VjBfkwA0FcOl1zpeB4WA+mIEJE1tg4JgUvCrBcdDtzLLR78I7u+1iJ&#10;BOFQoAITY1tIGUpDFsPQtcTJuzhvMSbpK6k9PhLcNnKUZRNpsea0YLCllaHyur9ZBefKvs+nvPVG&#10;22bM2/frcHS1Uv1ens1ARHrGf/jX3mgFo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V5XeS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14:paraId="0022DF21">
                        <w:pPr>
                          <w:jc w:val="center"/>
                          <w:rPr>
                            <w:rFonts w:ascii="宋体" w:hAnsi="宋体" w:cs="宋体"/>
                            <w:sz w:val="18"/>
                            <w:szCs w:val="21"/>
                          </w:rPr>
                        </w:pPr>
                        <w:r>
                          <w:rPr>
                            <w:rFonts w:hint="eastAsia" w:ascii="宋体" w:hAnsi="宋体" w:cs="宋体"/>
                            <w:sz w:val="18"/>
                            <w:szCs w:val="21"/>
                          </w:rPr>
                          <w:t>1</w:t>
                        </w:r>
                      </w:p>
                    </w:txbxContent>
                  </v:textbox>
                </v:shape>
                <v:line id="_x0000_s1026" o:spid="_x0000_s1026" o:spt="20" style="position:absolute;left:6471;top:139815;flip:y;height:558;width:660;" filled="f" stroked="t" coordsize="21600,21600" o:gfxdata="UEsDBAoAAAAAAIdO4kAAAAAAAAAAAAAAAAAEAAAAZHJzL1BLAwQUAAAACACHTuJA7HMnJbYAAADb&#10;AAAADwAAAGRycy9kb3ducmV2LnhtbEVPyQrCMBC9C/5DGMGbphVcqEYPLiBIEZeLt6EZ22IzKU2s&#10;+vfmIHh8vH2xeptKtNS40rKCeBiBIM6sLjlXcL3sBjMQziNrrCyTgg85WC27nQUm2r74RO3Z5yKE&#10;sEtQQeF9nUjpsoIMuqGtiQN3t41BH2CTS93gK4SbSo6iaCINlhwaCqxpXVD2OD+NgjZO+bjf3uzm&#10;gGk+jlN9y6ZeqX4vjuYgPL39X/xz77WCU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xzJyW2AAAA2wAAAA8A&#10;AAAAAAAAAQAgAAAAIgAAAGRycy9kb3ducmV2LnhtbFBLAQIUABQAAAAIAIdO4kAzLwWeOwAAADkA&#10;AAAQAAAAAAAAAAEAIAAAAAUBAABkcnMvc2hhcGV4bWwueG1sUEsFBgAAAAAGAAYAWwEAAK8DAAAA&#10;AA==&#10;">
                  <v:fill on="f" focussize="0,0"/>
                  <v:stroke weight="1pt" color="#000000 [3213]" joinstyle="round"/>
                  <v:imagedata o:title=""/>
                  <o:lock v:ext="edit" aspectratio="f"/>
                </v:line>
                <v:line id="_x0000_s1026" o:spid="_x0000_s1026" o:spt="20" style="position:absolute;left:7119;top:139821;height:0;width:522;" filled="f" stroked="t" coordsize="21600,21600" o:gfxdata="UEsDBAoAAAAAAIdO4kAAAAAAAAAAAAAAAAAEAAAAZHJzL1BLAwQUAAAACACHTuJAjoMK+b0AAADb&#10;AAAADwAAAGRycy9kb3ducmV2LnhtbEWPT4vCMBTE78J+h/AW9qapPaylGj24iOviRSt4fTTPptq8&#10;1Cb+2W9vBMHjMDO/YSazu23ElTpfO1YwHCQgiEuna64U7IpFPwPhA7LGxjEp+CcPs+lHb4K5djfe&#10;0HUbKhEh7HNUYEJocyl9aciiH7iWOHoH11kMUXaV1B3eItw2Mk2Sb2mx5rhgsKW5ofK0vVgF+LPc&#10;hH2W/o3qlVkfi8V5abKzUl+fw2QMItA9vMOv9q9WkK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wr5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group>
            </w:pict>
          </mc:Fallback>
        </mc:AlternateContent>
      </w:r>
      <w:r>
        <w:rPr>
          <w:rFonts w:ascii="Times New Roman" w:cs="Times New Roman"/>
          <w:color w:val="000000" w:themeColor="text1"/>
          <w14:textFill>
            <w14:solidFill>
              <w14:schemeClr w14:val="tx1"/>
            </w14:solidFill>
          </w14:textFill>
        </w:rPr>
        <w:drawing>
          <wp:inline distT="0" distB="0" distL="114300" distR="114300">
            <wp:extent cx="2714625" cy="2038350"/>
            <wp:effectExtent l="0" t="0" r="9525" b="0"/>
            <wp:docPr id="14" name="图片 14" descr="17a13d2461d42235574c1f9f76e7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a13d2461d42235574c1f9f76e773c"/>
                    <pic:cNvPicPr>
                      <a:picLocks noChangeAspect="1"/>
                    </pic:cNvPicPr>
                  </pic:nvPicPr>
                  <pic:blipFill>
                    <a:blip r:embed="rId19"/>
                    <a:stretch>
                      <a:fillRect/>
                    </a:stretch>
                  </pic:blipFill>
                  <pic:spPr>
                    <a:xfrm>
                      <a:off x="0" y="0"/>
                      <a:ext cx="2714625" cy="2038350"/>
                    </a:xfrm>
                    <a:prstGeom prst="rect">
                      <a:avLst/>
                    </a:prstGeom>
                  </pic:spPr>
                </pic:pic>
              </a:graphicData>
            </a:graphic>
          </wp:inline>
        </w:drawing>
      </w:r>
    </w:p>
    <w:p w14:paraId="11AF5804">
      <w:pPr>
        <w:pStyle w:val="23"/>
        <w:autoSpaceDE/>
        <w:autoSpaceDN/>
        <w:ind w:firstLine="0" w:firstLineChars="0"/>
        <w:jc w:val="left"/>
        <w:rPr>
          <w:rFonts w:hAnsi="宋体" w:cs="宋体"/>
          <w:color w:val="000000" w:themeColor="text1"/>
          <w:lang w:bidi="ar"/>
          <w14:textFill>
            <w14:solidFill>
              <w14:schemeClr w14:val="tx1"/>
            </w14:solidFill>
          </w14:textFill>
        </w:rPr>
      </w:pPr>
      <w:r>
        <w:rPr>
          <w:rFonts w:hint="eastAsia" w:hAnsi="宋体" w:cs="宋体"/>
          <w:color w:val="000000" w:themeColor="text1"/>
          <w:lang w:bidi="ar"/>
          <w14:textFill>
            <w14:solidFill>
              <w14:schemeClr w14:val="tx1"/>
            </w14:solidFill>
          </w14:textFill>
        </w:rPr>
        <w:t>说明：</w:t>
      </w:r>
    </w:p>
    <w:p w14:paraId="039B8DF3">
      <w:pPr>
        <w:pStyle w:val="23"/>
        <w:ind w:left="0" w:leftChars="0" w:firstLine="0" w:firstLineChars="0"/>
        <w:jc w:val="left"/>
        <w:rPr>
          <w:rFonts w:ascii="黑体" w:hAnsi="黑体" w:eastAsia="黑体" w:cs="黑体"/>
          <w:b/>
          <w:bCs/>
          <w:color w:val="000000"/>
          <w:szCs w:val="21"/>
          <w:lang w:bidi="ar"/>
        </w:rPr>
      </w:pPr>
      <w:r>
        <w:rPr>
          <w:rFonts w:hint="eastAsia" w:hAnsi="宋体" w:cs="宋体"/>
          <w:color w:val="000000" w:themeColor="text1"/>
          <w:lang w:bidi="ar"/>
          <w14:textFill>
            <w14:solidFill>
              <w14:schemeClr w14:val="tx1"/>
            </w14:solidFill>
          </w14:textFill>
        </w:rPr>
        <w:t>1——防反涌泄水孔。</w:t>
      </w:r>
    </w:p>
    <w:p w14:paraId="7FFF7C16">
      <w:pPr>
        <w:widowControl/>
        <w:spacing w:after="156" w:afterLines="5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kern w:val="0"/>
          <w:szCs w:val="21"/>
          <w:lang w:bidi="ar"/>
        </w:rPr>
        <w:t>图5  防反涌结构示意图</w:t>
      </w:r>
    </w:p>
    <w:p w14:paraId="1373A48D">
      <w:pPr>
        <w:pStyle w:val="68"/>
        <w:numPr>
          <w:ilvl w:val="2"/>
          <w:numId w:val="20"/>
        </w:numPr>
        <w:rPr>
          <w:rFonts w:hAnsi="宋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通气孔</w:t>
      </w:r>
    </w:p>
    <w:p w14:paraId="43C14D2C">
      <w:pPr>
        <w:widowControl/>
        <w:tabs>
          <w:tab w:val="left" w:pos="0"/>
        </w:tabs>
        <w:ind w:left="17" w:leftChars="8" w:firstLine="401" w:firstLineChars="191"/>
        <w:jc w:val="left"/>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szCs w:val="20"/>
          <w14:textFill>
            <w14:solidFill>
              <w14:schemeClr w14:val="tx1"/>
            </w14:solidFill>
          </w14:textFill>
        </w:rPr>
        <w:t>井盖应设有不少于2个通气孔，位置设在井盖功能字符标志的两侧，</w:t>
      </w:r>
      <w:r>
        <w:rPr>
          <w:rFonts w:hint="eastAsia" w:ascii="宋体" w:hAnsi="宋体" w:cs="宋体"/>
        </w:rPr>
        <w:t>通气孔应保持畅通。</w:t>
      </w:r>
      <w:r>
        <w:rPr>
          <w:rFonts w:hint="eastAsia" w:ascii="宋体" w:hAnsi="宋体" w:cs="宋体"/>
          <w:color w:val="000000" w:themeColor="text1"/>
          <w:kern w:val="0"/>
          <w:szCs w:val="20"/>
          <w14:textFill>
            <w14:solidFill>
              <w14:schemeClr w14:val="tx1"/>
            </w14:solidFill>
          </w14:textFill>
        </w:rPr>
        <w:t>设有防反涌泄水孔的井盖不再另设通气孔。</w:t>
      </w:r>
    </w:p>
    <w:p w14:paraId="74083E2A">
      <w:pPr>
        <w:pStyle w:val="43"/>
        <w:numPr>
          <w:ilvl w:val="1"/>
          <w:numId w:val="20"/>
        </w:numPr>
        <w:spacing w:before="156" w:after="156"/>
        <w:rPr>
          <w:rFonts w:ascii="Times New Roman"/>
          <w:b/>
          <w:bCs/>
          <w:color w:val="000000" w:themeColor="text1"/>
          <w14:textFill>
            <w14:solidFill>
              <w14:schemeClr w14:val="tx1"/>
            </w14:solidFill>
          </w14:textFill>
        </w:rPr>
      </w:pPr>
      <w:bookmarkStart w:id="202" w:name="_Toc507669474"/>
      <w:bookmarkStart w:id="203" w:name="_Toc520725735"/>
      <w:bookmarkStart w:id="204" w:name="_Toc519268127"/>
      <w:bookmarkStart w:id="205" w:name="_Toc505870975"/>
      <w:bookmarkStart w:id="206" w:name="_Toc29566"/>
      <w:bookmarkStart w:id="207" w:name="_Toc6912"/>
      <w:bookmarkStart w:id="208" w:name="_Toc507669617"/>
      <w:bookmarkStart w:id="209" w:name="_Toc507667268"/>
      <w:bookmarkStart w:id="210" w:name="_Toc507756889"/>
      <w:bookmarkStart w:id="211" w:name="_Toc505874125"/>
      <w:bookmarkStart w:id="212" w:name="_Toc508361004"/>
      <w:bookmarkStart w:id="213" w:name="_Toc508358880"/>
      <w:bookmarkStart w:id="214" w:name="_Toc502060045"/>
      <w:bookmarkStart w:id="215" w:name="_Toc522184040"/>
      <w:bookmarkStart w:id="216" w:name="_Toc520725802"/>
      <w:bookmarkStart w:id="217" w:name="_Toc507151387"/>
      <w:bookmarkStart w:id="218" w:name="_Toc507407230"/>
      <w:bookmarkStart w:id="219" w:name="_Toc507755143"/>
      <w:bookmarkStart w:id="220" w:name="_Toc505682356"/>
      <w:bookmarkStart w:id="221" w:name="_Toc3554"/>
      <w:r>
        <w:rPr>
          <w:rFonts w:ascii="Times New Roman"/>
          <w:color w:val="000000" w:themeColor="text1"/>
          <w14:textFill>
            <w14:solidFill>
              <w14:schemeClr w14:val="tx1"/>
            </w14:solidFill>
          </w14:textFill>
        </w:rPr>
        <w:t>井座</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AF5C9AB">
      <w:pPr>
        <w:pStyle w:val="68"/>
        <w:numPr>
          <w:ilvl w:val="2"/>
          <w:numId w:val="20"/>
        </w:numP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圆形检查井盖的井座外壁应至少设6个加强肋；每个内圆外方形检查井盖的井座外壁应至少设4个呈对角线分布的加强肋；每个矩形检查井盖的井座外壁每边应至少设2个加强肋。</w:t>
      </w:r>
    </w:p>
    <w:p w14:paraId="2CDDF6EE">
      <w:pPr>
        <w:pStyle w:val="68"/>
        <w:numPr>
          <w:ilvl w:val="2"/>
          <w:numId w:val="20"/>
        </w:numP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圆形检查井盖应通过锚固装置在其井座下部固定，内圆外方形检查井盖应在其井座外壁下部的突起进行锚固，锚固点应至少有6处（见图4）。</w:t>
      </w:r>
    </w:p>
    <w:p w14:paraId="35BF3486">
      <w:pPr>
        <w:pStyle w:val="68"/>
        <w:numPr>
          <w:ilvl w:val="2"/>
          <w:numId w:val="20"/>
        </w:numP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双层井盖井座内壁应至少设6个支承子盖的支撑肋，井座内壁与子盖之间应有便于子盖开启的间隙，示意如图3和图4。</w:t>
      </w:r>
    </w:p>
    <w:p w14:paraId="52D16E31">
      <w:pPr>
        <w:pStyle w:val="43"/>
        <w:numPr>
          <w:ilvl w:val="1"/>
          <w:numId w:val="20"/>
        </w:numPr>
        <w:spacing w:before="156" w:after="156"/>
        <w:rPr>
          <w:rFonts w:ascii="Times New Roman"/>
          <w:color w:val="000000" w:themeColor="text1"/>
          <w14:textFill>
            <w14:solidFill>
              <w14:schemeClr w14:val="tx1"/>
            </w14:solidFill>
          </w14:textFill>
        </w:rPr>
      </w:pPr>
      <w:bookmarkStart w:id="222" w:name="_Toc24193"/>
      <w:bookmarkStart w:id="223" w:name="_Toc28121"/>
      <w:bookmarkStart w:id="224" w:name="_Toc17241"/>
      <w:r>
        <w:rPr>
          <w:rFonts w:ascii="Times New Roman"/>
          <w:color w:val="000000" w:themeColor="text1"/>
          <w14:textFill>
            <w14:solidFill>
              <w14:schemeClr w14:val="tx1"/>
            </w14:solidFill>
          </w14:textFill>
        </w:rPr>
        <w:t>几何尺寸</w:t>
      </w:r>
      <w:bookmarkEnd w:id="222"/>
      <w:bookmarkEnd w:id="223"/>
      <w:bookmarkEnd w:id="224"/>
    </w:p>
    <w:p w14:paraId="44C9AF62">
      <w:pPr>
        <w:pStyle w:val="68"/>
        <w:numPr>
          <w:ilvl w:val="2"/>
          <w:numId w:val="20"/>
        </w:numPr>
        <w:rPr>
          <w:rFonts w:ascii="Times New Roman" w:eastAsia="黑体" w:cs="Times New Roman"/>
          <w:color w:val="000000" w:themeColor="text1"/>
          <w14:textFill>
            <w14:solidFill>
              <w14:schemeClr w14:val="tx1"/>
            </w14:solidFill>
          </w14:textFill>
        </w:rPr>
      </w:pPr>
      <w:bookmarkStart w:id="225" w:name="_Toc505682358"/>
      <w:bookmarkStart w:id="226" w:name="_Toc508358882"/>
      <w:bookmarkStart w:id="227" w:name="_Toc507151389"/>
      <w:bookmarkStart w:id="228" w:name="_Toc507667270"/>
      <w:bookmarkStart w:id="229" w:name="_Toc507407232"/>
      <w:bookmarkStart w:id="230" w:name="_Toc505874127"/>
      <w:bookmarkStart w:id="231" w:name="_Toc507756891"/>
      <w:bookmarkStart w:id="232" w:name="_Toc507669619"/>
      <w:bookmarkStart w:id="233" w:name="_Toc507755145"/>
      <w:bookmarkStart w:id="234" w:name="_Toc508361006"/>
      <w:bookmarkStart w:id="235" w:name="_Toc502060047"/>
      <w:bookmarkStart w:id="236" w:name="_Toc505870978"/>
      <w:bookmarkStart w:id="237" w:name="_Toc507669476"/>
      <w:r>
        <w:rPr>
          <w:rFonts w:ascii="Times New Roman" w:eastAsia="黑体" w:cs="Times New Roman"/>
          <w:color w:val="000000" w:themeColor="text1"/>
          <w14:textFill>
            <w14:solidFill>
              <w14:schemeClr w14:val="tx1"/>
            </w14:solidFill>
          </w14:textFill>
        </w:rPr>
        <w:t>总间隙（a）</w:t>
      </w:r>
    </w:p>
    <w:p w14:paraId="3A5EBE0E">
      <w:pPr>
        <w:pStyle w:val="68"/>
        <w:spacing w:before="0" w:after="156" w:afterLines="50"/>
        <w:jc w:val="left"/>
        <w:outlineLvl w:val="9"/>
        <w:rPr>
          <w:rFonts w:hAnsi="宋体" w:cs="宋体"/>
          <w:color w:val="000000" w:themeColor="text1"/>
          <w:szCs w:val="20"/>
          <w14:textFill>
            <w14:solidFill>
              <w14:schemeClr w14:val="tx1"/>
            </w14:solidFill>
          </w14:textFill>
        </w:rPr>
      </w:pPr>
      <w:r>
        <w:rPr>
          <w:rFonts w:hint="eastAsia" w:ascii="黑体" w:hAnsi="黑体" w:eastAsia="黑体"/>
          <w:color w:val="000000" w:themeColor="text1"/>
          <w:szCs w:val="20"/>
          <w14:textFill>
            <w14:solidFill>
              <w14:schemeClr w14:val="tx1"/>
            </w14:solidFill>
          </w14:textFill>
        </w:rPr>
        <w:t>5.3.2.1</w:t>
      </w:r>
      <w:r>
        <w:rPr>
          <w:rFonts w:hint="eastAsia" w:hAnsi="宋体" w:cs="宋体"/>
          <w:color w:val="000000" w:themeColor="text1"/>
          <w:szCs w:val="20"/>
          <w14:textFill>
            <w14:solidFill>
              <w14:schemeClr w14:val="tx1"/>
            </w14:solidFill>
          </w14:textFill>
        </w:rPr>
        <w:t xml:space="preserve">  总间隙（a）由左间隙（a</w:t>
      </w:r>
      <w:r>
        <w:rPr>
          <w:rFonts w:hint="eastAsia" w:hAnsi="宋体" w:cs="宋体"/>
          <w:color w:val="000000" w:themeColor="text1"/>
          <w:szCs w:val="20"/>
          <w:vertAlign w:val="subscript"/>
          <w14:textFill>
            <w14:solidFill>
              <w14:schemeClr w14:val="tx1"/>
            </w14:solidFill>
          </w14:textFill>
        </w:rPr>
        <w:t>l</w:t>
      </w:r>
      <w:r>
        <w:rPr>
          <w:rFonts w:hint="eastAsia" w:hAnsi="宋体" w:cs="宋体"/>
          <w:color w:val="000000" w:themeColor="text1"/>
          <w:szCs w:val="20"/>
          <w14:textFill>
            <w14:solidFill>
              <w14:schemeClr w14:val="tx1"/>
            </w14:solidFill>
          </w14:textFill>
        </w:rPr>
        <w:t>）、中间间隙（a</w:t>
      </w:r>
      <w:r>
        <w:rPr>
          <w:rFonts w:hint="eastAsia" w:hAnsi="宋体" w:cs="宋体"/>
          <w:color w:val="000000" w:themeColor="text1"/>
          <w:szCs w:val="20"/>
          <w:vertAlign w:val="subscript"/>
          <w14:textFill>
            <w14:solidFill>
              <w14:schemeClr w14:val="tx1"/>
            </w14:solidFill>
          </w14:textFill>
        </w:rPr>
        <w:t>c</w:t>
      </w:r>
      <w:r>
        <w:rPr>
          <w:rFonts w:hint="eastAsia" w:hAnsi="宋体" w:cs="宋体"/>
          <w:color w:val="000000" w:themeColor="text1"/>
          <w:szCs w:val="20"/>
          <w14:textFill>
            <w14:solidFill>
              <w14:schemeClr w14:val="tx1"/>
            </w14:solidFill>
          </w14:textFill>
        </w:rPr>
        <w:t>）和右间隙（a</w:t>
      </w:r>
      <w:r>
        <w:rPr>
          <w:rFonts w:hint="eastAsia" w:hAnsi="宋体" w:cs="宋体"/>
          <w:color w:val="000000" w:themeColor="text1"/>
          <w:szCs w:val="20"/>
          <w:vertAlign w:val="subscript"/>
          <w14:textFill>
            <w14:solidFill>
              <w14:schemeClr w14:val="tx1"/>
            </w14:solidFill>
          </w14:textFill>
        </w:rPr>
        <w:t>r</w:t>
      </w:r>
      <w:r>
        <w:rPr>
          <w:rFonts w:hint="eastAsia" w:hAnsi="宋体" w:cs="宋体"/>
          <w:color w:val="000000" w:themeColor="text1"/>
          <w:szCs w:val="20"/>
          <w14:textFill>
            <w14:solidFill>
              <w14:schemeClr w14:val="tx1"/>
            </w14:solidFill>
          </w14:textFill>
        </w:rPr>
        <w:t>）组成，示意如图6。</w:t>
      </w:r>
    </w:p>
    <w:p w14:paraId="2C3058F3">
      <w:pPr>
        <w:pStyle w:val="68"/>
        <w:widowControl/>
        <w:ind w:firstLine="420" w:firstLineChars="200"/>
        <w:jc w:val="center"/>
        <w:outlineLvl w:val="9"/>
        <w:rPr>
          <w:rFonts w:ascii="Times New Roman" w:eastAsia="黑体" w:cs="Times New Roman"/>
          <w:color w:val="000000" w:themeColor="text1"/>
          <w:szCs w:val="20"/>
          <w14:textFill>
            <w14:solidFill>
              <w14:schemeClr w14:val="tx1"/>
            </w14:solidFill>
          </w14:textFill>
        </w:rPr>
      </w:pPr>
      <w:r>
        <w:rPr>
          <w:rFonts w:ascii="Times New Roman" w:eastAsia="黑体" w:cs="Times New Roman"/>
          <w:color w:val="000000" w:themeColor="text1"/>
          <w:szCs w:val="20"/>
          <w14:textFill>
            <w14:solidFill>
              <w14:schemeClr w14:val="tx1"/>
            </w14:solidFill>
          </w14:textFill>
        </w:rPr>
        <w:drawing>
          <wp:inline distT="0" distB="0" distL="114300" distR="114300">
            <wp:extent cx="5397500" cy="898525"/>
            <wp:effectExtent l="0" t="0" r="12700" b="635"/>
            <wp:docPr id="10" name="图片 10" descr="图8 总间隙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8 总间隙示意图"/>
                    <pic:cNvPicPr>
                      <a:picLocks noChangeAspect="1"/>
                    </pic:cNvPicPr>
                  </pic:nvPicPr>
                  <pic:blipFill>
                    <a:blip r:embed="rId20"/>
                    <a:stretch>
                      <a:fillRect/>
                    </a:stretch>
                  </pic:blipFill>
                  <pic:spPr>
                    <a:xfrm>
                      <a:off x="0" y="0"/>
                      <a:ext cx="5397500" cy="898525"/>
                    </a:xfrm>
                    <a:prstGeom prst="rect">
                      <a:avLst/>
                    </a:prstGeom>
                  </pic:spPr>
                </pic:pic>
              </a:graphicData>
            </a:graphic>
          </wp:inline>
        </w:drawing>
      </w:r>
    </w:p>
    <w:p w14:paraId="05A00F17">
      <w:pPr>
        <w:widowControl/>
        <w:spacing w:after="156" w:afterLines="50"/>
        <w:jc w:val="center"/>
        <w:rPr>
          <w:rFonts w:ascii="黑体" w:hAnsi="黑体" w:eastAsia="黑体" w:cs="黑体"/>
          <w:szCs w:val="21"/>
        </w:rPr>
      </w:pPr>
      <w:r>
        <w:rPr>
          <w:rFonts w:hint="eastAsia" w:ascii="黑体" w:hAnsi="黑体" w:eastAsia="黑体" w:cs="黑体"/>
          <w:color w:val="000000"/>
          <w:kern w:val="0"/>
          <w:szCs w:val="21"/>
          <w:lang w:bidi="ar"/>
        </w:rPr>
        <w:t>图6  总间隙示意图</w:t>
      </w:r>
    </w:p>
    <w:p w14:paraId="57B14CC6">
      <w:pPr>
        <w:pStyle w:val="68"/>
        <w:spacing w:before="0" w:after="0"/>
        <w:outlineLvl w:val="9"/>
        <w:rPr>
          <w:rFonts w:hAnsi="宋体" w:cs="宋体"/>
          <w:color w:val="000000" w:themeColor="text1"/>
          <w:szCs w:val="20"/>
          <w14:textFill>
            <w14:solidFill>
              <w14:schemeClr w14:val="tx1"/>
            </w14:solidFill>
          </w14:textFill>
        </w:rPr>
      </w:pPr>
      <w:r>
        <w:rPr>
          <w:rFonts w:hint="eastAsia" w:ascii="黑体" w:hAnsi="黑体" w:eastAsia="黑体"/>
          <w:color w:val="000000" w:themeColor="text1"/>
          <w:szCs w:val="20"/>
          <w14:textFill>
            <w14:solidFill>
              <w14:schemeClr w14:val="tx1"/>
            </w14:solidFill>
          </w14:textFill>
        </w:rPr>
        <w:t>5.3.2.2</w:t>
      </w:r>
      <w:r>
        <w:rPr>
          <w:rFonts w:hint="eastAsia" w:hAnsi="宋体" w:cs="宋体"/>
          <w:color w:val="000000" w:themeColor="text1"/>
          <w:szCs w:val="20"/>
          <w14:textFill>
            <w14:solidFill>
              <w14:schemeClr w14:val="tx1"/>
            </w14:solidFill>
          </w14:textFill>
        </w:rPr>
        <w:t xml:space="preserve">  总间隙（a）应按式（1）计算，并符合表4的规定。</w:t>
      </w:r>
    </w:p>
    <w:p w14:paraId="5B9EB27B">
      <w:pPr>
        <w:pStyle w:val="68"/>
        <w:tabs>
          <w:tab w:val="left" w:pos="9240"/>
        </w:tabs>
        <w:spacing w:before="0" w:after="0"/>
        <w:ind w:right="113" w:rightChars="54"/>
        <w:jc w:val="right"/>
        <w:outlineLvl w:val="9"/>
        <w:rPr>
          <w:rFonts w:hAnsi="宋体" w:cs="宋体"/>
          <w:color w:val="000000" w:themeColor="text1"/>
          <w:szCs w:val="20"/>
          <w14:textFill>
            <w14:solidFill>
              <w14:schemeClr w14:val="tx1"/>
            </w14:solidFill>
          </w14:textFill>
        </w:rPr>
      </w:pPr>
      <m:oMath>
        <m:r>
          <m:rPr>
            <m:sty m:val="p"/>
          </m:rPr>
          <w:rPr>
            <w:rFonts w:hint="eastAsia" w:ascii="Cambria Math" w:hAnsi="Cambria Math" w:cs="宋体"/>
            <w:color w:val="000000" w:themeColor="text1"/>
            <w:szCs w:val="20"/>
            <w14:textFill>
              <w14:solidFill>
                <w14:schemeClr w14:val="tx1"/>
              </w14:solidFill>
            </w14:textFill>
          </w:rPr>
          <m:t>a=</m:t>
        </m:r>
        <m:sSub>
          <m:sSubPr>
            <m:ctrlPr>
              <w:rPr>
                <w:rFonts w:hint="eastAsia" w:ascii="Cambria Math" w:hAnsi="Cambria Math" w:cs="宋体"/>
                <w:color w:val="000000" w:themeColor="text1"/>
                <w:szCs w:val="20"/>
                <w14:textFill>
                  <w14:solidFill>
                    <w14:schemeClr w14:val="tx1"/>
                  </w14:solidFill>
                </w14:textFill>
              </w:rPr>
            </m:ctrlPr>
          </m:sSubPr>
          <m:e>
            <m:r>
              <m:rPr>
                <m:sty m:val="p"/>
              </m:rPr>
              <w:rPr>
                <w:rFonts w:hint="eastAsia" w:ascii="Cambria Math" w:hAnsi="Cambria Math" w:cs="宋体"/>
                <w:color w:val="000000" w:themeColor="text1"/>
                <w:szCs w:val="20"/>
                <w14:textFill>
                  <w14:solidFill>
                    <w14:schemeClr w14:val="tx1"/>
                  </w14:solidFill>
                </w14:textFill>
              </w:rPr>
              <m:t>a</m:t>
            </m:r>
            <m:ctrlPr>
              <w:rPr>
                <w:rFonts w:hint="eastAsia" w:ascii="Cambria Math" w:hAnsi="Cambria Math" w:cs="宋体"/>
                <w:color w:val="000000" w:themeColor="text1"/>
                <w:szCs w:val="20"/>
                <w14:textFill>
                  <w14:solidFill>
                    <w14:schemeClr w14:val="tx1"/>
                  </w14:solidFill>
                </w14:textFill>
              </w:rPr>
            </m:ctrlPr>
          </m:e>
          <m:sub>
            <m:r>
              <m:rPr>
                <m:sty m:val="p"/>
              </m:rPr>
              <w:rPr>
                <w:rFonts w:hint="eastAsia" w:ascii="Cambria Math" w:hAnsi="Cambria Math" w:cs="宋体"/>
                <w:color w:val="000000" w:themeColor="text1"/>
                <w:szCs w:val="20"/>
                <w14:textFill>
                  <w14:solidFill>
                    <w14:schemeClr w14:val="tx1"/>
                  </w14:solidFill>
                </w14:textFill>
              </w:rPr>
              <m:t>l</m:t>
            </m:r>
            <m:ctrlPr>
              <w:rPr>
                <w:rFonts w:hint="eastAsia" w:ascii="Cambria Math" w:hAnsi="Cambria Math" w:cs="宋体"/>
                <w:color w:val="000000" w:themeColor="text1"/>
                <w:szCs w:val="20"/>
                <w14:textFill>
                  <w14:solidFill>
                    <w14:schemeClr w14:val="tx1"/>
                  </w14:solidFill>
                </w14:textFill>
              </w:rPr>
            </m:ctrlPr>
          </m:sub>
        </m:sSub>
        <m:r>
          <m:rPr>
            <m:sty m:val="p"/>
          </m:rPr>
          <w:rPr>
            <w:rFonts w:hint="eastAsia" w:ascii="Cambria Math" w:hAnsi="Cambria Math" w:cs="宋体"/>
            <w:color w:val="000000" w:themeColor="text1"/>
            <w:szCs w:val="20"/>
            <w14:textFill>
              <w14:solidFill>
                <w14:schemeClr w14:val="tx1"/>
              </w14:solidFill>
            </w14:textFill>
          </w:rPr>
          <m:t>+</m:t>
        </m:r>
        <m:nary>
          <m:naryPr>
            <m:chr m:val="∑"/>
            <m:limLoc m:val="undOvr"/>
            <m:ctrlPr>
              <w:rPr>
                <w:rFonts w:hint="eastAsia" w:ascii="Cambria Math" w:hAnsi="Cambria Math" w:cs="宋体"/>
                <w:color w:val="000000" w:themeColor="text1"/>
                <w:szCs w:val="20"/>
                <w14:textFill>
                  <w14:solidFill>
                    <w14:schemeClr w14:val="tx1"/>
                  </w14:solidFill>
                </w14:textFill>
              </w:rPr>
            </m:ctrlPr>
          </m:naryPr>
          <m:sub>
            <m:r>
              <m:rPr>
                <m:sty m:val="p"/>
              </m:rPr>
              <w:rPr>
                <w:rFonts w:hint="eastAsia" w:ascii="Cambria Math" w:hAnsi="Cambria Math" w:cs="宋体"/>
                <w:color w:val="000000" w:themeColor="text1"/>
                <w:szCs w:val="20"/>
                <w14:textFill>
                  <w14:solidFill>
                    <w14:schemeClr w14:val="tx1"/>
                  </w14:solidFill>
                </w14:textFill>
              </w:rPr>
              <m:t>i=1</m:t>
            </m:r>
            <m:ctrlPr>
              <w:rPr>
                <w:rFonts w:hint="eastAsia" w:ascii="Cambria Math" w:hAnsi="Cambria Math" w:cs="宋体"/>
                <w:color w:val="000000" w:themeColor="text1"/>
                <w:szCs w:val="20"/>
                <w14:textFill>
                  <w14:solidFill>
                    <w14:schemeClr w14:val="tx1"/>
                  </w14:solidFill>
                </w14:textFill>
              </w:rPr>
            </m:ctrlPr>
          </m:sub>
          <m:sup>
            <m:r>
              <m:rPr>
                <m:sty m:val="p"/>
              </m:rPr>
              <w:rPr>
                <w:rFonts w:hint="eastAsia" w:ascii="Cambria Math" w:hAnsi="Cambria Math" w:cs="宋体"/>
                <w:color w:val="000000" w:themeColor="text1"/>
                <w:szCs w:val="20"/>
                <w14:textFill>
                  <w14:solidFill>
                    <w14:schemeClr w14:val="tx1"/>
                  </w14:solidFill>
                </w14:textFill>
              </w:rPr>
              <m:t>n</m:t>
            </m:r>
            <m:ctrlPr>
              <w:rPr>
                <w:rFonts w:hint="eastAsia" w:ascii="Cambria Math" w:hAnsi="Cambria Math" w:cs="宋体"/>
                <w:color w:val="000000" w:themeColor="text1"/>
                <w:szCs w:val="20"/>
                <w14:textFill>
                  <w14:solidFill>
                    <w14:schemeClr w14:val="tx1"/>
                  </w14:solidFill>
                </w14:textFill>
              </w:rPr>
            </m:ctrlPr>
          </m:sup>
          <m:e>
            <m:sSub>
              <m:sSubPr>
                <m:ctrlPr>
                  <w:rPr>
                    <w:rFonts w:hint="eastAsia" w:ascii="Cambria Math" w:hAnsi="Cambria Math" w:cs="宋体"/>
                    <w:color w:val="000000" w:themeColor="text1"/>
                    <w:szCs w:val="20"/>
                    <w14:textFill>
                      <w14:solidFill>
                        <w14:schemeClr w14:val="tx1"/>
                      </w14:solidFill>
                    </w14:textFill>
                  </w:rPr>
                </m:ctrlPr>
              </m:sSubPr>
              <m:e>
                <m:r>
                  <m:rPr>
                    <m:sty m:val="p"/>
                  </m:rPr>
                  <w:rPr>
                    <w:rFonts w:hint="eastAsia" w:ascii="Cambria Math" w:hAnsi="Cambria Math" w:cs="宋体"/>
                    <w:color w:val="000000" w:themeColor="text1"/>
                    <w:szCs w:val="20"/>
                    <w14:textFill>
                      <w14:solidFill>
                        <w14:schemeClr w14:val="tx1"/>
                      </w14:solidFill>
                    </w14:textFill>
                  </w:rPr>
                  <m:t>a</m:t>
                </m:r>
                <m:ctrlPr>
                  <w:rPr>
                    <w:rFonts w:hint="eastAsia" w:ascii="Cambria Math" w:hAnsi="Cambria Math" w:cs="宋体"/>
                    <w:color w:val="000000" w:themeColor="text1"/>
                    <w:szCs w:val="20"/>
                    <w14:textFill>
                      <w14:solidFill>
                        <w14:schemeClr w14:val="tx1"/>
                      </w14:solidFill>
                    </w14:textFill>
                  </w:rPr>
                </m:ctrlPr>
              </m:e>
              <m:sub>
                <m:r>
                  <m:rPr>
                    <m:sty m:val="p"/>
                  </m:rPr>
                  <w:rPr>
                    <w:rFonts w:hint="eastAsia" w:ascii="Cambria Math" w:hAnsi="Cambria Math" w:cs="宋体"/>
                    <w:color w:val="000000" w:themeColor="text1"/>
                    <w:szCs w:val="20"/>
                    <w14:textFill>
                      <w14:solidFill>
                        <w14:schemeClr w14:val="tx1"/>
                      </w14:solidFill>
                    </w14:textFill>
                  </w:rPr>
                  <m:t>ci</m:t>
                </m:r>
                <m:ctrlPr>
                  <w:rPr>
                    <w:rFonts w:hint="eastAsia" w:ascii="Cambria Math" w:hAnsi="Cambria Math" w:cs="宋体"/>
                    <w:color w:val="000000" w:themeColor="text1"/>
                    <w:szCs w:val="20"/>
                    <w14:textFill>
                      <w14:solidFill>
                        <w14:schemeClr w14:val="tx1"/>
                      </w14:solidFill>
                    </w14:textFill>
                  </w:rPr>
                </m:ctrlPr>
              </m:sub>
            </m:sSub>
            <m:ctrlPr>
              <w:rPr>
                <w:rFonts w:hint="eastAsia" w:ascii="Cambria Math" w:hAnsi="Cambria Math" w:cs="宋体"/>
                <w:color w:val="000000" w:themeColor="text1"/>
                <w:szCs w:val="20"/>
                <w14:textFill>
                  <w14:solidFill>
                    <w14:schemeClr w14:val="tx1"/>
                  </w14:solidFill>
                </w14:textFill>
              </w:rPr>
            </m:ctrlPr>
          </m:e>
        </m:nary>
        <m:r>
          <m:rPr>
            <m:sty m:val="p"/>
          </m:rPr>
          <w:rPr>
            <w:rFonts w:hint="eastAsia" w:ascii="Cambria Math" w:hAnsi="Cambria Math" w:cs="宋体"/>
            <w:color w:val="000000" w:themeColor="text1"/>
            <w:szCs w:val="20"/>
            <w14:textFill>
              <w14:solidFill>
                <w14:schemeClr w14:val="tx1"/>
              </w14:solidFill>
            </w14:textFill>
          </w:rPr>
          <m:t>+</m:t>
        </m:r>
        <m:sSub>
          <m:sSubPr>
            <m:ctrlPr>
              <w:rPr>
                <w:rFonts w:hint="eastAsia" w:ascii="Cambria Math" w:hAnsi="Cambria Math" w:cs="宋体"/>
                <w:color w:val="000000" w:themeColor="text1"/>
                <w:szCs w:val="20"/>
                <w14:textFill>
                  <w14:solidFill>
                    <w14:schemeClr w14:val="tx1"/>
                  </w14:solidFill>
                </w14:textFill>
              </w:rPr>
            </m:ctrlPr>
          </m:sSubPr>
          <m:e>
            <m:r>
              <m:rPr>
                <m:sty m:val="p"/>
              </m:rPr>
              <w:rPr>
                <w:rFonts w:hint="eastAsia" w:ascii="Cambria Math" w:hAnsi="Cambria Math" w:cs="宋体"/>
                <w:color w:val="000000" w:themeColor="text1"/>
                <w:szCs w:val="20"/>
                <w14:textFill>
                  <w14:solidFill>
                    <w14:schemeClr w14:val="tx1"/>
                  </w14:solidFill>
                </w14:textFill>
              </w:rPr>
              <m:t>a</m:t>
            </m:r>
            <m:ctrlPr>
              <w:rPr>
                <w:rFonts w:hint="eastAsia" w:ascii="Cambria Math" w:hAnsi="Cambria Math" w:cs="宋体"/>
                <w:color w:val="000000" w:themeColor="text1"/>
                <w:szCs w:val="20"/>
                <w14:textFill>
                  <w14:solidFill>
                    <w14:schemeClr w14:val="tx1"/>
                  </w14:solidFill>
                </w14:textFill>
              </w:rPr>
            </m:ctrlPr>
          </m:e>
          <m:sub>
            <m:r>
              <m:rPr>
                <m:sty m:val="p"/>
              </m:rPr>
              <w:rPr>
                <w:rFonts w:hint="eastAsia" w:ascii="Cambria Math" w:hAnsi="Cambria Math" w:cs="宋体"/>
                <w:color w:val="000000" w:themeColor="text1"/>
                <w:szCs w:val="20"/>
                <w14:textFill>
                  <w14:solidFill>
                    <w14:schemeClr w14:val="tx1"/>
                  </w14:solidFill>
                </w14:textFill>
              </w:rPr>
              <m:t>r</m:t>
            </m:r>
            <m:ctrlPr>
              <w:rPr>
                <w:rFonts w:hint="eastAsia" w:ascii="Cambria Math" w:hAnsi="Cambria Math" w:cs="宋体"/>
                <w:color w:val="000000" w:themeColor="text1"/>
                <w:szCs w:val="20"/>
                <w14:textFill>
                  <w14:solidFill>
                    <w14:schemeClr w14:val="tx1"/>
                  </w14:solidFill>
                </w14:textFill>
              </w:rPr>
            </m:ctrlPr>
          </m:sub>
        </m:sSub>
      </m:oMath>
      <w:r>
        <w:rPr>
          <w:rFonts w:hint="eastAsia" w:hAnsi="Cambria Math" w:cs="宋体"/>
          <w:color w:val="000000" w:themeColor="text1"/>
          <w:szCs w:val="20"/>
          <w14:textFill>
            <w14:solidFill>
              <w14:schemeClr w14:val="tx1"/>
            </w14:solidFill>
          </w14:textFill>
        </w:rPr>
        <w:t xml:space="preserve"> ……                         （1）</w:t>
      </w:r>
    </w:p>
    <w:p w14:paraId="128C901A">
      <w:pPr>
        <w:pStyle w:val="68"/>
        <w:spacing w:before="0" w:after="0"/>
        <w:ind w:firstLine="420" w:firstLineChars="200"/>
        <w:outlineLvl w:val="9"/>
        <w:rPr>
          <w:rFonts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式中：</w:t>
      </w:r>
    </w:p>
    <w:p w14:paraId="5D3D458E">
      <w:pPr>
        <w:pStyle w:val="68"/>
        <w:spacing w:before="0" w:after="0"/>
        <w:ind w:firstLine="420" w:firstLineChars="200"/>
        <w:outlineLvl w:val="9"/>
        <w:rPr>
          <w:rFonts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a</w:t>
      </w:r>
      <w:r>
        <w:rPr>
          <w:rFonts w:hint="eastAsia" w:hAnsi="宋体" w:cs="宋体"/>
          <w:color w:val="000000" w:themeColor="text1"/>
          <w:szCs w:val="20"/>
          <w:vertAlign w:val="subscript"/>
          <w14:textFill>
            <w14:solidFill>
              <w14:schemeClr w14:val="tx1"/>
            </w14:solidFill>
          </w14:textFill>
        </w:rPr>
        <w:t>l</w:t>
      </w:r>
      <w:r>
        <w:rPr>
          <w:rFonts w:hint="eastAsia" w:hAnsi="宋体" w:cs="宋体"/>
          <w:color w:val="000000" w:themeColor="text1"/>
          <w:szCs w:val="20"/>
          <w14:textFill>
            <w14:solidFill>
              <w14:schemeClr w14:val="tx1"/>
            </w14:solidFill>
          </w14:textFill>
        </w:rPr>
        <w:t>——左间隙（mm）；</w:t>
      </w:r>
    </w:p>
    <w:p w14:paraId="595E827F">
      <w:pPr>
        <w:pStyle w:val="68"/>
        <w:spacing w:before="0" w:after="0"/>
        <w:ind w:firstLine="420" w:firstLineChars="200"/>
        <w:outlineLvl w:val="9"/>
        <w:rPr>
          <w:rFonts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a</w:t>
      </w:r>
      <w:r>
        <w:rPr>
          <w:rFonts w:hint="eastAsia" w:hAnsi="宋体" w:cs="宋体"/>
          <w:color w:val="000000" w:themeColor="text1"/>
          <w:szCs w:val="20"/>
          <w:vertAlign w:val="subscript"/>
          <w14:textFill>
            <w14:solidFill>
              <w14:schemeClr w14:val="tx1"/>
            </w14:solidFill>
          </w14:textFill>
        </w:rPr>
        <w:t>ci</w:t>
      </w:r>
      <w:r>
        <w:rPr>
          <w:rFonts w:hint="eastAsia" w:hAnsi="宋体" w:cs="宋体"/>
          <w:color w:val="000000" w:themeColor="text1"/>
          <w:szCs w:val="20"/>
          <w14:textFill>
            <w14:solidFill>
              <w14:schemeClr w14:val="tx1"/>
            </w14:solidFill>
          </w14:textFill>
        </w:rPr>
        <w:t>——第i个中间间隙（mm）；</w:t>
      </w:r>
    </w:p>
    <w:p w14:paraId="7EEE7B03">
      <w:pPr>
        <w:pStyle w:val="68"/>
        <w:spacing w:before="0" w:after="0"/>
        <w:ind w:firstLine="420" w:firstLineChars="200"/>
        <w:outlineLvl w:val="9"/>
        <w:rPr>
          <w:rFonts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a</w:t>
      </w:r>
      <w:r>
        <w:rPr>
          <w:rFonts w:hint="eastAsia" w:hAnsi="宋体" w:cs="宋体"/>
          <w:color w:val="000000" w:themeColor="text1"/>
          <w:szCs w:val="20"/>
          <w:vertAlign w:val="subscript"/>
          <w14:textFill>
            <w14:solidFill>
              <w14:schemeClr w14:val="tx1"/>
            </w14:solidFill>
          </w14:textFill>
        </w:rPr>
        <w:t>r</w:t>
      </w:r>
      <w:r>
        <w:rPr>
          <w:rFonts w:hint="eastAsia" w:hAnsi="宋体" w:cs="宋体"/>
          <w:color w:val="000000" w:themeColor="text1"/>
          <w:szCs w:val="20"/>
          <w14:textFill>
            <w14:solidFill>
              <w14:schemeClr w14:val="tx1"/>
            </w14:solidFill>
          </w14:textFill>
        </w:rPr>
        <w:t>——右间隙（mm）</w:t>
      </w:r>
    </w:p>
    <w:p w14:paraId="25150DF6">
      <w:pPr>
        <w:pStyle w:val="68"/>
        <w:spacing w:before="0" w:after="0"/>
        <w:ind w:firstLine="420" w:firstLineChars="200"/>
        <w:outlineLvl w:val="9"/>
        <w:rPr>
          <w:rFonts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n——中间间隙总个数。</w:t>
      </w:r>
    </w:p>
    <w:p w14:paraId="60F45AB8">
      <w:pPr>
        <w:pStyle w:val="68"/>
        <w:spacing w:before="156" w:beforeLines="50" w:after="0"/>
        <w:jc w:val="center"/>
        <w:outlineLvl w:val="9"/>
        <w:rPr>
          <w:rFonts w:ascii="黑体" w:hAnsi="黑体" w:eastAsia="黑体"/>
        </w:rPr>
      </w:pPr>
      <w:r>
        <w:rPr>
          <w:rFonts w:hint="eastAsia" w:ascii="黑体" w:hAnsi="黑体" w:eastAsia="黑体"/>
          <w:color w:val="000000"/>
          <w:lang w:bidi="ar"/>
        </w:rPr>
        <w:t>表4  总间隙（a）</w:t>
      </w:r>
    </w:p>
    <w:tbl>
      <w:tblPr>
        <w:tblStyle w:val="3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992"/>
        <w:gridCol w:w="2993"/>
        <w:gridCol w:w="2993"/>
      </w:tblGrid>
      <w:tr w14:paraId="3158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2992" w:type="dxa"/>
            <w:vAlign w:val="center"/>
          </w:tcPr>
          <w:p w14:paraId="2051D25F">
            <w:pPr>
              <w:spacing w:line="245" w:lineRule="exact"/>
              <w:jc w:val="center"/>
              <w:rPr>
                <w:rFonts w:ascii="宋体" w:hAnsi="宋体" w:cs="宋体"/>
                <w:sz w:val="18"/>
                <w:szCs w:val="18"/>
              </w:rPr>
            </w:pPr>
            <w:r>
              <w:rPr>
                <w:rFonts w:hint="eastAsia" w:ascii="宋体" w:hAnsi="宋体" w:cs="宋体"/>
                <w:color w:val="000000"/>
                <w:sz w:val="18"/>
                <w:szCs w:val="18"/>
              </w:rPr>
              <w:t>并行设置的井盖数量</w:t>
            </w:r>
          </w:p>
        </w:tc>
        <w:tc>
          <w:tcPr>
            <w:tcW w:w="2993" w:type="dxa"/>
            <w:vAlign w:val="center"/>
          </w:tcPr>
          <w:p w14:paraId="7983F924">
            <w:pPr>
              <w:spacing w:line="243" w:lineRule="exact"/>
              <w:jc w:val="center"/>
              <w:rPr>
                <w:rFonts w:ascii="宋体" w:hAnsi="宋体" w:cs="宋体"/>
                <w:sz w:val="18"/>
                <w:szCs w:val="18"/>
              </w:rPr>
            </w:pPr>
            <w:r>
              <w:rPr>
                <w:rFonts w:hint="eastAsia" w:ascii="宋体" w:hAnsi="宋体" w:cs="宋体"/>
                <w:color w:val="000000"/>
                <w:sz w:val="18"/>
                <w:szCs w:val="18"/>
              </w:rPr>
              <w:t>井座净开孔co（mm）</w:t>
            </w:r>
          </w:p>
        </w:tc>
        <w:tc>
          <w:tcPr>
            <w:tcW w:w="2993" w:type="dxa"/>
            <w:vAlign w:val="center"/>
          </w:tcPr>
          <w:p w14:paraId="69C66C66">
            <w:pPr>
              <w:jc w:val="center"/>
              <w:rPr>
                <w:rFonts w:ascii="宋体" w:hAnsi="宋体" w:cs="宋体"/>
                <w:sz w:val="18"/>
                <w:szCs w:val="18"/>
              </w:rPr>
            </w:pPr>
            <w:r>
              <w:rPr>
                <w:rFonts w:hint="eastAsia" w:ascii="宋体" w:hAnsi="宋体" w:cs="宋体"/>
                <w:color w:val="000000"/>
                <w:sz w:val="18"/>
                <w:szCs w:val="18"/>
              </w:rPr>
              <w:t>总间隙a(mm)</w:t>
            </w:r>
          </w:p>
        </w:tc>
      </w:tr>
      <w:tr w14:paraId="1298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2992" w:type="dxa"/>
            <w:vMerge w:val="restart"/>
            <w:vAlign w:val="center"/>
          </w:tcPr>
          <w:p w14:paraId="0D80389D">
            <w:pPr>
              <w:spacing w:line="212" w:lineRule="exact"/>
              <w:jc w:val="center"/>
              <w:rPr>
                <w:rFonts w:ascii="宋体" w:hAnsi="宋体" w:cs="宋体"/>
                <w:sz w:val="18"/>
                <w:szCs w:val="18"/>
              </w:rPr>
            </w:pPr>
            <w:r>
              <w:rPr>
                <w:rFonts w:hint="eastAsia" w:ascii="宋体" w:hAnsi="宋体" w:cs="宋体"/>
                <w:color w:val="000000"/>
                <w:sz w:val="18"/>
                <w:szCs w:val="18"/>
              </w:rPr>
              <w:t>1件</w:t>
            </w:r>
          </w:p>
        </w:tc>
        <w:tc>
          <w:tcPr>
            <w:tcW w:w="2993" w:type="dxa"/>
            <w:vAlign w:val="center"/>
          </w:tcPr>
          <w:p w14:paraId="0D0FDBDC">
            <w:pPr>
              <w:spacing w:line="198" w:lineRule="exact"/>
              <w:jc w:val="center"/>
              <w:rPr>
                <w:rFonts w:ascii="宋体" w:hAnsi="宋体" w:cs="宋体"/>
                <w:sz w:val="18"/>
                <w:szCs w:val="18"/>
              </w:rPr>
            </w:pPr>
            <w:r>
              <w:rPr>
                <w:rFonts w:hint="eastAsia" w:ascii="宋体" w:hAnsi="宋体" w:cs="宋体"/>
                <w:color w:val="000000"/>
                <w:sz w:val="18"/>
                <w:szCs w:val="18"/>
              </w:rPr>
              <w:t>≤700</w:t>
            </w:r>
          </w:p>
        </w:tc>
        <w:tc>
          <w:tcPr>
            <w:tcW w:w="2993" w:type="dxa"/>
            <w:vAlign w:val="center"/>
          </w:tcPr>
          <w:p w14:paraId="2CFEA167">
            <w:pPr>
              <w:spacing w:line="198" w:lineRule="exact"/>
              <w:jc w:val="center"/>
              <w:rPr>
                <w:rFonts w:ascii="宋体" w:hAnsi="宋体" w:cs="宋体"/>
                <w:sz w:val="18"/>
                <w:szCs w:val="18"/>
              </w:rPr>
            </w:pPr>
            <w:r>
              <w:rPr>
                <w:rFonts w:hint="eastAsia" w:ascii="宋体" w:hAnsi="宋体" w:cs="宋体"/>
                <w:color w:val="000000"/>
                <w:sz w:val="18"/>
                <w:szCs w:val="18"/>
              </w:rPr>
              <w:t>≤3</w:t>
            </w:r>
          </w:p>
        </w:tc>
      </w:tr>
      <w:tr w14:paraId="752D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2992" w:type="dxa"/>
            <w:vMerge w:val="continue"/>
          </w:tcPr>
          <w:p w14:paraId="13DD83CE">
            <w:pPr>
              <w:rPr>
                <w:rFonts w:ascii="宋体" w:hAnsi="宋体" w:cs="宋体"/>
                <w:sz w:val="18"/>
                <w:szCs w:val="18"/>
              </w:rPr>
            </w:pPr>
          </w:p>
        </w:tc>
        <w:tc>
          <w:tcPr>
            <w:tcW w:w="2993" w:type="dxa"/>
            <w:vAlign w:val="center"/>
          </w:tcPr>
          <w:p w14:paraId="7FB93287">
            <w:pPr>
              <w:spacing w:line="180" w:lineRule="exact"/>
              <w:jc w:val="center"/>
              <w:rPr>
                <w:rFonts w:ascii="宋体" w:hAnsi="宋体" w:cs="宋体"/>
                <w:sz w:val="18"/>
                <w:szCs w:val="18"/>
              </w:rPr>
            </w:pPr>
            <w:r>
              <w:rPr>
                <w:rFonts w:hint="eastAsia" w:ascii="宋体" w:hAnsi="宋体" w:cs="宋体"/>
                <w:color w:val="000000"/>
                <w:sz w:val="18"/>
                <w:szCs w:val="18"/>
              </w:rPr>
              <w:t>＞700</w:t>
            </w:r>
          </w:p>
        </w:tc>
        <w:tc>
          <w:tcPr>
            <w:tcW w:w="2993" w:type="dxa"/>
            <w:vAlign w:val="center"/>
          </w:tcPr>
          <w:p w14:paraId="4D9B3F60">
            <w:pPr>
              <w:spacing w:line="180" w:lineRule="exact"/>
              <w:jc w:val="center"/>
              <w:rPr>
                <w:rFonts w:ascii="宋体" w:hAnsi="宋体" w:cs="宋体"/>
                <w:sz w:val="18"/>
                <w:szCs w:val="18"/>
              </w:rPr>
            </w:pPr>
            <w:r>
              <w:rPr>
                <w:rFonts w:hint="eastAsia" w:ascii="宋体" w:hAnsi="宋体" w:cs="宋体"/>
                <w:color w:val="000000"/>
                <w:sz w:val="18"/>
                <w:szCs w:val="18"/>
              </w:rPr>
              <w:t>≤6</w:t>
            </w:r>
          </w:p>
        </w:tc>
      </w:tr>
      <w:tr w14:paraId="2C54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2992" w:type="dxa"/>
            <w:vMerge w:val="restart"/>
            <w:vAlign w:val="center"/>
          </w:tcPr>
          <w:p w14:paraId="36E8AA08">
            <w:pPr>
              <w:spacing w:line="212" w:lineRule="exact"/>
              <w:jc w:val="center"/>
              <w:rPr>
                <w:rFonts w:ascii="宋体" w:hAnsi="宋体" w:cs="宋体"/>
                <w:sz w:val="18"/>
                <w:szCs w:val="18"/>
              </w:rPr>
            </w:pPr>
            <w:r>
              <w:rPr>
                <w:rFonts w:hint="eastAsia" w:ascii="宋体" w:hAnsi="宋体" w:cs="宋体"/>
                <w:color w:val="000000"/>
                <w:sz w:val="18"/>
                <w:szCs w:val="18"/>
              </w:rPr>
              <w:t>2件</w:t>
            </w:r>
          </w:p>
        </w:tc>
        <w:tc>
          <w:tcPr>
            <w:tcW w:w="2993" w:type="dxa"/>
            <w:vAlign w:val="center"/>
          </w:tcPr>
          <w:p w14:paraId="6E181826">
            <w:pPr>
              <w:spacing w:line="216" w:lineRule="exact"/>
              <w:jc w:val="center"/>
              <w:rPr>
                <w:rFonts w:ascii="宋体" w:hAnsi="宋体" w:cs="宋体"/>
                <w:sz w:val="18"/>
                <w:szCs w:val="18"/>
              </w:rPr>
            </w:pPr>
            <w:r>
              <w:rPr>
                <w:rFonts w:hint="eastAsia" w:ascii="宋体" w:hAnsi="宋体" w:cs="宋体"/>
                <w:color w:val="000000"/>
                <w:sz w:val="18"/>
                <w:szCs w:val="18"/>
              </w:rPr>
              <w:t>≤700</w:t>
            </w:r>
          </w:p>
        </w:tc>
        <w:tc>
          <w:tcPr>
            <w:tcW w:w="2993" w:type="dxa"/>
            <w:vAlign w:val="center"/>
          </w:tcPr>
          <w:p w14:paraId="65B9491D">
            <w:pPr>
              <w:spacing w:line="216" w:lineRule="exact"/>
              <w:jc w:val="center"/>
              <w:rPr>
                <w:rFonts w:ascii="宋体" w:hAnsi="宋体" w:cs="宋体"/>
                <w:sz w:val="18"/>
                <w:szCs w:val="18"/>
              </w:rPr>
            </w:pPr>
            <w:r>
              <w:rPr>
                <w:rFonts w:hint="eastAsia" w:ascii="宋体" w:hAnsi="宋体" w:cs="宋体"/>
                <w:color w:val="000000"/>
                <w:sz w:val="18"/>
                <w:szCs w:val="18"/>
              </w:rPr>
              <w:t>≤7</w:t>
            </w:r>
          </w:p>
        </w:tc>
      </w:tr>
      <w:tr w14:paraId="27E1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2992" w:type="dxa"/>
            <w:vMerge w:val="continue"/>
          </w:tcPr>
          <w:p w14:paraId="0B9FEC6B">
            <w:pPr>
              <w:rPr>
                <w:rFonts w:ascii="宋体" w:hAnsi="宋体" w:cs="宋体"/>
                <w:sz w:val="18"/>
                <w:szCs w:val="18"/>
              </w:rPr>
            </w:pPr>
          </w:p>
        </w:tc>
        <w:tc>
          <w:tcPr>
            <w:tcW w:w="2993" w:type="dxa"/>
            <w:vAlign w:val="center"/>
          </w:tcPr>
          <w:p w14:paraId="0D4CDA83">
            <w:pPr>
              <w:jc w:val="center"/>
              <w:rPr>
                <w:rFonts w:ascii="宋体" w:hAnsi="宋体" w:cs="宋体"/>
                <w:sz w:val="18"/>
                <w:szCs w:val="18"/>
              </w:rPr>
            </w:pPr>
            <w:r>
              <w:rPr>
                <w:rFonts w:hint="eastAsia" w:ascii="宋体" w:hAnsi="宋体" w:cs="宋体"/>
                <w:color w:val="000000"/>
                <w:sz w:val="18"/>
                <w:szCs w:val="18"/>
              </w:rPr>
              <w:t>＞700</w:t>
            </w:r>
          </w:p>
        </w:tc>
        <w:tc>
          <w:tcPr>
            <w:tcW w:w="2993" w:type="dxa"/>
            <w:vAlign w:val="center"/>
          </w:tcPr>
          <w:p w14:paraId="22E2DB7C">
            <w:pPr>
              <w:jc w:val="center"/>
              <w:rPr>
                <w:rFonts w:ascii="宋体" w:hAnsi="宋体" w:cs="宋体"/>
                <w:sz w:val="18"/>
                <w:szCs w:val="18"/>
              </w:rPr>
            </w:pPr>
            <w:r>
              <w:rPr>
                <w:rFonts w:hint="eastAsia" w:ascii="宋体" w:hAnsi="宋体" w:cs="宋体"/>
                <w:color w:val="000000"/>
                <w:sz w:val="18"/>
                <w:szCs w:val="18"/>
              </w:rPr>
              <w:t>≤9</w:t>
            </w:r>
          </w:p>
        </w:tc>
      </w:tr>
      <w:tr w14:paraId="3BF0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2992" w:type="dxa"/>
            <w:vAlign w:val="center"/>
          </w:tcPr>
          <w:p w14:paraId="39306EA7">
            <w:pPr>
              <w:spacing w:line="210" w:lineRule="exact"/>
              <w:jc w:val="center"/>
              <w:rPr>
                <w:rFonts w:ascii="宋体" w:hAnsi="宋体" w:cs="宋体"/>
                <w:sz w:val="18"/>
                <w:szCs w:val="18"/>
              </w:rPr>
            </w:pPr>
            <w:r>
              <w:rPr>
                <w:rFonts w:hint="eastAsia" w:ascii="宋体" w:hAnsi="宋体" w:cs="宋体"/>
                <w:color w:val="000000"/>
                <w:sz w:val="18"/>
                <w:szCs w:val="18"/>
              </w:rPr>
              <w:t>3件及以上</w:t>
            </w:r>
          </w:p>
        </w:tc>
        <w:tc>
          <w:tcPr>
            <w:tcW w:w="2993" w:type="dxa"/>
            <w:vAlign w:val="center"/>
          </w:tcPr>
          <w:p w14:paraId="3366201F">
            <w:pPr>
              <w:jc w:val="center"/>
              <w:rPr>
                <w:rFonts w:ascii="宋体" w:hAnsi="宋体" w:cs="宋体"/>
                <w:sz w:val="18"/>
                <w:szCs w:val="18"/>
              </w:rPr>
            </w:pPr>
            <w:r>
              <w:rPr>
                <w:rFonts w:hint="eastAsia" w:ascii="宋体" w:hAnsi="宋体" w:cs="宋体"/>
                <w:sz w:val="18"/>
                <w:szCs w:val="18"/>
              </w:rPr>
              <w:t>——</w:t>
            </w:r>
          </w:p>
        </w:tc>
        <w:tc>
          <w:tcPr>
            <w:tcW w:w="2993" w:type="dxa"/>
            <w:vAlign w:val="center"/>
          </w:tcPr>
          <w:p w14:paraId="28D7C7C8">
            <w:pPr>
              <w:spacing w:line="245" w:lineRule="exact"/>
              <w:jc w:val="center"/>
              <w:rPr>
                <w:rFonts w:ascii="宋体" w:hAnsi="宋体" w:cs="宋体"/>
                <w:sz w:val="18"/>
                <w:szCs w:val="18"/>
              </w:rPr>
            </w:pPr>
            <w:r>
              <w:rPr>
                <w:rFonts w:hint="eastAsia" w:ascii="宋体" w:hAnsi="宋体" w:cs="宋体"/>
                <w:color w:val="000000"/>
                <w:sz w:val="18"/>
                <w:szCs w:val="18"/>
              </w:rPr>
              <w:t>≤15，单件不超过5</w:t>
            </w:r>
          </w:p>
        </w:tc>
      </w:tr>
    </w:tbl>
    <w:p w14:paraId="1788FB6C">
      <w:pPr>
        <w:pStyle w:val="68"/>
        <w:numPr>
          <w:ilvl w:val="2"/>
          <w:numId w:val="20"/>
        </w:numPr>
        <w:spacing w:before="156" w:beforeLines="50" w:after="0"/>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嵌入深度（A）、井座支承面宽度（B）和斜度（e）</w:t>
      </w:r>
    </w:p>
    <w:p w14:paraId="3DE93B1D">
      <w:pPr>
        <w:pStyle w:val="68"/>
        <w:outlineLvl w:val="9"/>
        <w:rPr>
          <w:rFonts w:hAnsi="宋体" w:cs="宋体"/>
          <w:color w:val="000000" w:themeColor="text1"/>
          <w:szCs w:val="20"/>
          <w14:textFill>
            <w14:solidFill>
              <w14:schemeClr w14:val="tx1"/>
            </w14:solidFill>
          </w14:textFill>
        </w:rPr>
      </w:pPr>
      <w:r>
        <w:rPr>
          <w:rFonts w:hint="eastAsia" w:ascii="黑体" w:hAnsi="黑体" w:eastAsia="黑体"/>
          <w:color w:val="000000" w:themeColor="text1"/>
          <w:szCs w:val="20"/>
          <w14:textFill>
            <w14:solidFill>
              <w14:schemeClr w14:val="tx1"/>
            </w14:solidFill>
          </w14:textFill>
        </w:rPr>
        <w:t>5.3.2.1</w:t>
      </w:r>
      <w:r>
        <w:rPr>
          <w:rFonts w:hint="eastAsia" w:hAnsi="宋体" w:cs="宋体"/>
          <w:color w:val="000000" w:themeColor="text1"/>
          <w:szCs w:val="20"/>
          <w14:textFill>
            <w14:solidFill>
              <w14:schemeClr w14:val="tx1"/>
            </w14:solidFill>
          </w14:textFill>
        </w:rPr>
        <w:t xml:space="preserve">  底部为渐变式的井盖的嵌入深度</w:t>
      </w:r>
      <w:r>
        <w:rPr>
          <w:rFonts w:hint="eastAsia" w:hAnsi="宋体" w:cs="宋体"/>
          <w:color w:val="000000" w:themeColor="text1"/>
          <w14:textFill>
            <w14:solidFill>
              <w14:schemeClr w14:val="tx1"/>
            </w14:solidFill>
          </w14:textFill>
        </w:rPr>
        <w:t>（A）</w:t>
      </w:r>
      <w:r>
        <w:rPr>
          <w:rFonts w:hint="eastAsia" w:hAnsi="宋体" w:cs="宋体"/>
          <w:color w:val="000000" w:themeColor="text1"/>
          <w:szCs w:val="20"/>
          <w14:textFill>
            <w14:solidFill>
              <w14:schemeClr w14:val="tx1"/>
            </w14:solidFill>
          </w14:textFill>
        </w:rPr>
        <w:t>、井座支承面宽度</w:t>
      </w:r>
      <w:r>
        <w:rPr>
          <w:rFonts w:hint="eastAsia" w:hAnsi="宋体" w:cs="宋体"/>
          <w:color w:val="000000" w:themeColor="text1"/>
          <w14:textFill>
            <w14:solidFill>
              <w14:schemeClr w14:val="tx1"/>
            </w14:solidFill>
          </w14:textFill>
        </w:rPr>
        <w:t>（B）</w:t>
      </w:r>
      <w:r>
        <w:rPr>
          <w:rFonts w:hint="eastAsia" w:hAnsi="宋体" w:cs="宋体"/>
          <w:color w:val="000000" w:themeColor="text1"/>
          <w:szCs w:val="20"/>
          <w14:textFill>
            <w14:solidFill>
              <w14:schemeClr w14:val="tx1"/>
            </w14:solidFill>
          </w14:textFill>
        </w:rPr>
        <w:t>和斜度（e）示意见图7，底部为卡口式的井盖的嵌入深度</w:t>
      </w:r>
      <w:r>
        <w:rPr>
          <w:rFonts w:hint="eastAsia" w:hAnsi="宋体" w:cs="宋体"/>
          <w:color w:val="000000" w:themeColor="text1"/>
          <w14:textFill>
            <w14:solidFill>
              <w14:schemeClr w14:val="tx1"/>
            </w14:solidFill>
          </w14:textFill>
        </w:rPr>
        <w:t>（A）</w:t>
      </w:r>
      <w:r>
        <w:rPr>
          <w:rFonts w:hint="eastAsia" w:hAnsi="宋体" w:cs="宋体"/>
          <w:color w:val="000000" w:themeColor="text1"/>
          <w:szCs w:val="20"/>
          <w14:textFill>
            <w14:solidFill>
              <w14:schemeClr w14:val="tx1"/>
            </w14:solidFill>
          </w14:textFill>
        </w:rPr>
        <w:t>、井座支承面宽度</w:t>
      </w:r>
      <w:r>
        <w:rPr>
          <w:rFonts w:hint="eastAsia" w:hAnsi="宋体" w:cs="宋体"/>
          <w:color w:val="000000" w:themeColor="text1"/>
          <w14:textFill>
            <w14:solidFill>
              <w14:schemeClr w14:val="tx1"/>
            </w14:solidFill>
          </w14:textFill>
        </w:rPr>
        <w:t>（B）</w:t>
      </w:r>
      <w:r>
        <w:rPr>
          <w:rFonts w:hint="eastAsia" w:hAnsi="宋体" w:cs="宋体"/>
          <w:color w:val="000000" w:themeColor="text1"/>
          <w:szCs w:val="20"/>
          <w14:textFill>
            <w14:solidFill>
              <w14:schemeClr w14:val="tx1"/>
            </w14:solidFill>
          </w14:textFill>
        </w:rPr>
        <w:t>和斜度（e）示意见图8。</w:t>
      </w:r>
    </w:p>
    <w:p w14:paraId="684F2B62">
      <w:pPr>
        <w:pStyle w:val="68"/>
        <w:widowControl/>
        <w:ind w:firstLine="420" w:firstLineChars="200"/>
        <w:jc w:val="center"/>
        <w:outlineLvl w:val="9"/>
      </w:pPr>
      <w:r>
        <w:drawing>
          <wp:inline distT="0" distB="0" distL="114300" distR="114300">
            <wp:extent cx="4537710" cy="1852930"/>
            <wp:effectExtent l="0" t="0" r="3810" b="6350"/>
            <wp:docPr id="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pic:cNvPicPr>
                      <a:picLocks noChangeAspect="1"/>
                    </pic:cNvPicPr>
                  </pic:nvPicPr>
                  <pic:blipFill>
                    <a:blip r:embed="rId21"/>
                    <a:stretch>
                      <a:fillRect/>
                    </a:stretch>
                  </pic:blipFill>
                  <pic:spPr>
                    <a:xfrm>
                      <a:off x="0" y="0"/>
                      <a:ext cx="4537710" cy="1852930"/>
                    </a:xfrm>
                    <a:prstGeom prst="rect">
                      <a:avLst/>
                    </a:prstGeom>
                    <a:noFill/>
                    <a:ln>
                      <a:noFill/>
                    </a:ln>
                  </pic:spPr>
                </pic:pic>
              </a:graphicData>
            </a:graphic>
          </wp:inline>
        </w:drawing>
      </w:r>
    </w:p>
    <w:p w14:paraId="0CAB87F4">
      <w:pPr>
        <w:widowControl/>
        <w:spacing w:after="156" w:afterLines="50"/>
        <w:ind w:firstLine="420" w:firstLineChars="200"/>
        <w:jc w:val="center"/>
        <w:rPr>
          <w:rFonts w:eastAsia="黑体"/>
          <w:color w:val="000000" w:themeColor="text1"/>
          <w:szCs w:val="20"/>
          <w14:textFill>
            <w14:solidFill>
              <w14:schemeClr w14:val="tx1"/>
            </w14:solidFill>
          </w14:textFill>
        </w:rPr>
      </w:pPr>
      <w:r>
        <w:rPr>
          <w:rFonts w:hint="eastAsia" w:ascii="黑体" w:hAnsi="黑体" w:eastAsia="黑体" w:cs="黑体"/>
          <w:color w:val="000000"/>
          <w:kern w:val="0"/>
          <w:szCs w:val="21"/>
          <w:lang w:bidi="ar"/>
        </w:rPr>
        <w:t>图7 渐变式井盖嵌入深度(A)、井座支承面宽度(B)和斜度（e）示意图</w:t>
      </w:r>
    </w:p>
    <w:p w14:paraId="42D0FBEC">
      <w:pPr>
        <w:pStyle w:val="68"/>
        <w:widowControl/>
        <w:ind w:firstLine="420" w:firstLineChars="200"/>
        <w:jc w:val="center"/>
        <w:outlineLvl w:val="9"/>
        <w:rPr>
          <w:rFonts w:ascii="Times New Roman" w:cs="Times New Roman"/>
        </w:rPr>
      </w:pPr>
      <w:r>
        <w:drawing>
          <wp:inline distT="0" distB="0" distL="114300" distR="114300">
            <wp:extent cx="4408170" cy="1827530"/>
            <wp:effectExtent l="0" t="0" r="11430" b="127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22"/>
                    <a:stretch>
                      <a:fillRect/>
                    </a:stretch>
                  </pic:blipFill>
                  <pic:spPr>
                    <a:xfrm>
                      <a:off x="0" y="0"/>
                      <a:ext cx="4408170" cy="1827530"/>
                    </a:xfrm>
                    <a:prstGeom prst="rect">
                      <a:avLst/>
                    </a:prstGeom>
                    <a:noFill/>
                    <a:ln>
                      <a:noFill/>
                    </a:ln>
                  </pic:spPr>
                </pic:pic>
              </a:graphicData>
            </a:graphic>
          </wp:inline>
        </w:drawing>
      </w:r>
    </w:p>
    <w:p w14:paraId="57C384A4">
      <w:pPr>
        <w:widowControl/>
        <w:jc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图8 卡口式井盖嵌入深度(A)、井座支承面宽度(B)和斜度（e）示意图</w:t>
      </w:r>
    </w:p>
    <w:p w14:paraId="12824125">
      <w:pPr>
        <w:pStyle w:val="68"/>
        <w:spacing w:before="156" w:beforeLines="50" w:after="0"/>
        <w:outlineLvl w:val="9"/>
        <w:rPr>
          <w:rFonts w:hAnsi="宋体" w:cs="宋体"/>
          <w:color w:val="000000" w:themeColor="text1"/>
          <w14:textFill>
            <w14:solidFill>
              <w14:schemeClr w14:val="tx1"/>
            </w14:solidFill>
          </w14:textFill>
        </w:rPr>
      </w:pPr>
      <w:r>
        <w:rPr>
          <w:rFonts w:hint="eastAsia" w:ascii="黑体" w:hAnsi="黑体" w:eastAsia="黑体"/>
          <w:color w:val="000000" w:themeColor="text1"/>
          <w:szCs w:val="20"/>
          <w14:textFill>
            <w14:solidFill>
              <w14:schemeClr w14:val="tx1"/>
            </w14:solidFill>
          </w14:textFill>
        </w:rPr>
        <w:t>5.3.2.2</w:t>
      </w:r>
      <w:r>
        <w:rPr>
          <w:rFonts w:hint="eastAsia" w:hAnsi="宋体" w:cs="宋体"/>
          <w:color w:val="000000" w:themeColor="text1"/>
          <w:szCs w:val="20"/>
          <w14:textFill>
            <w14:solidFill>
              <w14:schemeClr w14:val="tx1"/>
            </w14:solidFill>
          </w14:textFill>
        </w:rPr>
        <w:t xml:space="preserve">  </w:t>
      </w:r>
      <w:r>
        <w:rPr>
          <w:rFonts w:hint="eastAsia" w:hAnsi="宋体" w:cs="宋体"/>
          <w:color w:val="000000" w:themeColor="text1"/>
          <w14:textFill>
            <w14:solidFill>
              <w14:schemeClr w14:val="tx1"/>
            </w14:solidFill>
          </w14:textFill>
        </w:rPr>
        <w:t>井座净开孔为700mm、800mm、900mm时，其嵌入深度应符合表5的规定。井座净开孔co＜700mm的嵌入深度随井座净开孔的增加应在10mm至30mm之间。</w:t>
      </w:r>
    </w:p>
    <w:p w14:paraId="618E334F">
      <w:pPr>
        <w:pStyle w:val="68"/>
        <w:spacing w:before="156" w:beforeLines="50" w:after="0"/>
        <w:outlineLvl w:val="9"/>
        <w:rPr>
          <w:rFonts w:hAnsi="宋体" w:cs="宋体"/>
          <w:color w:val="000000" w:themeColor="text1"/>
          <w14:textFill>
            <w14:solidFill>
              <w14:schemeClr w14:val="tx1"/>
            </w14:solidFill>
          </w14:textFill>
        </w:rPr>
      </w:pPr>
    </w:p>
    <w:p w14:paraId="4BD1F49C">
      <w:pPr>
        <w:widowControl/>
        <w:spacing w:before="156" w:beforeLines="50"/>
        <w:jc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表5  井盖嵌入深度（A）</w:t>
      </w:r>
    </w:p>
    <w:tbl>
      <w:tblPr>
        <w:tblStyle w:val="33"/>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345"/>
        <w:gridCol w:w="3814"/>
      </w:tblGrid>
      <w:tr w14:paraId="28C0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5345" w:type="dxa"/>
            <w:vAlign w:val="center"/>
          </w:tcPr>
          <w:p w14:paraId="793E5507">
            <w:pPr>
              <w:spacing w:line="242" w:lineRule="exact"/>
              <w:jc w:val="center"/>
              <w:rPr>
                <w:rFonts w:ascii="宋体" w:hAnsi="宋体" w:cs="宋体"/>
                <w:sz w:val="18"/>
                <w:szCs w:val="18"/>
              </w:rPr>
            </w:pPr>
            <w:r>
              <w:rPr>
                <w:rFonts w:hint="eastAsia" w:ascii="宋体" w:hAnsi="宋体" w:cs="宋体"/>
                <w:color w:val="000000"/>
                <w:sz w:val="18"/>
                <w:szCs w:val="18"/>
              </w:rPr>
              <w:t>级  别</w:t>
            </w:r>
          </w:p>
        </w:tc>
        <w:tc>
          <w:tcPr>
            <w:tcW w:w="3814" w:type="dxa"/>
            <w:vAlign w:val="center"/>
          </w:tcPr>
          <w:p w14:paraId="63CFBB25">
            <w:pPr>
              <w:spacing w:line="270" w:lineRule="exact"/>
              <w:jc w:val="center"/>
              <w:rPr>
                <w:rFonts w:ascii="宋体" w:hAnsi="宋体" w:cs="宋体"/>
                <w:sz w:val="18"/>
                <w:szCs w:val="18"/>
              </w:rPr>
            </w:pPr>
            <w:r>
              <w:rPr>
                <w:rFonts w:hint="eastAsia" w:ascii="宋体" w:hAnsi="宋体" w:cs="宋体"/>
                <w:color w:val="000000"/>
                <w:sz w:val="18"/>
                <w:szCs w:val="18"/>
              </w:rPr>
              <w:t>嵌入深度A（mm）</w:t>
            </w:r>
          </w:p>
        </w:tc>
      </w:tr>
      <w:tr w14:paraId="29E5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5345" w:type="dxa"/>
            <w:vAlign w:val="center"/>
          </w:tcPr>
          <w:p w14:paraId="0C1E4D1A">
            <w:pPr>
              <w:spacing w:line="300" w:lineRule="exact"/>
              <w:jc w:val="center"/>
              <w:rPr>
                <w:rFonts w:ascii="宋体" w:hAnsi="宋体" w:cs="宋体"/>
                <w:sz w:val="18"/>
                <w:szCs w:val="18"/>
              </w:rPr>
            </w:pPr>
            <w:r>
              <w:rPr>
                <w:rFonts w:hint="eastAsia" w:ascii="宋体" w:hAnsi="宋体" w:cs="宋体"/>
                <w:color w:val="000000"/>
                <w:sz w:val="18"/>
                <w:szCs w:val="18"/>
              </w:rPr>
              <w:t>B125</w:t>
            </w:r>
          </w:p>
        </w:tc>
        <w:tc>
          <w:tcPr>
            <w:tcW w:w="3814" w:type="dxa"/>
            <w:vAlign w:val="center"/>
          </w:tcPr>
          <w:p w14:paraId="0CFFE805">
            <w:pPr>
              <w:spacing w:line="300" w:lineRule="exact"/>
              <w:jc w:val="center"/>
              <w:rPr>
                <w:rFonts w:ascii="宋体" w:hAnsi="宋体" w:cs="宋体"/>
                <w:sz w:val="18"/>
                <w:szCs w:val="18"/>
              </w:rPr>
            </w:pPr>
            <w:r>
              <w:rPr>
                <w:rFonts w:hint="eastAsia" w:ascii="宋体" w:hAnsi="宋体" w:cs="宋体"/>
                <w:color w:val="000000"/>
                <w:sz w:val="18"/>
                <w:szCs w:val="18"/>
              </w:rPr>
              <w:t>≥30</w:t>
            </w:r>
          </w:p>
        </w:tc>
      </w:tr>
      <w:tr w14:paraId="7C98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5345" w:type="dxa"/>
            <w:vAlign w:val="center"/>
          </w:tcPr>
          <w:p w14:paraId="6E16951B">
            <w:pPr>
              <w:spacing w:line="300" w:lineRule="exact"/>
              <w:jc w:val="center"/>
              <w:rPr>
                <w:rFonts w:ascii="宋体" w:hAnsi="宋体" w:cs="宋体"/>
                <w:sz w:val="18"/>
                <w:szCs w:val="18"/>
              </w:rPr>
            </w:pPr>
            <w:r>
              <w:rPr>
                <w:rFonts w:hint="eastAsia" w:ascii="宋体" w:hAnsi="宋体" w:cs="宋体"/>
                <w:color w:val="000000"/>
                <w:sz w:val="18"/>
                <w:szCs w:val="18"/>
              </w:rPr>
              <w:t>C250</w:t>
            </w:r>
          </w:p>
        </w:tc>
        <w:tc>
          <w:tcPr>
            <w:tcW w:w="3814" w:type="dxa"/>
            <w:vAlign w:val="center"/>
          </w:tcPr>
          <w:p w14:paraId="39CA8E3D">
            <w:pPr>
              <w:spacing w:line="300" w:lineRule="exact"/>
              <w:jc w:val="center"/>
              <w:rPr>
                <w:rFonts w:ascii="宋体" w:hAnsi="宋体" w:cs="宋体"/>
                <w:sz w:val="18"/>
                <w:szCs w:val="18"/>
              </w:rPr>
            </w:pPr>
            <w:r>
              <w:rPr>
                <w:rFonts w:hint="eastAsia" w:ascii="宋体" w:hAnsi="宋体" w:cs="宋体"/>
                <w:color w:val="000000"/>
                <w:sz w:val="18"/>
                <w:szCs w:val="18"/>
              </w:rPr>
              <w:t>≥30</w:t>
            </w:r>
          </w:p>
        </w:tc>
      </w:tr>
      <w:tr w14:paraId="2377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5345" w:type="dxa"/>
            <w:vAlign w:val="center"/>
          </w:tcPr>
          <w:p w14:paraId="01EE2BEE">
            <w:pPr>
              <w:spacing w:line="300" w:lineRule="exact"/>
              <w:jc w:val="center"/>
              <w:rPr>
                <w:rFonts w:ascii="宋体" w:hAnsi="宋体" w:cs="宋体"/>
                <w:sz w:val="18"/>
                <w:szCs w:val="18"/>
              </w:rPr>
            </w:pPr>
            <w:r>
              <w:rPr>
                <w:rFonts w:hint="eastAsia" w:ascii="宋体" w:hAnsi="宋体" w:cs="宋体"/>
                <w:color w:val="000000"/>
                <w:sz w:val="18"/>
                <w:szCs w:val="18"/>
              </w:rPr>
              <w:t>D400</w:t>
            </w:r>
          </w:p>
        </w:tc>
        <w:tc>
          <w:tcPr>
            <w:tcW w:w="3814" w:type="dxa"/>
            <w:vAlign w:val="center"/>
          </w:tcPr>
          <w:p w14:paraId="19DD249C">
            <w:pPr>
              <w:spacing w:line="300" w:lineRule="exact"/>
              <w:jc w:val="center"/>
              <w:rPr>
                <w:rFonts w:ascii="宋体" w:hAnsi="宋体" w:cs="宋体"/>
                <w:sz w:val="18"/>
                <w:szCs w:val="18"/>
              </w:rPr>
            </w:pPr>
            <w:r>
              <w:rPr>
                <w:rFonts w:hint="eastAsia" w:ascii="宋体" w:hAnsi="宋体" w:cs="宋体"/>
                <w:color w:val="000000"/>
                <w:sz w:val="18"/>
                <w:szCs w:val="18"/>
              </w:rPr>
              <w:t>≥50</w:t>
            </w:r>
          </w:p>
        </w:tc>
      </w:tr>
      <w:tr w14:paraId="5DC2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5345" w:type="dxa"/>
            <w:vAlign w:val="center"/>
          </w:tcPr>
          <w:p w14:paraId="543EC753">
            <w:pPr>
              <w:spacing w:line="300" w:lineRule="exact"/>
              <w:jc w:val="center"/>
              <w:rPr>
                <w:rFonts w:ascii="宋体" w:hAnsi="宋体" w:cs="宋体"/>
                <w:sz w:val="18"/>
                <w:szCs w:val="18"/>
              </w:rPr>
            </w:pPr>
            <w:r>
              <w:rPr>
                <w:rFonts w:hint="eastAsia" w:ascii="宋体" w:hAnsi="宋体" w:cs="宋体"/>
                <w:color w:val="000000"/>
                <w:sz w:val="18"/>
                <w:szCs w:val="18"/>
              </w:rPr>
              <w:t>E600</w:t>
            </w:r>
          </w:p>
        </w:tc>
        <w:tc>
          <w:tcPr>
            <w:tcW w:w="3814" w:type="dxa"/>
            <w:vAlign w:val="center"/>
          </w:tcPr>
          <w:p w14:paraId="2CB6F217">
            <w:pPr>
              <w:spacing w:line="270" w:lineRule="exact"/>
              <w:jc w:val="center"/>
              <w:rPr>
                <w:rFonts w:ascii="宋体" w:hAnsi="宋体" w:cs="宋体"/>
                <w:sz w:val="18"/>
                <w:szCs w:val="18"/>
              </w:rPr>
            </w:pPr>
            <w:r>
              <w:rPr>
                <w:rFonts w:hint="eastAsia" w:ascii="宋体" w:hAnsi="宋体" w:cs="宋体"/>
                <w:color w:val="000000"/>
                <w:sz w:val="18"/>
                <w:szCs w:val="18"/>
              </w:rPr>
              <w:t>≥50</w:t>
            </w:r>
          </w:p>
        </w:tc>
      </w:tr>
      <w:tr w14:paraId="1BF5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3" w:hRule="atLeast"/>
          <w:jc w:val="center"/>
        </w:trPr>
        <w:tc>
          <w:tcPr>
            <w:tcW w:w="5345" w:type="dxa"/>
            <w:vAlign w:val="center"/>
          </w:tcPr>
          <w:p w14:paraId="5F9FA9EE">
            <w:pPr>
              <w:spacing w:line="264" w:lineRule="exact"/>
              <w:jc w:val="center"/>
              <w:rPr>
                <w:rFonts w:ascii="宋体" w:hAnsi="宋体" w:cs="宋体"/>
                <w:sz w:val="18"/>
                <w:szCs w:val="18"/>
              </w:rPr>
            </w:pPr>
            <w:r>
              <w:rPr>
                <w:rFonts w:hint="eastAsia" w:ascii="宋体" w:hAnsi="宋体" w:cs="宋体"/>
                <w:color w:val="000000"/>
                <w:sz w:val="18"/>
                <w:szCs w:val="18"/>
              </w:rPr>
              <w:t>F900</w:t>
            </w:r>
          </w:p>
        </w:tc>
        <w:tc>
          <w:tcPr>
            <w:tcW w:w="3814" w:type="dxa"/>
            <w:vAlign w:val="center"/>
          </w:tcPr>
          <w:p w14:paraId="4D9B9DE8">
            <w:pPr>
              <w:spacing w:line="300" w:lineRule="exact"/>
              <w:jc w:val="center"/>
              <w:rPr>
                <w:rFonts w:ascii="宋体" w:hAnsi="宋体" w:cs="宋体"/>
                <w:sz w:val="18"/>
                <w:szCs w:val="18"/>
              </w:rPr>
            </w:pPr>
            <w:r>
              <w:rPr>
                <w:rFonts w:hint="eastAsia" w:ascii="宋体" w:hAnsi="宋体" w:cs="宋体"/>
                <w:color w:val="000000"/>
                <w:sz w:val="18"/>
                <w:szCs w:val="18"/>
              </w:rPr>
              <w:t>≥50</w:t>
            </w:r>
          </w:p>
        </w:tc>
      </w:tr>
    </w:tbl>
    <w:p w14:paraId="2A2D72D3">
      <w:pPr>
        <w:pStyle w:val="68"/>
        <w:spacing w:before="156" w:beforeLines="50" w:after="0"/>
        <w:outlineLvl w:val="9"/>
        <w:rPr>
          <w:rFonts w:hAnsi="宋体" w:cs="宋体"/>
          <w:color w:val="000000" w:themeColor="text1"/>
          <w:szCs w:val="20"/>
          <w14:textFill>
            <w14:solidFill>
              <w14:schemeClr w14:val="tx1"/>
            </w14:solidFill>
          </w14:textFill>
        </w:rPr>
      </w:pPr>
      <w:r>
        <w:rPr>
          <w:rFonts w:hint="eastAsia" w:ascii="黑体" w:hAnsi="黑体" w:eastAsia="黑体"/>
          <w:color w:val="000000" w:themeColor="text1"/>
          <w:szCs w:val="20"/>
          <w14:textFill>
            <w14:solidFill>
              <w14:schemeClr w14:val="tx1"/>
            </w14:solidFill>
          </w14:textFill>
        </w:rPr>
        <w:t>5.3.2.3</w:t>
      </w:r>
      <w:r>
        <w:rPr>
          <w:rFonts w:hint="eastAsia" w:hAnsi="宋体" w:cs="宋体"/>
          <w:color w:val="000000" w:themeColor="text1"/>
          <w:szCs w:val="20"/>
          <w14:textFill>
            <w14:solidFill>
              <w14:schemeClr w14:val="tx1"/>
            </w14:solidFill>
          </w14:textFill>
        </w:rPr>
        <w:t xml:space="preserve">  井座支承面的宽度应符合表6的规定。</w:t>
      </w:r>
    </w:p>
    <w:p w14:paraId="34E01288">
      <w:pPr>
        <w:widowControl/>
        <w:spacing w:before="156" w:beforeLines="50"/>
        <w:jc w:val="center"/>
        <w:rPr>
          <w:rFonts w:ascii="黑体" w:hAnsi="黑体" w:cs="黑体"/>
          <w:color w:val="000000"/>
          <w:kern w:val="0"/>
          <w:szCs w:val="21"/>
          <w:lang w:bidi="ar"/>
        </w:rPr>
      </w:pPr>
      <w:r>
        <w:rPr>
          <w:rFonts w:hint="eastAsia" w:ascii="黑体" w:hAnsi="黑体" w:eastAsia="黑体" w:cs="黑体"/>
          <w:color w:val="000000"/>
          <w:kern w:val="0"/>
          <w:szCs w:val="21"/>
          <w:lang w:bidi="ar"/>
        </w:rPr>
        <w:t>表6  井座支承面宽度（B）</w:t>
      </w:r>
    </w:p>
    <w:tbl>
      <w:tblPr>
        <w:tblStyle w:val="3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79"/>
        <w:gridCol w:w="4560"/>
      </w:tblGrid>
      <w:tr w14:paraId="292B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4679" w:type="dxa"/>
            <w:vAlign w:val="center"/>
          </w:tcPr>
          <w:p w14:paraId="036F6E89">
            <w:pPr>
              <w:spacing w:line="276" w:lineRule="exact"/>
              <w:jc w:val="center"/>
              <w:rPr>
                <w:rFonts w:ascii="宋体" w:hAnsi="宋体" w:cs="宋体"/>
                <w:sz w:val="18"/>
                <w:szCs w:val="18"/>
              </w:rPr>
            </w:pPr>
            <w:r>
              <w:rPr>
                <w:rFonts w:hint="eastAsia" w:ascii="宋体" w:hAnsi="宋体" w:cs="宋体"/>
                <w:color w:val="000000"/>
                <w:sz w:val="18"/>
                <w:szCs w:val="18"/>
              </w:rPr>
              <w:t>井座净开孔co（mm）</w:t>
            </w:r>
          </w:p>
        </w:tc>
        <w:tc>
          <w:tcPr>
            <w:tcW w:w="4560" w:type="dxa"/>
            <w:vAlign w:val="center"/>
          </w:tcPr>
          <w:p w14:paraId="2B046EDE">
            <w:pPr>
              <w:spacing w:line="270" w:lineRule="exact"/>
              <w:jc w:val="center"/>
              <w:rPr>
                <w:rFonts w:ascii="宋体" w:hAnsi="宋体" w:cs="宋体"/>
                <w:sz w:val="18"/>
                <w:szCs w:val="18"/>
              </w:rPr>
            </w:pPr>
            <w:r>
              <w:rPr>
                <w:rFonts w:hint="eastAsia" w:ascii="宋体" w:hAnsi="宋体" w:cs="宋体"/>
                <w:color w:val="000000"/>
                <w:sz w:val="18"/>
                <w:szCs w:val="18"/>
              </w:rPr>
              <w:t>井座支承面宽度B（mm）</w:t>
            </w:r>
          </w:p>
        </w:tc>
      </w:tr>
      <w:tr w14:paraId="67C4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1" w:hRule="atLeast"/>
          <w:jc w:val="center"/>
        </w:trPr>
        <w:tc>
          <w:tcPr>
            <w:tcW w:w="4679" w:type="dxa"/>
            <w:vAlign w:val="center"/>
          </w:tcPr>
          <w:p w14:paraId="0E50B8F3">
            <w:pPr>
              <w:jc w:val="center"/>
              <w:rPr>
                <w:rFonts w:ascii="宋体" w:hAnsi="宋体" w:cs="宋体"/>
                <w:sz w:val="18"/>
                <w:szCs w:val="18"/>
              </w:rPr>
            </w:pPr>
            <w:r>
              <w:rPr>
                <w:rFonts w:hint="eastAsia" w:ascii="宋体" w:hAnsi="宋体" w:cs="宋体"/>
                <w:color w:val="000000"/>
                <w:sz w:val="18"/>
                <w:szCs w:val="18"/>
              </w:rPr>
              <w:t>＜700</w:t>
            </w:r>
          </w:p>
        </w:tc>
        <w:tc>
          <w:tcPr>
            <w:tcW w:w="4560" w:type="dxa"/>
            <w:vAlign w:val="center"/>
          </w:tcPr>
          <w:p w14:paraId="77663F78">
            <w:pPr>
              <w:spacing w:line="300" w:lineRule="exact"/>
              <w:jc w:val="center"/>
              <w:rPr>
                <w:rFonts w:ascii="宋体" w:hAnsi="宋体" w:cs="宋体"/>
                <w:sz w:val="18"/>
                <w:szCs w:val="18"/>
              </w:rPr>
            </w:pPr>
            <w:r>
              <w:rPr>
                <w:rFonts w:hint="eastAsia" w:ascii="宋体" w:hAnsi="宋体" w:cs="宋体"/>
                <w:color w:val="000000"/>
                <w:sz w:val="18"/>
                <w:szCs w:val="18"/>
              </w:rPr>
              <w:t>≥20</w:t>
            </w:r>
          </w:p>
        </w:tc>
      </w:tr>
      <w:tr w14:paraId="2766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3" w:hRule="atLeast"/>
          <w:jc w:val="center"/>
        </w:trPr>
        <w:tc>
          <w:tcPr>
            <w:tcW w:w="4679" w:type="dxa"/>
            <w:vAlign w:val="center"/>
          </w:tcPr>
          <w:p w14:paraId="404B2763">
            <w:pPr>
              <w:spacing w:line="300" w:lineRule="exact"/>
              <w:jc w:val="center"/>
              <w:rPr>
                <w:rFonts w:ascii="宋体" w:hAnsi="宋体" w:cs="宋体"/>
                <w:sz w:val="18"/>
                <w:szCs w:val="18"/>
              </w:rPr>
            </w:pPr>
            <w:r>
              <w:rPr>
                <w:rFonts w:hint="eastAsia" w:ascii="宋体" w:hAnsi="宋体" w:cs="宋体"/>
                <w:color w:val="000000"/>
                <w:sz w:val="18"/>
                <w:szCs w:val="18"/>
              </w:rPr>
              <w:t>≥700</w:t>
            </w:r>
          </w:p>
        </w:tc>
        <w:tc>
          <w:tcPr>
            <w:tcW w:w="4560" w:type="dxa"/>
            <w:vAlign w:val="center"/>
          </w:tcPr>
          <w:p w14:paraId="01E290DF">
            <w:pPr>
              <w:spacing w:line="300" w:lineRule="exact"/>
              <w:jc w:val="center"/>
              <w:rPr>
                <w:rFonts w:ascii="宋体" w:hAnsi="宋体" w:cs="宋体"/>
                <w:sz w:val="18"/>
                <w:szCs w:val="18"/>
              </w:rPr>
            </w:pPr>
            <w:r>
              <w:rPr>
                <w:rFonts w:hint="eastAsia" w:ascii="宋体" w:hAnsi="宋体" w:cs="宋体"/>
                <w:color w:val="000000"/>
                <w:sz w:val="18"/>
                <w:szCs w:val="18"/>
              </w:rPr>
              <w:t>≥25</w:t>
            </w:r>
          </w:p>
        </w:tc>
      </w:tr>
    </w:tbl>
    <w:p w14:paraId="4FB155FB">
      <w:pPr>
        <w:pStyle w:val="68"/>
        <w:spacing w:before="156" w:beforeLines="50" w:after="0"/>
        <w:outlineLvl w:val="9"/>
        <w:rPr>
          <w:rFonts w:hAnsi="宋体" w:cs="宋体"/>
          <w:color w:val="000000" w:themeColor="text1"/>
          <w:szCs w:val="20"/>
          <w14:textFill>
            <w14:solidFill>
              <w14:schemeClr w14:val="tx1"/>
            </w14:solidFill>
          </w14:textFill>
        </w:rPr>
      </w:pPr>
      <w:r>
        <w:rPr>
          <w:rFonts w:hint="eastAsia" w:ascii="黑体" w:hAnsi="黑体" w:eastAsia="黑体"/>
          <w:color w:val="000000" w:themeColor="text1"/>
          <w:szCs w:val="20"/>
          <w14:textFill>
            <w14:solidFill>
              <w14:schemeClr w14:val="tx1"/>
            </w14:solidFill>
          </w14:textFill>
        </w:rPr>
        <w:t>5.3.2.4</w:t>
      </w:r>
      <w:r>
        <w:rPr>
          <w:rFonts w:hint="eastAsia" w:hAnsi="宋体" w:cs="宋体"/>
          <w:color w:val="000000" w:themeColor="text1"/>
          <w:szCs w:val="20"/>
          <w14:textFill>
            <w14:solidFill>
              <w14:schemeClr w14:val="tx1"/>
            </w14:solidFill>
          </w14:textFill>
        </w:rPr>
        <w:t xml:space="preserve">  井盖的斜度（e）应为1：10。</w:t>
      </w:r>
    </w:p>
    <w:p w14:paraId="32CC2334">
      <w:pPr>
        <w:pStyle w:val="68"/>
        <w:numPr>
          <w:ilvl w:val="2"/>
          <w:numId w:val="20"/>
        </w:numPr>
        <w:rPr>
          <w:rFonts w:ascii="Times New Roman" w:eastAsia="黑体" w:cs="Times New Roman"/>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井座净开孔（co）</w:t>
      </w:r>
    </w:p>
    <w:p w14:paraId="1559BBC5">
      <w:pPr>
        <w:pStyle w:val="68"/>
        <w:widowControl/>
        <w:spacing w:before="0" w:after="156" w:afterLines="50"/>
        <w:ind w:firstLine="420" w:firstLineChars="200"/>
        <w:jc w:val="left"/>
        <w:outlineLvl w:val="9"/>
        <w:rPr>
          <w:rFonts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井座净开孔（co）见图9。井座净开孔和井盖尺寸偏差应符合表7的要求。</w:t>
      </w:r>
    </w:p>
    <w:p w14:paraId="493C3AFE">
      <w:pPr>
        <w:pStyle w:val="68"/>
        <w:widowControl/>
        <w:ind w:firstLine="420" w:firstLineChars="200"/>
        <w:jc w:val="center"/>
        <w:outlineLvl w:val="9"/>
        <w:rPr>
          <w:rFonts w:ascii="Times New Roman" w:eastAsia="黑体" w:cs="Times New Roman"/>
          <w:color w:val="000000" w:themeColor="text1"/>
          <w:szCs w:val="20"/>
          <w14:textFill>
            <w14:solidFill>
              <w14:schemeClr w14:val="tx1"/>
            </w14:solidFill>
          </w14:textFill>
        </w:rPr>
      </w:pPr>
      <w:r>
        <w:rPr>
          <w:rFonts w:ascii="Times New Roman" w:eastAsia="黑体" w:cs="Times New Roman"/>
          <w:color w:val="000000" w:themeColor="text1"/>
          <w:szCs w:val="20"/>
          <w14:textFill>
            <w14:solidFill>
              <w14:schemeClr w14:val="tx1"/>
            </w14:solidFill>
          </w14:textFill>
        </w:rPr>
        <w:drawing>
          <wp:inline distT="0" distB="0" distL="114300" distR="114300">
            <wp:extent cx="2327910" cy="2486025"/>
            <wp:effectExtent l="0" t="0" r="3810" b="13335"/>
            <wp:docPr id="27" name="图片 27" descr="图11 井座净开孔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11 井座净开孔示意图"/>
                    <pic:cNvPicPr>
                      <a:picLocks noChangeAspect="1"/>
                    </pic:cNvPicPr>
                  </pic:nvPicPr>
                  <pic:blipFill>
                    <a:blip r:embed="rId23"/>
                    <a:stretch>
                      <a:fillRect/>
                    </a:stretch>
                  </pic:blipFill>
                  <pic:spPr>
                    <a:xfrm>
                      <a:off x="0" y="0"/>
                      <a:ext cx="2327910" cy="2486025"/>
                    </a:xfrm>
                    <a:prstGeom prst="rect">
                      <a:avLst/>
                    </a:prstGeom>
                  </pic:spPr>
                </pic:pic>
              </a:graphicData>
            </a:graphic>
          </wp:inline>
        </w:drawing>
      </w:r>
    </w:p>
    <w:p w14:paraId="5DD8BBE1">
      <w:pPr>
        <w:widowControl/>
        <w:spacing w:after="156" w:afterLines="50"/>
        <w:ind w:firstLine="420" w:firstLineChars="200"/>
        <w:jc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图9  井座净开孔（co）示意图</w:t>
      </w:r>
    </w:p>
    <w:p w14:paraId="1432FCF2">
      <w:pPr>
        <w:widowControl/>
        <w:jc w:val="center"/>
        <w:rPr>
          <w:rFonts w:eastAsiaTheme="minorEastAsia"/>
          <w:color w:val="000000"/>
          <w:szCs w:val="21"/>
        </w:rPr>
      </w:pPr>
      <w:r>
        <w:rPr>
          <w:rFonts w:hint="eastAsia" w:ascii="黑体" w:hAnsi="黑体" w:eastAsia="黑体" w:cs="黑体"/>
          <w:color w:val="000000"/>
          <w:kern w:val="0"/>
          <w:szCs w:val="21"/>
          <w:lang w:bidi="ar"/>
        </w:rPr>
        <w:t>表7  井座净开孔（co）和井盖尺寸偏差</w:t>
      </w:r>
    </w:p>
    <w:p w14:paraId="4BC6F885">
      <w:pPr>
        <w:widowControl/>
        <w:jc w:val="right"/>
        <w:rPr>
          <w:rFonts w:eastAsiaTheme="minorEastAsia"/>
          <w:color w:val="000000"/>
          <w:kern w:val="0"/>
          <w:szCs w:val="21"/>
          <w:lang w:bidi="ar"/>
        </w:rPr>
      </w:pPr>
      <w:r>
        <w:rPr>
          <w:rFonts w:eastAsiaTheme="minorEastAsia"/>
          <w:color w:val="000000"/>
          <w:sz w:val="18"/>
          <w:szCs w:val="18"/>
        </w:rPr>
        <w:t>单位为</w:t>
      </w:r>
      <w:r>
        <w:rPr>
          <w:rFonts w:hint="eastAsia" w:eastAsiaTheme="minorEastAsia"/>
          <w:color w:val="000000"/>
          <w:sz w:val="18"/>
          <w:szCs w:val="18"/>
        </w:rPr>
        <w:t>mm</w:t>
      </w:r>
    </w:p>
    <w:tbl>
      <w:tblPr>
        <w:tblStyle w:val="3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23"/>
        <w:gridCol w:w="2045"/>
        <w:gridCol w:w="2045"/>
        <w:gridCol w:w="2045"/>
      </w:tblGrid>
      <w:tr w14:paraId="7E00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jc w:val="center"/>
        </w:trPr>
        <w:tc>
          <w:tcPr>
            <w:tcW w:w="3223" w:type="dxa"/>
            <w:vAlign w:val="center"/>
          </w:tcPr>
          <w:p w14:paraId="09E99C85">
            <w:pPr>
              <w:spacing w:line="240" w:lineRule="exact"/>
              <w:jc w:val="center"/>
              <w:rPr>
                <w:rFonts w:ascii="宋体" w:hAnsi="宋体" w:cs="宋体"/>
                <w:sz w:val="18"/>
                <w:szCs w:val="18"/>
              </w:rPr>
            </w:pPr>
            <w:r>
              <w:rPr>
                <w:rFonts w:hint="eastAsia" w:ascii="宋体" w:hAnsi="宋体" w:cs="宋体"/>
                <w:color w:val="000000"/>
                <w:sz w:val="18"/>
                <w:szCs w:val="18"/>
              </w:rPr>
              <w:t>井座净开孔尺寸</w:t>
            </w:r>
          </w:p>
        </w:tc>
        <w:tc>
          <w:tcPr>
            <w:tcW w:w="2045" w:type="dxa"/>
            <w:vAlign w:val="center"/>
          </w:tcPr>
          <w:p w14:paraId="150E120F">
            <w:pPr>
              <w:spacing w:line="291" w:lineRule="exact"/>
              <w:jc w:val="center"/>
              <w:rPr>
                <w:rFonts w:ascii="宋体" w:hAnsi="宋体" w:cs="宋体"/>
                <w:sz w:val="18"/>
                <w:szCs w:val="18"/>
              </w:rPr>
            </w:pPr>
            <w:r>
              <w:rPr>
                <w:rFonts w:hint="eastAsia" w:ascii="宋体" w:hAnsi="宋体" w:cs="宋体"/>
                <w:color w:val="000000"/>
                <w:sz w:val="18"/>
                <w:szCs w:val="18"/>
              </w:rPr>
              <w:t>尺寸偏差</w:t>
            </w:r>
          </w:p>
        </w:tc>
        <w:tc>
          <w:tcPr>
            <w:tcW w:w="2045" w:type="dxa"/>
            <w:vAlign w:val="center"/>
          </w:tcPr>
          <w:p w14:paraId="0AB15921">
            <w:pPr>
              <w:spacing w:line="291" w:lineRule="exact"/>
              <w:jc w:val="center"/>
              <w:rPr>
                <w:rFonts w:ascii="宋体" w:hAnsi="宋体" w:cs="宋体"/>
                <w:sz w:val="18"/>
                <w:szCs w:val="18"/>
              </w:rPr>
            </w:pPr>
            <w:r>
              <w:rPr>
                <w:rFonts w:hint="eastAsia" w:ascii="宋体" w:hAnsi="宋体" w:cs="宋体"/>
                <w:color w:val="000000"/>
                <w:sz w:val="18"/>
                <w:szCs w:val="18"/>
              </w:rPr>
              <w:t>井盖尺寸</w:t>
            </w:r>
          </w:p>
        </w:tc>
        <w:tc>
          <w:tcPr>
            <w:tcW w:w="2045" w:type="dxa"/>
            <w:vAlign w:val="center"/>
          </w:tcPr>
          <w:p w14:paraId="034588DB">
            <w:pPr>
              <w:spacing w:line="291" w:lineRule="exact"/>
              <w:jc w:val="center"/>
              <w:rPr>
                <w:rFonts w:ascii="宋体" w:hAnsi="宋体" w:cs="宋体"/>
                <w:sz w:val="18"/>
                <w:szCs w:val="18"/>
              </w:rPr>
            </w:pPr>
            <w:r>
              <w:rPr>
                <w:rFonts w:hint="eastAsia" w:ascii="宋体" w:hAnsi="宋体" w:cs="宋体"/>
                <w:color w:val="000000"/>
                <w:sz w:val="18"/>
                <w:szCs w:val="18"/>
              </w:rPr>
              <w:t>允许偏差</w:t>
            </w:r>
          </w:p>
        </w:tc>
      </w:tr>
      <w:tr w14:paraId="3560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jc w:val="center"/>
        </w:trPr>
        <w:tc>
          <w:tcPr>
            <w:tcW w:w="3223" w:type="dxa"/>
            <w:vAlign w:val="center"/>
          </w:tcPr>
          <w:p w14:paraId="321CD184">
            <w:pPr>
              <w:spacing w:line="280" w:lineRule="exact"/>
              <w:jc w:val="center"/>
              <w:rPr>
                <w:rFonts w:ascii="宋体" w:hAnsi="宋体" w:cs="宋体"/>
                <w:sz w:val="18"/>
                <w:szCs w:val="18"/>
              </w:rPr>
            </w:pPr>
            <w:r>
              <w:rPr>
                <w:rFonts w:hint="eastAsia" w:ascii="宋体" w:hAnsi="宋体" w:cs="宋体"/>
                <w:color w:val="000000"/>
                <w:sz w:val="18"/>
                <w:szCs w:val="18"/>
              </w:rPr>
              <w:t>&lt;700</w:t>
            </w:r>
          </w:p>
        </w:tc>
        <w:tc>
          <w:tcPr>
            <w:tcW w:w="2045" w:type="dxa"/>
            <w:vAlign w:val="center"/>
          </w:tcPr>
          <w:p w14:paraId="40BAE6CC">
            <w:pPr>
              <w:spacing w:line="280" w:lineRule="exact"/>
              <w:jc w:val="center"/>
              <w:rPr>
                <w:rFonts w:ascii="宋体" w:hAnsi="宋体" w:cs="宋体"/>
                <w:sz w:val="18"/>
                <w:szCs w:val="18"/>
              </w:rPr>
            </w:pPr>
            <w:r>
              <w:rPr>
                <w:rFonts w:hint="eastAsia" w:ascii="宋体" w:hAnsi="宋体" w:cs="宋体"/>
                <w:color w:val="000000"/>
                <w:sz w:val="18"/>
                <w:szCs w:val="18"/>
              </w:rPr>
              <w:t>±5</w:t>
            </w:r>
          </w:p>
        </w:tc>
        <w:tc>
          <w:tcPr>
            <w:tcW w:w="2045" w:type="dxa"/>
            <w:vAlign w:val="center"/>
          </w:tcPr>
          <w:p w14:paraId="7CD3D6AF">
            <w:pPr>
              <w:spacing w:line="280" w:lineRule="exact"/>
              <w:jc w:val="center"/>
              <w:rPr>
                <w:rFonts w:ascii="宋体" w:hAnsi="宋体" w:cs="宋体"/>
                <w:sz w:val="18"/>
                <w:szCs w:val="18"/>
              </w:rPr>
            </w:pPr>
            <w:r>
              <w:rPr>
                <w:rFonts w:hint="eastAsia" w:ascii="宋体" w:hAnsi="宋体" w:cs="宋体"/>
                <w:color w:val="000000"/>
                <w:sz w:val="18"/>
                <w:szCs w:val="18"/>
              </w:rPr>
              <w:t>&lt;760</w:t>
            </w:r>
          </w:p>
        </w:tc>
        <w:tc>
          <w:tcPr>
            <w:tcW w:w="2045" w:type="dxa"/>
            <w:vAlign w:val="center"/>
          </w:tcPr>
          <w:p w14:paraId="02BC253A">
            <w:pPr>
              <w:spacing w:line="300" w:lineRule="exact"/>
              <w:jc w:val="center"/>
              <w:rPr>
                <w:rFonts w:ascii="宋体" w:hAnsi="宋体" w:cs="宋体"/>
                <w:sz w:val="18"/>
                <w:szCs w:val="18"/>
              </w:rPr>
            </w:pPr>
            <w:r>
              <w:rPr>
                <w:rFonts w:hint="eastAsia" w:ascii="宋体" w:hAnsi="宋体" w:cs="宋体"/>
                <w:color w:val="000000"/>
                <w:sz w:val="18"/>
                <w:szCs w:val="18"/>
              </w:rPr>
              <w:t>±3</w:t>
            </w:r>
          </w:p>
        </w:tc>
      </w:tr>
      <w:tr w14:paraId="7114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jc w:val="center"/>
        </w:trPr>
        <w:tc>
          <w:tcPr>
            <w:tcW w:w="3223" w:type="dxa"/>
            <w:vAlign w:val="center"/>
          </w:tcPr>
          <w:p w14:paraId="668BFCED">
            <w:pPr>
              <w:spacing w:line="260" w:lineRule="exact"/>
              <w:jc w:val="center"/>
              <w:rPr>
                <w:rFonts w:ascii="宋体" w:hAnsi="宋体" w:cs="宋体"/>
                <w:sz w:val="18"/>
                <w:szCs w:val="18"/>
              </w:rPr>
            </w:pPr>
            <w:r>
              <w:rPr>
                <w:rFonts w:hint="eastAsia" w:ascii="宋体" w:hAnsi="宋体" w:cs="宋体"/>
                <w:color w:val="000000"/>
                <w:sz w:val="18"/>
                <w:szCs w:val="18"/>
              </w:rPr>
              <w:t>700</w:t>
            </w:r>
          </w:p>
        </w:tc>
        <w:tc>
          <w:tcPr>
            <w:tcW w:w="2045" w:type="dxa"/>
            <w:vAlign w:val="center"/>
          </w:tcPr>
          <w:p w14:paraId="183DA926">
            <w:pPr>
              <w:spacing w:line="280" w:lineRule="exact"/>
              <w:jc w:val="center"/>
              <w:rPr>
                <w:rFonts w:ascii="宋体" w:hAnsi="宋体" w:cs="宋体"/>
                <w:sz w:val="18"/>
                <w:szCs w:val="18"/>
              </w:rPr>
            </w:pPr>
            <w:r>
              <w:rPr>
                <w:rFonts w:hint="eastAsia" w:ascii="宋体" w:hAnsi="宋体" w:cs="宋体"/>
                <w:color w:val="000000"/>
                <w:sz w:val="18"/>
                <w:szCs w:val="18"/>
              </w:rPr>
              <w:t>±5</w:t>
            </w:r>
          </w:p>
        </w:tc>
        <w:tc>
          <w:tcPr>
            <w:tcW w:w="2045" w:type="dxa"/>
            <w:vAlign w:val="center"/>
          </w:tcPr>
          <w:p w14:paraId="3A77E1D5">
            <w:pPr>
              <w:spacing w:line="260" w:lineRule="exact"/>
              <w:jc w:val="center"/>
              <w:rPr>
                <w:rFonts w:ascii="宋体" w:hAnsi="宋体" w:cs="宋体"/>
                <w:sz w:val="18"/>
                <w:szCs w:val="18"/>
              </w:rPr>
            </w:pPr>
            <w:r>
              <w:rPr>
                <w:rFonts w:hint="eastAsia" w:ascii="宋体" w:hAnsi="宋体" w:cs="宋体"/>
                <w:color w:val="000000"/>
                <w:sz w:val="18"/>
                <w:szCs w:val="18"/>
              </w:rPr>
              <w:t>760</w:t>
            </w:r>
          </w:p>
        </w:tc>
        <w:tc>
          <w:tcPr>
            <w:tcW w:w="2045" w:type="dxa"/>
            <w:vAlign w:val="center"/>
          </w:tcPr>
          <w:p w14:paraId="40D04A81">
            <w:pPr>
              <w:spacing w:line="280" w:lineRule="exact"/>
              <w:jc w:val="center"/>
              <w:rPr>
                <w:rFonts w:ascii="宋体" w:hAnsi="宋体" w:cs="宋体"/>
                <w:sz w:val="18"/>
                <w:szCs w:val="18"/>
              </w:rPr>
            </w:pPr>
            <w:r>
              <w:rPr>
                <w:rFonts w:hint="eastAsia" w:ascii="宋体" w:hAnsi="宋体" w:cs="宋体"/>
                <w:color w:val="000000"/>
                <w:sz w:val="18"/>
                <w:szCs w:val="18"/>
              </w:rPr>
              <w:t>±3</w:t>
            </w:r>
          </w:p>
        </w:tc>
      </w:tr>
      <w:tr w14:paraId="7448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jc w:val="center"/>
        </w:trPr>
        <w:tc>
          <w:tcPr>
            <w:tcW w:w="3223" w:type="dxa"/>
            <w:vAlign w:val="center"/>
          </w:tcPr>
          <w:p w14:paraId="2B8086E4">
            <w:pPr>
              <w:spacing w:line="280" w:lineRule="exact"/>
              <w:jc w:val="center"/>
              <w:rPr>
                <w:rFonts w:ascii="宋体" w:hAnsi="宋体" w:cs="宋体"/>
                <w:sz w:val="18"/>
                <w:szCs w:val="18"/>
              </w:rPr>
            </w:pPr>
            <w:r>
              <w:rPr>
                <w:rFonts w:hint="eastAsia" w:ascii="宋体" w:hAnsi="宋体" w:cs="宋体"/>
                <w:color w:val="000000"/>
                <w:sz w:val="18"/>
                <w:szCs w:val="18"/>
              </w:rPr>
              <w:t>800</w:t>
            </w:r>
          </w:p>
        </w:tc>
        <w:tc>
          <w:tcPr>
            <w:tcW w:w="2045" w:type="dxa"/>
            <w:vAlign w:val="center"/>
          </w:tcPr>
          <w:p w14:paraId="341913A2">
            <w:pPr>
              <w:spacing w:line="280" w:lineRule="exact"/>
              <w:jc w:val="center"/>
              <w:rPr>
                <w:rFonts w:ascii="宋体" w:hAnsi="宋体" w:cs="宋体"/>
                <w:sz w:val="18"/>
                <w:szCs w:val="18"/>
              </w:rPr>
            </w:pPr>
            <w:r>
              <w:rPr>
                <w:rFonts w:hint="eastAsia" w:ascii="宋体" w:hAnsi="宋体" w:cs="宋体"/>
                <w:color w:val="000000"/>
                <w:sz w:val="18"/>
                <w:szCs w:val="18"/>
              </w:rPr>
              <w:t>±5</w:t>
            </w:r>
          </w:p>
        </w:tc>
        <w:tc>
          <w:tcPr>
            <w:tcW w:w="2045" w:type="dxa"/>
            <w:vAlign w:val="center"/>
          </w:tcPr>
          <w:p w14:paraId="26285507">
            <w:pPr>
              <w:spacing w:line="260" w:lineRule="exact"/>
              <w:jc w:val="center"/>
              <w:rPr>
                <w:rFonts w:ascii="宋体" w:hAnsi="宋体" w:cs="宋体"/>
                <w:sz w:val="18"/>
                <w:szCs w:val="18"/>
              </w:rPr>
            </w:pPr>
            <w:r>
              <w:rPr>
                <w:rFonts w:hint="eastAsia" w:ascii="宋体" w:hAnsi="宋体" w:cs="宋体"/>
                <w:color w:val="000000"/>
                <w:sz w:val="18"/>
                <w:szCs w:val="18"/>
              </w:rPr>
              <w:t>860</w:t>
            </w:r>
          </w:p>
        </w:tc>
        <w:tc>
          <w:tcPr>
            <w:tcW w:w="2045" w:type="dxa"/>
            <w:vAlign w:val="center"/>
          </w:tcPr>
          <w:p w14:paraId="0FB25B2F">
            <w:pPr>
              <w:spacing w:line="280" w:lineRule="exact"/>
              <w:jc w:val="center"/>
              <w:rPr>
                <w:rFonts w:ascii="宋体" w:hAnsi="宋体" w:cs="宋体"/>
                <w:sz w:val="18"/>
                <w:szCs w:val="18"/>
              </w:rPr>
            </w:pPr>
            <w:r>
              <w:rPr>
                <w:rFonts w:hint="eastAsia" w:ascii="宋体" w:hAnsi="宋体" w:cs="宋体"/>
                <w:color w:val="000000"/>
                <w:sz w:val="18"/>
                <w:szCs w:val="18"/>
              </w:rPr>
              <w:t>±3</w:t>
            </w:r>
          </w:p>
        </w:tc>
      </w:tr>
      <w:tr w14:paraId="68D3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jc w:val="center"/>
        </w:trPr>
        <w:tc>
          <w:tcPr>
            <w:tcW w:w="3223" w:type="dxa"/>
            <w:vAlign w:val="center"/>
          </w:tcPr>
          <w:p w14:paraId="4319C3D6">
            <w:pPr>
              <w:spacing w:line="280" w:lineRule="exact"/>
              <w:jc w:val="center"/>
              <w:rPr>
                <w:rFonts w:ascii="宋体" w:hAnsi="宋体" w:cs="宋体"/>
                <w:sz w:val="18"/>
                <w:szCs w:val="18"/>
              </w:rPr>
            </w:pPr>
            <w:r>
              <w:rPr>
                <w:rFonts w:hint="eastAsia" w:ascii="宋体" w:hAnsi="宋体" w:cs="宋体"/>
                <w:color w:val="000000"/>
                <w:sz w:val="18"/>
                <w:szCs w:val="18"/>
              </w:rPr>
              <w:t>900</w:t>
            </w:r>
          </w:p>
        </w:tc>
        <w:tc>
          <w:tcPr>
            <w:tcW w:w="2045" w:type="dxa"/>
            <w:vAlign w:val="center"/>
          </w:tcPr>
          <w:p w14:paraId="4CA537C6">
            <w:pPr>
              <w:spacing w:line="280" w:lineRule="exact"/>
              <w:jc w:val="center"/>
              <w:rPr>
                <w:rFonts w:ascii="宋体" w:hAnsi="宋体" w:cs="宋体"/>
                <w:sz w:val="18"/>
                <w:szCs w:val="18"/>
              </w:rPr>
            </w:pPr>
            <w:r>
              <w:rPr>
                <w:rFonts w:hint="eastAsia" w:ascii="宋体" w:hAnsi="宋体" w:cs="宋体"/>
                <w:color w:val="000000"/>
                <w:sz w:val="18"/>
                <w:szCs w:val="18"/>
              </w:rPr>
              <w:t>±5</w:t>
            </w:r>
          </w:p>
        </w:tc>
        <w:tc>
          <w:tcPr>
            <w:tcW w:w="2045" w:type="dxa"/>
            <w:vAlign w:val="center"/>
          </w:tcPr>
          <w:p w14:paraId="501C0177">
            <w:pPr>
              <w:spacing w:line="260" w:lineRule="exact"/>
              <w:jc w:val="center"/>
              <w:rPr>
                <w:rFonts w:ascii="宋体" w:hAnsi="宋体" w:cs="宋体"/>
                <w:sz w:val="18"/>
                <w:szCs w:val="18"/>
              </w:rPr>
            </w:pPr>
            <w:r>
              <w:rPr>
                <w:rFonts w:hint="eastAsia" w:ascii="宋体" w:hAnsi="宋体" w:cs="宋体"/>
                <w:color w:val="000000"/>
                <w:sz w:val="18"/>
                <w:szCs w:val="18"/>
              </w:rPr>
              <w:t>960</w:t>
            </w:r>
          </w:p>
        </w:tc>
        <w:tc>
          <w:tcPr>
            <w:tcW w:w="2045" w:type="dxa"/>
            <w:vAlign w:val="center"/>
          </w:tcPr>
          <w:p w14:paraId="2B4BD56F">
            <w:pPr>
              <w:spacing w:line="280" w:lineRule="exact"/>
              <w:jc w:val="center"/>
              <w:rPr>
                <w:rFonts w:ascii="宋体" w:hAnsi="宋体" w:cs="宋体"/>
                <w:sz w:val="18"/>
                <w:szCs w:val="18"/>
              </w:rPr>
            </w:pPr>
            <w:r>
              <w:rPr>
                <w:rFonts w:hint="eastAsia" w:ascii="宋体" w:hAnsi="宋体" w:cs="宋体"/>
                <w:color w:val="000000"/>
                <w:sz w:val="18"/>
                <w:szCs w:val="18"/>
              </w:rPr>
              <w:t>±5</w:t>
            </w:r>
          </w:p>
        </w:tc>
      </w:tr>
    </w:tbl>
    <w:p w14:paraId="4863DB8B">
      <w:pPr>
        <w:pStyle w:val="68"/>
        <w:numPr>
          <w:ilvl w:val="2"/>
          <w:numId w:val="20"/>
        </w:numPr>
        <w:rPr>
          <w:rFonts w:ascii="Times New Roman" w:eastAsia="黑体" w:cs="Times New Roman"/>
          <w:color w:val="000000" w:themeColor="text1"/>
          <w14:textFill>
            <w14:solidFill>
              <w14:schemeClr w14:val="tx1"/>
            </w14:solidFill>
          </w14:textFill>
        </w:rPr>
      </w:pPr>
      <w:r>
        <w:rPr>
          <w:rFonts w:hint="eastAsia" w:ascii="Times New Roman" w:eastAsia="黑体" w:cs="Times New Roman"/>
          <w:color w:val="000000" w:themeColor="text1"/>
          <w14:textFill>
            <w14:solidFill>
              <w14:schemeClr w14:val="tx1"/>
            </w14:solidFill>
          </w14:textFill>
        </w:rPr>
        <w:t>雨水井盖</w:t>
      </w:r>
      <w:r>
        <w:rPr>
          <w:rFonts w:ascii="Times New Roman" w:eastAsia="黑体" w:cs="Times New Roman"/>
          <w:color w:val="000000" w:themeColor="text1"/>
          <w14:textFill>
            <w14:solidFill>
              <w14:schemeClr w14:val="tx1"/>
            </w14:solidFill>
          </w14:textFill>
        </w:rPr>
        <w:t>防反涌泄水孔</w:t>
      </w:r>
    </w:p>
    <w:p w14:paraId="50143BB5">
      <w:pPr>
        <w:pStyle w:val="68"/>
        <w:ind w:firstLine="420" w:firstLineChars="200"/>
        <w:outlineLvl w:val="9"/>
        <w:rPr>
          <w:rFonts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雨水井盖防反涌泄水孔在井盖上开孔值和最大防反涌泄水面积与公差应符合表8的规定。</w:t>
      </w:r>
    </w:p>
    <w:p w14:paraId="261DB1BE">
      <w:pPr>
        <w:widowControl/>
        <w:spacing w:before="156" w:beforeLines="50"/>
        <w:jc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表8  防反涌泄水孔开孔值和最大防反涌泄水面积与公差</w:t>
      </w:r>
    </w:p>
    <w:tbl>
      <w:tblPr>
        <w:tblStyle w:val="3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01"/>
        <w:gridCol w:w="2769"/>
        <w:gridCol w:w="2786"/>
        <w:gridCol w:w="1702"/>
      </w:tblGrid>
      <w:tr w14:paraId="4C48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atLeast"/>
          <w:jc w:val="center"/>
        </w:trPr>
        <w:tc>
          <w:tcPr>
            <w:tcW w:w="2001" w:type="dxa"/>
            <w:vAlign w:val="center"/>
          </w:tcPr>
          <w:p w14:paraId="7BFC7A4A">
            <w:pPr>
              <w:spacing w:line="270" w:lineRule="exact"/>
              <w:jc w:val="center"/>
              <w:rPr>
                <w:rFonts w:ascii="宋体" w:hAnsi="宋体" w:cs="宋体"/>
                <w:sz w:val="18"/>
                <w:szCs w:val="18"/>
              </w:rPr>
            </w:pPr>
            <w:r>
              <w:rPr>
                <w:rFonts w:hint="eastAsia" w:ascii="宋体" w:hAnsi="宋体" w:cs="宋体"/>
                <w:color w:val="000000"/>
                <w:sz w:val="18"/>
                <w:szCs w:val="18"/>
              </w:rPr>
              <w:t>井座净开孔co（mm）</w:t>
            </w:r>
          </w:p>
        </w:tc>
        <w:tc>
          <w:tcPr>
            <w:tcW w:w="2769" w:type="dxa"/>
            <w:vAlign w:val="center"/>
          </w:tcPr>
          <w:p w14:paraId="3F833A98">
            <w:pPr>
              <w:spacing w:line="270" w:lineRule="exact"/>
              <w:jc w:val="center"/>
              <w:rPr>
                <w:rFonts w:ascii="宋体" w:hAnsi="宋体" w:cs="宋体"/>
                <w:sz w:val="18"/>
                <w:szCs w:val="18"/>
              </w:rPr>
            </w:pPr>
            <w:r>
              <w:rPr>
                <w:rFonts w:hint="eastAsia" w:ascii="宋体" w:hAnsi="宋体" w:cs="宋体"/>
                <w:color w:val="000000"/>
                <w:sz w:val="18"/>
                <w:szCs w:val="18"/>
              </w:rPr>
              <w:t>最大泄水面积（mm</w:t>
            </w:r>
            <w:r>
              <w:rPr>
                <w:rFonts w:hint="eastAsia" w:ascii="宋体" w:hAnsi="宋体" w:cs="宋体"/>
                <w:color w:val="000000"/>
                <w:sz w:val="18"/>
                <w:szCs w:val="18"/>
                <w:vertAlign w:val="superscript"/>
              </w:rPr>
              <w:t>2</w:t>
            </w:r>
            <w:r>
              <w:rPr>
                <w:rFonts w:hint="eastAsia" w:ascii="宋体" w:hAnsi="宋体" w:cs="宋体"/>
                <w:color w:val="000000"/>
                <w:sz w:val="18"/>
                <w:szCs w:val="18"/>
              </w:rPr>
              <w:t>）</w:t>
            </w:r>
          </w:p>
        </w:tc>
        <w:tc>
          <w:tcPr>
            <w:tcW w:w="2786" w:type="dxa"/>
            <w:vAlign w:val="center"/>
          </w:tcPr>
          <w:p w14:paraId="78BD1634">
            <w:pPr>
              <w:spacing w:line="270" w:lineRule="exact"/>
              <w:jc w:val="center"/>
              <w:rPr>
                <w:rFonts w:ascii="宋体" w:hAnsi="宋体" w:cs="宋体"/>
                <w:sz w:val="18"/>
                <w:szCs w:val="18"/>
              </w:rPr>
            </w:pPr>
            <w:r>
              <w:rPr>
                <w:rFonts w:hint="eastAsia" w:ascii="宋体" w:hAnsi="宋体" w:cs="宋体"/>
                <w:color w:val="000000"/>
                <w:sz w:val="18"/>
                <w:szCs w:val="18"/>
              </w:rPr>
              <w:t>单孔直径（mm）</w:t>
            </w:r>
          </w:p>
        </w:tc>
        <w:tc>
          <w:tcPr>
            <w:tcW w:w="1702" w:type="dxa"/>
            <w:vAlign w:val="center"/>
          </w:tcPr>
          <w:p w14:paraId="30CB25AD">
            <w:pPr>
              <w:spacing w:line="270" w:lineRule="exact"/>
              <w:jc w:val="center"/>
              <w:rPr>
                <w:rFonts w:ascii="宋体" w:hAnsi="宋体" w:cs="宋体"/>
                <w:sz w:val="18"/>
                <w:szCs w:val="18"/>
              </w:rPr>
            </w:pPr>
            <w:r>
              <w:rPr>
                <w:rFonts w:hint="eastAsia" w:ascii="宋体" w:hAnsi="宋体" w:cs="宋体"/>
                <w:color w:val="000000"/>
                <w:sz w:val="18"/>
                <w:szCs w:val="18"/>
              </w:rPr>
              <w:t>允许偏差（mm）</w:t>
            </w:r>
          </w:p>
        </w:tc>
      </w:tr>
      <w:tr w14:paraId="2E35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5" w:hRule="atLeast"/>
          <w:jc w:val="center"/>
        </w:trPr>
        <w:tc>
          <w:tcPr>
            <w:tcW w:w="2001" w:type="dxa"/>
            <w:vAlign w:val="center"/>
          </w:tcPr>
          <w:p w14:paraId="76F8E163">
            <w:pPr>
              <w:spacing w:line="234" w:lineRule="exact"/>
              <w:jc w:val="center"/>
              <w:rPr>
                <w:rFonts w:ascii="宋体" w:hAnsi="宋体" w:cs="宋体"/>
                <w:sz w:val="18"/>
                <w:szCs w:val="18"/>
              </w:rPr>
            </w:pPr>
            <w:r>
              <w:rPr>
                <w:rFonts w:hint="eastAsia" w:ascii="宋体" w:hAnsi="宋体" w:cs="宋体"/>
                <w:color w:val="000000"/>
                <w:sz w:val="18"/>
                <w:szCs w:val="18"/>
              </w:rPr>
              <w:t>≤700</w:t>
            </w:r>
          </w:p>
        </w:tc>
        <w:tc>
          <w:tcPr>
            <w:tcW w:w="2769" w:type="dxa"/>
            <w:vAlign w:val="center"/>
          </w:tcPr>
          <w:p w14:paraId="144B2ABE">
            <w:pPr>
              <w:spacing w:line="243" w:lineRule="exact"/>
              <w:jc w:val="center"/>
              <w:rPr>
                <w:rFonts w:ascii="宋体" w:hAnsi="宋体" w:cs="宋体"/>
                <w:sz w:val="18"/>
                <w:szCs w:val="18"/>
              </w:rPr>
            </w:pPr>
            <w:r>
              <w:rPr>
                <w:rFonts w:hint="eastAsia" w:ascii="宋体" w:hAnsi="宋体" w:cs="宋体"/>
                <w:color w:val="000000"/>
                <w:sz w:val="18"/>
                <w:szCs w:val="18"/>
              </w:rPr>
              <w:t>为井座净开孔面积的5％</w:t>
            </w:r>
          </w:p>
        </w:tc>
        <w:tc>
          <w:tcPr>
            <w:tcW w:w="2786" w:type="dxa"/>
          </w:tcPr>
          <w:p w14:paraId="07C3CD2B">
            <w:pPr>
              <w:jc w:val="center"/>
              <w:rPr>
                <w:rFonts w:ascii="宋体" w:hAnsi="宋体" w:cs="宋体"/>
                <w:sz w:val="18"/>
                <w:szCs w:val="18"/>
              </w:rPr>
            </w:pPr>
            <w:r>
              <w:rPr>
                <w:rFonts w:hint="eastAsia" w:ascii="宋体" w:hAnsi="宋体" w:cs="宋体"/>
                <w:color w:val="000000"/>
                <w:sz w:val="18"/>
                <w:szCs w:val="18"/>
              </w:rPr>
              <w:t>A125、B250级别：20～30</w:t>
            </w:r>
          </w:p>
        </w:tc>
        <w:tc>
          <w:tcPr>
            <w:tcW w:w="1702" w:type="dxa"/>
            <w:vMerge w:val="restart"/>
            <w:vAlign w:val="center"/>
          </w:tcPr>
          <w:p w14:paraId="50D2219E">
            <w:pPr>
              <w:spacing w:line="280" w:lineRule="exact"/>
              <w:jc w:val="center"/>
              <w:rPr>
                <w:rFonts w:ascii="宋体" w:hAnsi="宋体" w:cs="宋体"/>
                <w:sz w:val="18"/>
                <w:szCs w:val="18"/>
              </w:rPr>
            </w:pPr>
            <w:r>
              <w:rPr>
                <w:rFonts w:hint="eastAsia" w:ascii="宋体" w:hAnsi="宋体" w:cs="宋体"/>
                <w:color w:val="000000"/>
                <w:sz w:val="18"/>
                <w:szCs w:val="18"/>
              </w:rPr>
              <w:t>±3</w:t>
            </w:r>
          </w:p>
        </w:tc>
      </w:tr>
      <w:tr w14:paraId="024C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4" w:hRule="atLeast"/>
          <w:jc w:val="center"/>
        </w:trPr>
        <w:tc>
          <w:tcPr>
            <w:tcW w:w="2001" w:type="dxa"/>
            <w:vAlign w:val="center"/>
          </w:tcPr>
          <w:p w14:paraId="1C3B74E3">
            <w:pPr>
              <w:spacing w:line="260" w:lineRule="exact"/>
              <w:jc w:val="center"/>
              <w:rPr>
                <w:rFonts w:ascii="宋体" w:hAnsi="宋体" w:cs="宋体"/>
                <w:sz w:val="18"/>
                <w:szCs w:val="18"/>
              </w:rPr>
            </w:pPr>
            <w:r>
              <w:rPr>
                <w:rFonts w:hint="eastAsia" w:ascii="宋体" w:hAnsi="宋体" w:cs="宋体"/>
                <w:color w:val="000000"/>
                <w:sz w:val="18"/>
                <w:szCs w:val="18"/>
              </w:rPr>
              <w:t>＞700</w:t>
            </w:r>
          </w:p>
        </w:tc>
        <w:tc>
          <w:tcPr>
            <w:tcW w:w="2769" w:type="dxa"/>
            <w:vAlign w:val="center"/>
          </w:tcPr>
          <w:p w14:paraId="6266D7FF">
            <w:pPr>
              <w:spacing w:line="270" w:lineRule="exact"/>
              <w:jc w:val="center"/>
              <w:rPr>
                <w:rFonts w:ascii="宋体" w:hAnsi="宋体" w:cs="宋体"/>
                <w:sz w:val="18"/>
                <w:szCs w:val="18"/>
              </w:rPr>
            </w:pPr>
            <w:r>
              <w:rPr>
                <w:rFonts w:hint="eastAsia" w:ascii="宋体" w:hAnsi="宋体" w:cs="宋体"/>
                <w:color w:val="000000"/>
                <w:sz w:val="18"/>
                <w:szCs w:val="18"/>
              </w:rPr>
              <w:t>1.9×10</w:t>
            </w:r>
            <w:r>
              <w:rPr>
                <w:rFonts w:hint="eastAsia" w:ascii="宋体" w:hAnsi="宋体" w:cs="宋体"/>
                <w:color w:val="000000"/>
                <w:sz w:val="18"/>
                <w:szCs w:val="18"/>
                <w:vertAlign w:val="superscript"/>
              </w:rPr>
              <w:t>4</w:t>
            </w:r>
          </w:p>
        </w:tc>
        <w:tc>
          <w:tcPr>
            <w:tcW w:w="2786" w:type="dxa"/>
          </w:tcPr>
          <w:p w14:paraId="3DD41619">
            <w:pPr>
              <w:jc w:val="center"/>
              <w:rPr>
                <w:rFonts w:ascii="宋体" w:hAnsi="宋体" w:cs="宋体"/>
                <w:sz w:val="18"/>
                <w:szCs w:val="18"/>
              </w:rPr>
            </w:pPr>
            <w:r>
              <w:rPr>
                <w:rFonts w:hint="eastAsia" w:ascii="宋体" w:hAnsi="宋体" w:cs="宋体"/>
                <w:color w:val="000000"/>
                <w:sz w:val="18"/>
                <w:szCs w:val="18"/>
              </w:rPr>
              <w:t>C400到E900级别：30～40</w:t>
            </w:r>
          </w:p>
        </w:tc>
        <w:tc>
          <w:tcPr>
            <w:tcW w:w="1702" w:type="dxa"/>
            <w:vMerge w:val="continue"/>
          </w:tcPr>
          <w:p w14:paraId="55F202D9">
            <w:pPr>
              <w:rPr>
                <w:rFonts w:ascii="宋体" w:hAnsi="宋体" w:cs="宋体"/>
                <w:sz w:val="18"/>
                <w:szCs w:val="18"/>
              </w:rPr>
            </w:pPr>
          </w:p>
        </w:tc>
      </w:tr>
    </w:tbl>
    <w:p w14:paraId="0C36DA83">
      <w:pPr>
        <w:pStyle w:val="68"/>
        <w:numPr>
          <w:ilvl w:val="2"/>
          <w:numId w:val="20"/>
        </w:numPr>
        <w:spacing w:before="156" w:beforeLines="50" w:after="0"/>
        <w:rPr>
          <w:rFonts w:ascii="Times New Roman" w:eastAsia="黑体" w:cs="Times New Roman"/>
          <w:b/>
          <w:bCs/>
          <w:color w:val="000000" w:themeColor="text1"/>
          <w14:textFill>
            <w14:solidFill>
              <w14:schemeClr w14:val="tx1"/>
            </w14:solidFill>
          </w14:textFill>
        </w:rPr>
      </w:pPr>
      <w:r>
        <w:rPr>
          <w:rFonts w:ascii="Times New Roman" w:eastAsia="黑体" w:cs="Times New Roman"/>
          <w:color w:val="000000" w:themeColor="text1"/>
          <w14:textFill>
            <w14:solidFill>
              <w14:schemeClr w14:val="tx1"/>
            </w14:solidFill>
          </w14:textFill>
        </w:rPr>
        <w:t>通气孔</w:t>
      </w:r>
    </w:p>
    <w:p w14:paraId="1B6E4C40">
      <w:pPr>
        <w:pStyle w:val="68"/>
        <w:ind w:firstLine="420" w:firstLineChars="200"/>
        <w:outlineLvl w:val="9"/>
        <w:rPr>
          <w:rFonts w:hAnsi="宋体" w:cs="宋体"/>
        </w:rPr>
      </w:pPr>
      <w:r>
        <w:rPr>
          <w:rFonts w:hint="eastAsia" w:hAnsi="宋体" w:cs="宋体"/>
          <w:color w:val="000000" w:themeColor="text1"/>
          <w:szCs w:val="20"/>
          <w14:textFill>
            <w14:solidFill>
              <w14:schemeClr w14:val="tx1"/>
            </w14:solidFill>
          </w14:textFill>
        </w:rPr>
        <w:t>单个通气孔的直径应不小于20mm，公差应为±3mm。</w:t>
      </w:r>
    </w:p>
    <w:p w14:paraId="6E322DEA">
      <w:pPr>
        <w:pStyle w:val="43"/>
        <w:numPr>
          <w:ilvl w:val="1"/>
          <w:numId w:val="20"/>
        </w:numPr>
        <w:spacing w:before="156" w:after="156"/>
        <w:rPr>
          <w:rFonts w:ascii="Times New Roman"/>
        </w:rPr>
      </w:pPr>
      <w:bookmarkStart w:id="238" w:name="_Toc519268129"/>
      <w:bookmarkStart w:id="239" w:name="_Toc522184042"/>
      <w:bookmarkStart w:id="240" w:name="_Toc520725737"/>
      <w:bookmarkStart w:id="241" w:name="_Toc16862"/>
      <w:bookmarkStart w:id="242" w:name="_Toc32579"/>
      <w:bookmarkStart w:id="243" w:name="_Toc718"/>
      <w:bookmarkStart w:id="244" w:name="_Toc520725804"/>
      <w:r>
        <w:rPr>
          <w:rFonts w:ascii="Times New Roman"/>
        </w:rPr>
        <w:t>其他要求</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40F4D66">
      <w:pPr>
        <w:pStyle w:val="68"/>
        <w:numPr>
          <w:ilvl w:val="2"/>
          <w:numId w:val="20"/>
        </w:numPr>
        <w:rPr>
          <w:rFonts w:hAnsi="宋体" w:cs="宋体"/>
        </w:rPr>
      </w:pPr>
      <w:r>
        <w:rPr>
          <w:rFonts w:hint="eastAsia" w:hAnsi="宋体" w:cs="宋体"/>
        </w:rPr>
        <w:t>铰接井盖的开启仰角应不小于100°。</w:t>
      </w:r>
    </w:p>
    <w:p w14:paraId="1F80A013">
      <w:pPr>
        <w:pStyle w:val="68"/>
        <w:numPr>
          <w:ilvl w:val="2"/>
          <w:numId w:val="20"/>
        </w:numPr>
        <w:rPr>
          <w:rFonts w:hAnsi="宋体" w:cs="宋体"/>
        </w:rPr>
      </w:pPr>
      <w:r>
        <w:rPr>
          <w:rFonts w:hint="eastAsia" w:hAnsi="宋体" w:cs="宋体"/>
        </w:rPr>
        <w:t>井盖与井座顶面应平齐、接触面应平整、光滑。铸铁井盖与井座装配尺寸应符合GB/T 6414的要求。</w:t>
      </w:r>
    </w:p>
    <w:p w14:paraId="77C05427">
      <w:pPr>
        <w:pStyle w:val="68"/>
        <w:numPr>
          <w:ilvl w:val="2"/>
          <w:numId w:val="20"/>
        </w:numPr>
        <w:rPr>
          <w:rFonts w:hAnsi="宋体" w:cs="宋体"/>
        </w:rPr>
      </w:pPr>
      <w:r>
        <w:rPr>
          <w:rFonts w:hint="eastAsia" w:hAnsi="宋体" w:cs="宋体"/>
        </w:rPr>
        <w:t>井座与检查井之间应有调整高度措施及锁紧定位的装置。</w:t>
      </w:r>
    </w:p>
    <w:p w14:paraId="0E702383">
      <w:pPr>
        <w:pStyle w:val="68"/>
        <w:numPr>
          <w:ilvl w:val="2"/>
          <w:numId w:val="20"/>
        </w:numPr>
        <w:rPr>
          <w:rFonts w:hAnsi="宋体" w:cs="宋体"/>
        </w:rPr>
      </w:pPr>
      <w:r>
        <w:rPr>
          <w:rFonts w:hint="eastAsia" w:hAnsi="宋体" w:cs="宋体"/>
        </w:rPr>
        <w:t>井盖表面除通气孔外，应设必要的功能孔。如井盖锁具预留孔（如采用其他防盗技术可不设）、开启点。</w:t>
      </w:r>
    </w:p>
    <w:p w14:paraId="098B1C30">
      <w:pPr>
        <w:pStyle w:val="49"/>
        <w:numPr>
          <w:ilvl w:val="0"/>
          <w:numId w:val="20"/>
        </w:numPr>
        <w:adjustRightInd w:val="0"/>
        <w:spacing w:before="312" w:after="312"/>
        <w:outlineLvl w:val="0"/>
        <w:rPr>
          <w:rFonts w:ascii="Times New Roman"/>
          <w:color w:val="000000" w:themeColor="text1"/>
          <w14:textFill>
            <w14:solidFill>
              <w14:schemeClr w14:val="tx1"/>
            </w14:solidFill>
          </w14:textFill>
        </w:rPr>
      </w:pPr>
      <w:bookmarkStart w:id="245" w:name="_Toc507756893"/>
      <w:bookmarkStart w:id="246" w:name="_Toc507667272"/>
      <w:bookmarkStart w:id="247" w:name="_Toc520725806"/>
      <w:bookmarkStart w:id="248" w:name="_Toc507407234"/>
      <w:bookmarkStart w:id="249" w:name="_Toc505682360"/>
      <w:bookmarkStart w:id="250" w:name="_Toc478752502"/>
      <w:bookmarkStart w:id="251" w:name="_Toc507669621"/>
      <w:bookmarkStart w:id="252" w:name="_Toc502060049"/>
      <w:bookmarkStart w:id="253" w:name="_Toc505870980"/>
      <w:bookmarkStart w:id="254" w:name="_Toc505874129"/>
      <w:bookmarkStart w:id="255" w:name="_Toc507669478"/>
      <w:bookmarkStart w:id="256" w:name="_Toc507151391"/>
      <w:bookmarkStart w:id="257" w:name="_Toc508358884"/>
      <w:bookmarkStart w:id="258" w:name="_Toc26259"/>
      <w:bookmarkStart w:id="259" w:name="_Toc508361008"/>
      <w:bookmarkStart w:id="260" w:name="_Toc520725739"/>
      <w:bookmarkStart w:id="261" w:name="_Toc507755147"/>
      <w:bookmarkStart w:id="262" w:name="_Toc522184044"/>
      <w:bookmarkStart w:id="263" w:name="_Toc519268131"/>
      <w:bookmarkStart w:id="264" w:name="_Toc502060090"/>
      <w:bookmarkStart w:id="265" w:name="_Toc478752510"/>
      <w:bookmarkStart w:id="266" w:name="_Toc502060048"/>
      <w:r>
        <w:rPr>
          <w:rFonts w:ascii="Times New Roman"/>
          <w:color w:val="000000" w:themeColor="text1"/>
          <w14:textFill>
            <w14:solidFill>
              <w14:schemeClr w14:val="tx1"/>
            </w14:solidFill>
          </w14:textFill>
        </w:rPr>
        <w:t>安全</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hint="eastAsia" w:ascii="Times New Roman"/>
          <w:color w:val="000000" w:themeColor="text1"/>
          <w14:textFill>
            <w14:solidFill>
              <w14:schemeClr w14:val="tx1"/>
            </w14:solidFill>
          </w14:textFill>
        </w:rPr>
        <w:t>要求</w:t>
      </w:r>
    </w:p>
    <w:p w14:paraId="49ABECE9">
      <w:pPr>
        <w:pStyle w:val="130"/>
        <w:numPr>
          <w:ilvl w:val="1"/>
          <w:numId w:val="20"/>
        </w:numPr>
        <w:outlineLvl w:val="1"/>
        <w:rPr>
          <w:rFonts w:hAnsi="宋体" w:cs="宋体"/>
          <w:color w:val="000000" w:themeColor="text1"/>
          <w14:textFill>
            <w14:solidFill>
              <w14:schemeClr w14:val="tx1"/>
            </w14:solidFill>
          </w14:textFill>
        </w:rPr>
      </w:pPr>
      <w:bookmarkStart w:id="267" w:name="_Toc17112"/>
      <w:bookmarkStart w:id="268" w:name="_Toc3975"/>
      <w:r>
        <w:rPr>
          <w:rFonts w:hint="eastAsia" w:hAnsi="宋体" w:cs="宋体"/>
          <w:color w:val="000000" w:themeColor="text1"/>
          <w14:textFill>
            <w14:solidFill>
              <w14:schemeClr w14:val="tx1"/>
            </w14:solidFill>
          </w14:textFill>
        </w:rPr>
        <w:t>检查井盖防盗措施应符合以下要求：</w:t>
      </w:r>
      <w:bookmarkEnd w:id="267"/>
    </w:p>
    <w:p w14:paraId="553F5C74">
      <w:pPr>
        <w:pStyle w:val="23"/>
        <w:numPr>
          <w:ilvl w:val="0"/>
          <w:numId w:val="22"/>
        </w:numPr>
        <w:ind w:left="945" w:leftChars="200" w:hanging="525" w:hangingChars="250"/>
        <w:rPr>
          <w:rFonts w:hAnsi="宋体" w:cs="宋体"/>
        </w:rPr>
      </w:pPr>
      <w:r>
        <w:rPr>
          <w:rFonts w:hint="eastAsia" w:hAnsi="宋体" w:cs="宋体"/>
        </w:rPr>
        <w:t xml:space="preserve"> 机械防盗宜采用内置销轴、连杆或铰链等形式。连接件不应破坏井盖的整体性，连接件应采用耐腐蚀材料或防腐处理；</w:t>
      </w:r>
    </w:p>
    <w:p w14:paraId="07DA9702">
      <w:pPr>
        <w:pStyle w:val="23"/>
        <w:numPr>
          <w:ilvl w:val="0"/>
          <w:numId w:val="22"/>
        </w:numPr>
        <w:ind w:left="945" w:leftChars="200" w:hanging="525" w:hangingChars="250"/>
        <w:rPr>
          <w:rFonts w:hAnsi="宋体" w:cs="宋体"/>
        </w:rPr>
      </w:pPr>
      <w:r>
        <w:rPr>
          <w:rFonts w:hint="eastAsia" w:hAnsi="宋体" w:cs="宋体"/>
        </w:rPr>
        <w:t xml:space="preserve"> 井盖的锁具应安全可靠，打开闭合时宜简单方便。防盗锁安装孔位置和口径应符合锁具安装要求。</w:t>
      </w:r>
    </w:p>
    <w:p w14:paraId="45A0AAA5">
      <w:pPr>
        <w:pStyle w:val="130"/>
        <w:numPr>
          <w:ilvl w:val="1"/>
          <w:numId w:val="20"/>
        </w:numPr>
        <w:outlineLvl w:val="1"/>
        <w:rPr>
          <w:rFonts w:hAnsi="宋体" w:cs="宋体"/>
          <w:color w:val="000000" w:themeColor="text1"/>
          <w14:textFill>
            <w14:solidFill>
              <w14:schemeClr w14:val="tx1"/>
            </w14:solidFill>
          </w14:textFill>
        </w:rPr>
      </w:pPr>
      <w:bookmarkStart w:id="269" w:name="_Toc2248"/>
      <w:r>
        <w:rPr>
          <w:rFonts w:hint="eastAsia" w:hAnsi="宋体" w:cs="宋体"/>
          <w:color w:val="000000" w:themeColor="text1"/>
          <w14:textFill>
            <w14:solidFill>
              <w14:schemeClr w14:val="tx1"/>
            </w14:solidFill>
          </w14:textFill>
        </w:rPr>
        <w:t>防坠落措施应符合以下要求</w:t>
      </w:r>
      <w:bookmarkEnd w:id="269"/>
    </w:p>
    <w:p w14:paraId="7A432129">
      <w:pPr>
        <w:pStyle w:val="23"/>
        <w:numPr>
          <w:ilvl w:val="255"/>
          <w:numId w:val="0"/>
        </w:numPr>
        <w:ind w:left="945" w:leftChars="200" w:hanging="525" w:hangingChars="250"/>
        <w:rPr>
          <w:rFonts w:hAnsi="宋体" w:cs="宋体"/>
          <w:color w:val="000000" w:themeColor="text1"/>
          <w14:textFill>
            <w14:solidFill>
              <w14:schemeClr w14:val="tx1"/>
            </w14:solidFill>
          </w14:textFill>
        </w:rPr>
      </w:pPr>
      <w:r>
        <w:rPr>
          <w:rFonts w:hint="eastAsia" w:hAnsi="宋体" w:cs="宋体"/>
        </w:rPr>
        <w:t xml:space="preserve">a）  </w:t>
      </w:r>
      <w:r>
        <w:rPr>
          <w:rFonts w:hint="eastAsia" w:hAnsi="宋体" w:cs="宋体"/>
          <w:color w:val="000000" w:themeColor="text1"/>
          <w14:textFill>
            <w14:solidFill>
              <w14:schemeClr w14:val="tx1"/>
            </w14:solidFill>
          </w14:textFill>
        </w:rPr>
        <w:t>检查井深度H≥1200mm时应设置防坠落装置；井座上宜预留防坠落装置安装接口；</w:t>
      </w:r>
    </w:p>
    <w:p w14:paraId="4BD03658">
      <w:pPr>
        <w:pStyle w:val="23"/>
        <w:numPr>
          <w:ilvl w:val="255"/>
          <w:numId w:val="0"/>
        </w:numPr>
        <w:ind w:left="945" w:leftChars="200" w:hanging="525" w:hangingChars="250"/>
        <w:rPr>
          <w:rFonts w:hAnsi="宋体" w:cs="宋体"/>
          <w:color w:val="000000" w:themeColor="text1"/>
          <w14:textFill>
            <w14:solidFill>
              <w14:schemeClr w14:val="tx1"/>
            </w14:solidFill>
          </w14:textFill>
        </w:rPr>
      </w:pPr>
      <w:r>
        <w:rPr>
          <w:rFonts w:hint="eastAsia" w:hAnsi="宋体" w:cs="宋体"/>
        </w:rPr>
        <w:t xml:space="preserve">b）  </w:t>
      </w:r>
      <w:r>
        <w:rPr>
          <w:rFonts w:hint="eastAsia" w:hAnsi="宋体" w:cs="宋体"/>
          <w:color w:val="000000" w:themeColor="text1"/>
          <w14:textFill>
            <w14:solidFill>
              <w14:schemeClr w14:val="tx1"/>
            </w14:solidFill>
          </w14:textFill>
        </w:rPr>
        <w:t>防坠落装置的</w:t>
      </w:r>
      <w:r>
        <w:rPr>
          <w:rFonts w:hint="eastAsia" w:hAnsi="宋体" w:cs="宋体"/>
        </w:rPr>
        <w:t>承受重量应不小于500kg；耐冲击荷载100kg，冲击高度1m，装置不损坏；使用寿命应不少于3年；</w:t>
      </w:r>
    </w:p>
    <w:p w14:paraId="79447B73">
      <w:pPr>
        <w:pStyle w:val="23"/>
        <w:numPr>
          <w:ilvl w:val="255"/>
          <w:numId w:val="0"/>
        </w:numPr>
        <w:ind w:left="945" w:leftChars="200" w:hanging="525" w:hangingChars="250"/>
        <w:rPr>
          <w:rFonts w:hAnsi="宋体" w:cs="宋体"/>
          <w:color w:val="000000" w:themeColor="text1"/>
          <w14:textFill>
            <w14:solidFill>
              <w14:schemeClr w14:val="tx1"/>
            </w14:solidFill>
          </w14:textFill>
        </w:rPr>
      </w:pPr>
      <w:r>
        <w:rPr>
          <w:rFonts w:hint="eastAsia" w:hAnsi="宋体" w:cs="宋体"/>
        </w:rPr>
        <w:t xml:space="preserve">c）  </w:t>
      </w:r>
      <w:r>
        <w:rPr>
          <w:rFonts w:hint="eastAsia" w:hAnsi="宋体" w:cs="宋体"/>
          <w:color w:val="000000" w:themeColor="text1"/>
          <w14:textFill>
            <w14:solidFill>
              <w14:schemeClr w14:val="tx1"/>
            </w14:solidFill>
          </w14:textFill>
        </w:rPr>
        <w:t>在车流、人流密集的公共场地，应装设双层井盖。</w:t>
      </w:r>
    </w:p>
    <w:p w14:paraId="1DAA9560">
      <w:pPr>
        <w:pStyle w:val="130"/>
        <w:numPr>
          <w:ilvl w:val="1"/>
          <w:numId w:val="20"/>
        </w:numPr>
        <w:outlineLvl w:val="1"/>
        <w:rPr>
          <w:rFonts w:hAnsi="宋体" w:cs="宋体"/>
          <w:color w:val="000000" w:themeColor="text1"/>
          <w14:textFill>
            <w14:solidFill>
              <w14:schemeClr w14:val="tx1"/>
            </w14:solidFill>
          </w14:textFill>
        </w:rPr>
      </w:pPr>
      <w:bookmarkStart w:id="270" w:name="_Toc14573"/>
      <w:r>
        <w:rPr>
          <w:rFonts w:hint="eastAsia" w:hAnsi="宋体" w:cs="宋体"/>
          <w:color w:val="000000" w:themeColor="text1"/>
          <w14:textFill>
            <w14:solidFill>
              <w14:schemeClr w14:val="tx1"/>
            </w14:solidFill>
          </w14:textFill>
        </w:rPr>
        <w:t>井盖表面应设防滑纹，并满足以下要求：</w:t>
      </w:r>
      <w:bookmarkEnd w:id="270"/>
    </w:p>
    <w:p w14:paraId="6786A39C">
      <w:pPr>
        <w:pStyle w:val="23"/>
        <w:numPr>
          <w:ilvl w:val="255"/>
          <w:numId w:val="0"/>
        </w:numPr>
        <w:ind w:left="945" w:leftChars="200" w:hanging="525" w:hangingChars="250"/>
        <w:rPr>
          <w:rFonts w:hAnsi="宋体" w:cs="宋体"/>
          <w:color w:val="000000" w:themeColor="text1"/>
          <w14:textFill>
            <w14:solidFill>
              <w14:schemeClr w14:val="tx1"/>
            </w14:solidFill>
          </w14:textFill>
        </w:rPr>
      </w:pPr>
      <w:r>
        <w:rPr>
          <w:rFonts w:hint="eastAsia" w:hAnsi="宋体" w:cs="宋体"/>
        </w:rPr>
        <w:t xml:space="preserve">a）  </w:t>
      </w:r>
      <w:r>
        <w:rPr>
          <w:rFonts w:hint="eastAsia" w:hAnsi="宋体" w:cs="宋体"/>
          <w:color w:val="000000" w:themeColor="text1"/>
          <w14:textFill>
            <w14:solidFill>
              <w14:schemeClr w14:val="tx1"/>
            </w14:solidFill>
          </w14:textFill>
        </w:rPr>
        <w:t>防滑纹应突出井盖上表面，其高度应符合表9的规定；</w:t>
      </w:r>
    </w:p>
    <w:p w14:paraId="7BB957BB">
      <w:pPr>
        <w:pStyle w:val="23"/>
        <w:numPr>
          <w:ilvl w:val="255"/>
          <w:numId w:val="0"/>
        </w:numPr>
        <w:ind w:left="945" w:leftChars="200" w:hanging="525" w:hangingChars="250"/>
        <w:rPr>
          <w:rFonts w:hAnsi="宋体" w:cs="宋体"/>
          <w:color w:val="000000" w:themeColor="text1"/>
          <w14:textFill>
            <w14:solidFill>
              <w14:schemeClr w14:val="tx1"/>
            </w14:solidFill>
          </w14:textFill>
        </w:rPr>
      </w:pPr>
      <w:r>
        <w:rPr>
          <w:rFonts w:hint="eastAsia" w:hAnsi="宋体" w:cs="宋体"/>
        </w:rPr>
        <w:t xml:space="preserve">b）  </w:t>
      </w:r>
      <w:r>
        <w:rPr>
          <w:rFonts w:hint="eastAsia" w:hAnsi="宋体" w:cs="宋体"/>
          <w:color w:val="000000" w:themeColor="text1"/>
          <w14:textFill>
            <w14:solidFill>
              <w14:schemeClr w14:val="tx1"/>
            </w14:solidFill>
          </w14:textFill>
        </w:rPr>
        <w:t>防滑纹应分布均匀，表面应完整，无生产过程产生的缺陷；</w:t>
      </w:r>
    </w:p>
    <w:p w14:paraId="6FC00175">
      <w:pPr>
        <w:pStyle w:val="23"/>
        <w:numPr>
          <w:ilvl w:val="255"/>
          <w:numId w:val="0"/>
        </w:numPr>
        <w:ind w:left="945" w:leftChars="200" w:hanging="525" w:hangingChars="250"/>
        <w:rPr>
          <w:rFonts w:hAnsi="宋体" w:cs="宋体"/>
          <w:color w:val="000000" w:themeColor="text1"/>
          <w14:textFill>
            <w14:solidFill>
              <w14:schemeClr w14:val="tx1"/>
            </w14:solidFill>
          </w14:textFill>
        </w:rPr>
      </w:pPr>
      <w:r>
        <w:rPr>
          <w:rFonts w:hint="eastAsia" w:hAnsi="宋体" w:cs="宋体"/>
        </w:rPr>
        <w:t xml:space="preserve">c）  </w:t>
      </w:r>
      <w:r>
        <w:rPr>
          <w:rFonts w:hint="eastAsia" w:hAnsi="宋体" w:cs="宋体"/>
          <w:color w:val="000000" w:themeColor="text1"/>
          <w14:textFill>
            <w14:solidFill>
              <w14:schemeClr w14:val="tx1"/>
            </w14:solidFill>
          </w14:textFill>
        </w:rPr>
        <w:t>防滑纹面积与井盖总面积之比不应小于10%，且不应大于70%。</w:t>
      </w:r>
    </w:p>
    <w:p w14:paraId="680C02ED">
      <w:pPr>
        <w:widowControl/>
        <w:spacing w:before="156" w:beforeLines="50"/>
        <w:ind w:firstLine="420" w:firstLineChars="200"/>
        <w:jc w:val="center"/>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表9  防滑纹高度</w:t>
      </w:r>
    </w:p>
    <w:tbl>
      <w:tblPr>
        <w:tblStyle w:val="3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086"/>
        <w:gridCol w:w="3086"/>
        <w:gridCol w:w="3086"/>
      </w:tblGrid>
      <w:tr w14:paraId="4447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 w:hRule="atLeast"/>
        </w:trPr>
        <w:tc>
          <w:tcPr>
            <w:tcW w:w="3086" w:type="dxa"/>
            <w:vAlign w:val="center"/>
          </w:tcPr>
          <w:p w14:paraId="5706A701">
            <w:pPr>
              <w:spacing w:line="320" w:lineRule="exact"/>
              <w:jc w:val="center"/>
              <w:rPr>
                <w:rFonts w:ascii="宋体" w:hAnsi="宋体" w:cs="宋体"/>
                <w:sz w:val="18"/>
                <w:szCs w:val="18"/>
              </w:rPr>
            </w:pPr>
            <w:r>
              <w:rPr>
                <w:rFonts w:hint="eastAsia" w:ascii="宋体" w:hAnsi="宋体" w:cs="宋体"/>
                <w:color w:val="000000"/>
                <w:sz w:val="18"/>
                <w:szCs w:val="18"/>
              </w:rPr>
              <w:t>级别</w:t>
            </w:r>
          </w:p>
        </w:tc>
        <w:tc>
          <w:tcPr>
            <w:tcW w:w="3086" w:type="dxa"/>
            <w:vAlign w:val="center"/>
          </w:tcPr>
          <w:p w14:paraId="1854FA29">
            <w:pPr>
              <w:spacing w:line="315" w:lineRule="exact"/>
              <w:jc w:val="center"/>
              <w:rPr>
                <w:rFonts w:ascii="宋体" w:hAnsi="宋体" w:cs="宋体"/>
                <w:sz w:val="18"/>
                <w:szCs w:val="18"/>
              </w:rPr>
            </w:pPr>
            <w:r>
              <w:rPr>
                <w:rFonts w:hint="eastAsia" w:ascii="宋体" w:hAnsi="宋体" w:cs="宋体"/>
                <w:color w:val="000000"/>
                <w:sz w:val="18"/>
                <w:szCs w:val="18"/>
              </w:rPr>
              <w:t>防滑纹高度（mm）</w:t>
            </w:r>
          </w:p>
        </w:tc>
        <w:tc>
          <w:tcPr>
            <w:tcW w:w="3086" w:type="dxa"/>
            <w:vAlign w:val="center"/>
          </w:tcPr>
          <w:p w14:paraId="516B582E">
            <w:pPr>
              <w:spacing w:line="330" w:lineRule="exact"/>
              <w:jc w:val="center"/>
              <w:rPr>
                <w:rFonts w:ascii="宋体" w:hAnsi="宋体" w:cs="宋体"/>
                <w:sz w:val="18"/>
                <w:szCs w:val="18"/>
              </w:rPr>
            </w:pPr>
            <w:r>
              <w:rPr>
                <w:rFonts w:hint="eastAsia" w:ascii="宋体" w:hAnsi="宋体" w:cs="宋体"/>
                <w:color w:val="000000"/>
                <w:sz w:val="18"/>
                <w:szCs w:val="18"/>
              </w:rPr>
              <w:t>公差（mm）</w:t>
            </w:r>
          </w:p>
        </w:tc>
      </w:tr>
      <w:tr w14:paraId="5FA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 w:hRule="atLeast"/>
        </w:trPr>
        <w:tc>
          <w:tcPr>
            <w:tcW w:w="3086" w:type="dxa"/>
            <w:vAlign w:val="center"/>
          </w:tcPr>
          <w:p w14:paraId="42D6357F">
            <w:pPr>
              <w:spacing w:line="312" w:lineRule="exact"/>
              <w:jc w:val="center"/>
              <w:rPr>
                <w:rFonts w:ascii="宋体" w:hAnsi="宋体" w:cs="宋体"/>
                <w:sz w:val="18"/>
                <w:szCs w:val="18"/>
              </w:rPr>
            </w:pPr>
            <w:r>
              <w:rPr>
                <w:rFonts w:hint="eastAsia" w:ascii="宋体" w:hAnsi="宋体" w:cs="宋体"/>
                <w:color w:val="000000"/>
                <w:sz w:val="18"/>
                <w:szCs w:val="18"/>
              </w:rPr>
              <w:t>B125、C250</w:t>
            </w:r>
          </w:p>
        </w:tc>
        <w:tc>
          <w:tcPr>
            <w:tcW w:w="3086" w:type="dxa"/>
            <w:vAlign w:val="center"/>
          </w:tcPr>
          <w:p w14:paraId="3817DBBB">
            <w:pPr>
              <w:spacing w:line="300" w:lineRule="exact"/>
              <w:jc w:val="center"/>
              <w:rPr>
                <w:rFonts w:ascii="宋体" w:hAnsi="宋体" w:cs="宋体"/>
                <w:sz w:val="18"/>
                <w:szCs w:val="18"/>
              </w:rPr>
            </w:pPr>
            <w:r>
              <w:rPr>
                <w:rFonts w:hint="eastAsia" w:ascii="宋体" w:hAnsi="宋体" w:cs="宋体"/>
                <w:color w:val="000000"/>
                <w:sz w:val="18"/>
                <w:szCs w:val="18"/>
              </w:rPr>
              <w:t>3</w:t>
            </w:r>
          </w:p>
        </w:tc>
        <w:tc>
          <w:tcPr>
            <w:tcW w:w="3086" w:type="dxa"/>
            <w:vAlign w:val="center"/>
          </w:tcPr>
          <w:p w14:paraId="631BE11C">
            <w:pPr>
              <w:spacing w:line="300" w:lineRule="exact"/>
              <w:jc w:val="center"/>
              <w:rPr>
                <w:rFonts w:ascii="宋体" w:hAnsi="宋体" w:cs="宋体"/>
                <w:sz w:val="18"/>
                <w:szCs w:val="18"/>
              </w:rPr>
            </w:pPr>
            <w:r>
              <w:rPr>
                <w:rFonts w:hint="eastAsia" w:ascii="宋体" w:hAnsi="宋体" w:cs="宋体"/>
                <w:color w:val="000000"/>
                <w:sz w:val="18"/>
                <w:szCs w:val="18"/>
              </w:rPr>
              <w:t>±1</w:t>
            </w:r>
          </w:p>
        </w:tc>
      </w:tr>
      <w:tr w14:paraId="219D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 w:hRule="atLeast"/>
        </w:trPr>
        <w:tc>
          <w:tcPr>
            <w:tcW w:w="3086" w:type="dxa"/>
            <w:vAlign w:val="center"/>
          </w:tcPr>
          <w:p w14:paraId="3E5B82EE">
            <w:pPr>
              <w:spacing w:line="300" w:lineRule="exact"/>
              <w:jc w:val="center"/>
              <w:rPr>
                <w:rFonts w:ascii="宋体" w:hAnsi="宋体" w:cs="宋体"/>
                <w:sz w:val="18"/>
                <w:szCs w:val="18"/>
              </w:rPr>
            </w:pPr>
            <w:r>
              <w:rPr>
                <w:rFonts w:hint="eastAsia" w:ascii="宋体" w:hAnsi="宋体" w:cs="宋体"/>
                <w:color w:val="000000"/>
                <w:sz w:val="18"/>
                <w:szCs w:val="18"/>
              </w:rPr>
              <w:t>D400、E600、F900</w:t>
            </w:r>
          </w:p>
        </w:tc>
        <w:tc>
          <w:tcPr>
            <w:tcW w:w="3086" w:type="dxa"/>
            <w:vAlign w:val="center"/>
          </w:tcPr>
          <w:p w14:paraId="700E71F0">
            <w:pPr>
              <w:spacing w:line="300" w:lineRule="exact"/>
              <w:jc w:val="center"/>
              <w:rPr>
                <w:rFonts w:ascii="宋体" w:hAnsi="宋体" w:cs="宋体"/>
                <w:sz w:val="18"/>
                <w:szCs w:val="18"/>
              </w:rPr>
            </w:pPr>
            <w:r>
              <w:rPr>
                <w:rFonts w:hint="eastAsia" w:ascii="宋体" w:hAnsi="宋体" w:cs="宋体"/>
                <w:color w:val="000000"/>
                <w:sz w:val="18"/>
                <w:szCs w:val="18"/>
              </w:rPr>
              <w:t>5</w:t>
            </w:r>
          </w:p>
        </w:tc>
        <w:tc>
          <w:tcPr>
            <w:tcW w:w="3086" w:type="dxa"/>
            <w:vAlign w:val="center"/>
          </w:tcPr>
          <w:p w14:paraId="1084AD50">
            <w:pPr>
              <w:spacing w:line="320" w:lineRule="exact"/>
              <w:jc w:val="center"/>
              <w:rPr>
                <w:rFonts w:ascii="宋体" w:hAnsi="宋体" w:cs="宋体"/>
                <w:sz w:val="18"/>
                <w:szCs w:val="18"/>
              </w:rPr>
            </w:pPr>
            <w:r>
              <w:rPr>
                <w:rFonts w:hint="eastAsia" w:ascii="宋体" w:hAnsi="宋体" w:cs="宋体"/>
                <w:color w:val="000000"/>
                <w:sz w:val="18"/>
                <w:szCs w:val="18"/>
              </w:rPr>
              <w:t>±1</w:t>
            </w:r>
          </w:p>
        </w:tc>
      </w:tr>
    </w:tbl>
    <w:p w14:paraId="4EAAF51C">
      <w:pPr>
        <w:pStyle w:val="23"/>
        <w:spacing w:before="50" w:after="50"/>
        <w:rPr>
          <w:rFonts w:ascii="Times New Roman"/>
        </w:rPr>
      </w:pPr>
    </w:p>
    <w:bookmarkEnd w:id="268"/>
    <w:p w14:paraId="48B65F25">
      <w:pPr>
        <w:pStyle w:val="130"/>
        <w:numPr>
          <w:ilvl w:val="1"/>
          <w:numId w:val="20"/>
        </w:numPr>
        <w:outlineLvl w:val="1"/>
        <w:rPr>
          <w:rFonts w:hAnsi="宋体" w:cs="宋体"/>
          <w:color w:val="000000" w:themeColor="text1"/>
          <w14:textFill>
            <w14:solidFill>
              <w14:schemeClr w14:val="tx1"/>
            </w14:solidFill>
          </w14:textFill>
        </w:rPr>
      </w:pPr>
      <w:bookmarkStart w:id="271" w:name="_Toc11282"/>
      <w:r>
        <w:rPr>
          <w:rFonts w:hint="eastAsia" w:hAnsi="宋体" w:cs="宋体"/>
          <w:color w:val="000000" w:themeColor="text1"/>
          <w14:textFill>
            <w14:solidFill>
              <w14:schemeClr w14:val="tx1"/>
            </w14:solidFill>
          </w14:textFill>
        </w:rPr>
        <w:t>在机动车道内的检查井盖应满足以下防位移的要求：</w:t>
      </w:r>
      <w:bookmarkEnd w:id="271"/>
    </w:p>
    <w:p w14:paraId="336469FC">
      <w:pPr>
        <w:pStyle w:val="23"/>
        <w:numPr>
          <w:ilvl w:val="255"/>
          <w:numId w:val="0"/>
        </w:numPr>
        <w:ind w:left="945" w:leftChars="200" w:hanging="525" w:hangingChars="250"/>
        <w:rPr>
          <w:rFonts w:hAnsi="宋体" w:cs="宋体"/>
          <w:color w:val="000000" w:themeColor="text1"/>
          <w14:textFill>
            <w14:solidFill>
              <w14:schemeClr w14:val="tx1"/>
            </w14:solidFill>
          </w14:textFill>
        </w:rPr>
      </w:pPr>
      <w:r>
        <w:rPr>
          <w:rFonts w:hint="eastAsia" w:hAnsi="宋体" w:cs="宋体"/>
        </w:rPr>
        <w:t xml:space="preserve">a）  </w:t>
      </w:r>
      <w:r>
        <w:rPr>
          <w:rFonts w:hint="eastAsia" w:hAnsi="宋体" w:cs="宋体"/>
          <w:color w:val="000000" w:themeColor="text1"/>
          <w14:textFill>
            <w14:solidFill>
              <w14:schemeClr w14:val="tx1"/>
            </w14:solidFill>
          </w14:textFill>
        </w:rPr>
        <w:t>应具有防位移的设计，在道路设计的标准荷载、标准车速下，车辆碾压时不应有位移；</w:t>
      </w:r>
    </w:p>
    <w:p w14:paraId="2E95DCEE">
      <w:pPr>
        <w:pStyle w:val="23"/>
        <w:numPr>
          <w:ilvl w:val="255"/>
          <w:numId w:val="0"/>
        </w:numPr>
        <w:ind w:left="945" w:leftChars="200" w:hanging="525" w:hangingChars="250"/>
        <w:rPr>
          <w:rFonts w:hAnsi="宋体" w:cs="宋体"/>
          <w:color w:val="000000" w:themeColor="text1"/>
          <w14:textFill>
            <w14:solidFill>
              <w14:schemeClr w14:val="tx1"/>
            </w14:solidFill>
          </w14:textFill>
        </w:rPr>
      </w:pPr>
      <w:r>
        <w:rPr>
          <w:rFonts w:hint="eastAsia" w:hAnsi="宋体" w:cs="宋体"/>
        </w:rPr>
        <w:t>b）  井盖铰接装置开合方向应与行车方向一致。</w:t>
      </w:r>
    </w:p>
    <w:p w14:paraId="57795B46">
      <w:pPr>
        <w:pStyle w:val="130"/>
        <w:numPr>
          <w:ilvl w:val="1"/>
          <w:numId w:val="20"/>
        </w:numPr>
        <w:outlineLvl w:val="1"/>
        <w:rPr>
          <w:rFonts w:hAnsi="宋体" w:cs="宋体"/>
          <w:color w:val="000000" w:themeColor="text1"/>
          <w14:textFill>
            <w14:solidFill>
              <w14:schemeClr w14:val="tx1"/>
            </w14:solidFill>
          </w14:textFill>
        </w:rPr>
      </w:pPr>
      <w:bookmarkStart w:id="272" w:name="_Toc27542"/>
      <w:r>
        <w:rPr>
          <w:rFonts w:hint="eastAsia" w:hAnsi="宋体" w:cs="宋体"/>
          <w:color w:val="000000" w:themeColor="text1"/>
          <w14:textFill>
            <w14:solidFill>
              <w14:schemeClr w14:val="tx1"/>
            </w14:solidFill>
          </w14:textFill>
        </w:rPr>
        <w:t>在机动车道内的检查井盖应满足以下防噪声的要求：</w:t>
      </w:r>
      <w:bookmarkEnd w:id="272"/>
    </w:p>
    <w:p w14:paraId="08018760">
      <w:pPr>
        <w:pStyle w:val="23"/>
        <w:numPr>
          <w:ilvl w:val="255"/>
          <w:numId w:val="0"/>
        </w:numPr>
        <w:ind w:left="945" w:leftChars="200" w:hanging="525" w:hangingChars="250"/>
        <w:rPr>
          <w:rFonts w:hint="eastAsia" w:hAnsi="宋体" w:eastAsia="宋体" w:cs="宋体"/>
          <w:lang w:eastAsia="zh-CN"/>
        </w:rPr>
      </w:pPr>
      <w:r>
        <w:rPr>
          <w:rFonts w:hint="eastAsia" w:hAnsi="宋体" w:cs="宋体"/>
        </w:rPr>
        <w:t xml:space="preserve">a）  </w:t>
      </w:r>
      <w:r>
        <w:rPr>
          <w:rFonts w:hint="eastAsia" w:hAnsi="宋体" w:cs="宋体"/>
          <w:color w:val="000000" w:themeColor="text1"/>
          <w14:textFill>
            <w14:solidFill>
              <w14:schemeClr w14:val="tx1"/>
            </w14:solidFill>
          </w14:textFill>
        </w:rPr>
        <w:t>应具有防碾压噪声的设计，在道路设计的标准荷载、标准车速下，最大碾压噪声宜小于环境噪声</w:t>
      </w:r>
      <w:r>
        <w:rPr>
          <w:rFonts w:hint="eastAsia" w:hAnsi="宋体" w:cs="宋体"/>
          <w:color w:val="000000" w:themeColor="text1"/>
          <w:lang w:eastAsia="zh-CN"/>
          <w14:textFill>
            <w14:solidFill>
              <w14:schemeClr w14:val="tx1"/>
            </w14:solidFill>
          </w14:textFill>
        </w:rPr>
        <w:t>；</w:t>
      </w:r>
    </w:p>
    <w:p w14:paraId="6633F392">
      <w:pPr>
        <w:pStyle w:val="23"/>
        <w:numPr>
          <w:ilvl w:val="255"/>
          <w:numId w:val="0"/>
        </w:numPr>
        <w:ind w:left="945" w:leftChars="200" w:hanging="525" w:hangingChars="250"/>
        <w:rPr>
          <w:rFonts w:hAnsi="宋体" w:cs="宋体"/>
        </w:rPr>
      </w:pPr>
      <w:r>
        <w:rPr>
          <w:rFonts w:hint="eastAsia" w:hAnsi="宋体" w:cs="宋体"/>
        </w:rPr>
        <w:t>b）  可采用缓冲橡胶圈、弹簧闭锁、斜面接触和三点接触的设计。</w:t>
      </w:r>
    </w:p>
    <w:p w14:paraId="691D1E1B">
      <w:pPr>
        <w:pStyle w:val="130"/>
        <w:numPr>
          <w:ilvl w:val="1"/>
          <w:numId w:val="20"/>
        </w:numPr>
        <w:outlineLvl w:val="1"/>
        <w:rPr>
          <w:rFonts w:hAnsi="宋体" w:cs="宋体"/>
          <w:color w:val="000000" w:themeColor="text1"/>
          <w14:textFill>
            <w14:solidFill>
              <w14:schemeClr w14:val="tx1"/>
            </w14:solidFill>
          </w14:textFill>
        </w:rPr>
      </w:pPr>
      <w:bookmarkStart w:id="273" w:name="_Toc14120"/>
      <w:r>
        <w:rPr>
          <w:rFonts w:hint="eastAsia" w:hAnsi="宋体" w:cs="宋体"/>
          <w:color w:val="000000" w:themeColor="text1"/>
          <w14:textFill>
            <w14:solidFill>
              <w14:schemeClr w14:val="tx1"/>
            </w14:solidFill>
          </w14:textFill>
        </w:rPr>
        <w:t>有防反涌设计的雨水井盖应能在承受高度3m的静水压时不脱离井座，且不出现影响使用功能的损坏。</w:t>
      </w:r>
      <w:bookmarkEnd w:id="265"/>
      <w:bookmarkEnd w:id="273"/>
      <w:bookmarkStart w:id="274" w:name="_Toc508358891"/>
      <w:bookmarkStart w:id="275" w:name="_Toc507151398"/>
      <w:bookmarkStart w:id="276" w:name="_Toc507667279"/>
      <w:bookmarkStart w:id="277" w:name="_Toc507755154"/>
      <w:bookmarkStart w:id="278" w:name="_Toc505682367"/>
      <w:bookmarkStart w:id="279" w:name="_Toc505874136"/>
      <w:bookmarkStart w:id="280" w:name="_Toc474243125"/>
      <w:bookmarkStart w:id="281" w:name="_Toc507407241"/>
      <w:bookmarkStart w:id="282" w:name="_Toc507756900"/>
      <w:bookmarkStart w:id="283" w:name="_Toc519268138"/>
      <w:bookmarkStart w:id="284" w:name="_Toc508361015"/>
      <w:bookmarkStart w:id="285" w:name="_Toc507669628"/>
      <w:bookmarkStart w:id="286" w:name="_Toc502060056"/>
      <w:bookmarkStart w:id="287" w:name="_Toc520725746"/>
      <w:bookmarkStart w:id="288" w:name="_Toc505870987"/>
      <w:bookmarkStart w:id="289" w:name="_Toc507669485"/>
      <w:bookmarkStart w:id="290" w:name="_Toc520725813"/>
    </w:p>
    <w:p w14:paraId="6C3AAEF6">
      <w:pPr>
        <w:pStyle w:val="130"/>
        <w:numPr>
          <w:ilvl w:val="1"/>
          <w:numId w:val="20"/>
        </w:numPr>
        <w:outlineLvl w:val="1"/>
        <w:rPr>
          <w:rFonts w:hAnsi="宋体" w:cs="宋体"/>
          <w:color w:val="000000" w:themeColor="text1"/>
          <w14:textFill>
            <w14:solidFill>
              <w14:schemeClr w14:val="tx1"/>
            </w14:solidFill>
          </w14:textFill>
        </w:rPr>
      </w:pPr>
      <w:bookmarkStart w:id="291" w:name="_Toc30533"/>
      <w:r>
        <w:rPr>
          <w:rFonts w:hint="eastAsia" w:hAnsi="宋体" w:cs="宋体"/>
          <w:color w:val="000000" w:themeColor="text1"/>
          <w14:textFill>
            <w14:solidFill>
              <w14:schemeClr w14:val="tx1"/>
            </w14:solidFill>
          </w14:textFill>
        </w:rPr>
        <w:t>对有防沉降需求的区域，</w:t>
      </w:r>
      <w:r>
        <w:rPr>
          <w:rFonts w:hint="eastAsia" w:hAnsi="宋体" w:cs="宋体"/>
        </w:rPr>
        <w:t>可选用具有防沉降功能的检查井盖。</w:t>
      </w:r>
      <w:bookmarkEnd w:id="291"/>
    </w:p>
    <w:bookmarkEnd w:id="197"/>
    <w:bookmarkEnd w:id="26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2C97CBE9">
      <w:pPr>
        <w:pStyle w:val="49"/>
        <w:numPr>
          <w:ilvl w:val="0"/>
          <w:numId w:val="20"/>
        </w:numPr>
        <w:adjustRightInd w:val="0"/>
        <w:spacing w:before="312" w:after="312"/>
        <w:outlineLvl w:val="0"/>
        <w:rPr>
          <w:rFonts w:ascii="Times New Roman"/>
          <w:color w:val="000000" w:themeColor="text1"/>
          <w14:textFill>
            <w14:solidFill>
              <w14:schemeClr w14:val="tx1"/>
            </w14:solidFill>
          </w14:textFill>
        </w:rPr>
      </w:pPr>
      <w:bookmarkStart w:id="292" w:name="_Toc19170"/>
      <w:r>
        <w:rPr>
          <w:rFonts w:ascii="Times New Roman"/>
          <w:color w:val="000000" w:themeColor="text1"/>
          <w14:textFill>
            <w14:solidFill>
              <w14:schemeClr w14:val="tx1"/>
            </w14:solidFill>
          </w14:textFill>
        </w:rPr>
        <w:t>运行维护</w:t>
      </w:r>
      <w:bookmarkEnd w:id="292"/>
    </w:p>
    <w:p w14:paraId="7493DA3E">
      <w:pPr>
        <w:pStyle w:val="130"/>
        <w:numPr>
          <w:ilvl w:val="1"/>
          <w:numId w:val="20"/>
        </w:numPr>
        <w:outlineLvl w:val="1"/>
        <w:rPr>
          <w:rFonts w:hAnsi="宋体" w:cs="宋体"/>
          <w:color w:val="000000" w:themeColor="text1"/>
          <w14:textFill>
            <w14:solidFill>
              <w14:schemeClr w14:val="tx1"/>
            </w14:solidFill>
          </w14:textFill>
        </w:rPr>
      </w:pPr>
      <w:bookmarkStart w:id="293" w:name="_Toc24290"/>
      <w:r>
        <w:rPr>
          <w:rFonts w:hint="eastAsia" w:hAnsi="宋体" w:cs="宋体"/>
          <w:color w:val="000000" w:themeColor="text1"/>
          <w14:textFill>
            <w14:solidFill>
              <w14:schemeClr w14:val="tx1"/>
            </w14:solidFill>
          </w14:textFill>
        </w:rPr>
        <w:t>应制定检查井盖管理制度，定期巡查检查井盖，及时维修养护。</w:t>
      </w:r>
      <w:bookmarkEnd w:id="293"/>
    </w:p>
    <w:p w14:paraId="086C008E">
      <w:pPr>
        <w:pStyle w:val="130"/>
        <w:numPr>
          <w:ilvl w:val="1"/>
          <w:numId w:val="20"/>
        </w:numPr>
        <w:outlineLvl w:val="1"/>
        <w:rPr>
          <w:rFonts w:hAnsi="宋体" w:cs="宋体"/>
          <w:color w:val="000000" w:themeColor="text1"/>
          <w14:textFill>
            <w14:solidFill>
              <w14:schemeClr w14:val="tx1"/>
            </w14:solidFill>
          </w14:textFill>
        </w:rPr>
      </w:pPr>
      <w:bookmarkStart w:id="294" w:name="_Toc22091"/>
      <w:r>
        <w:rPr>
          <w:rFonts w:hint="eastAsia" w:hAnsi="宋体" w:cs="宋体"/>
          <w:color w:val="000000" w:themeColor="text1"/>
          <w14:textFill>
            <w14:solidFill>
              <w14:schemeClr w14:val="tx1"/>
            </w14:solidFill>
          </w14:textFill>
        </w:rPr>
        <w:t>检查井盖病害、判定标准及维修方式应符合表10的规定。检查井盖维修后，质保期应不少于3年。</w:t>
      </w:r>
      <w:bookmarkEnd w:id="294"/>
    </w:p>
    <w:p w14:paraId="11770FD3">
      <w:pPr>
        <w:widowControl/>
        <w:spacing w:before="156" w:beforeLines="50"/>
        <w:jc w:val="center"/>
        <w:rPr>
          <w:rFonts w:ascii="黑体" w:hAnsi="黑体" w:eastAsia="黑体" w:cs="黑体"/>
          <w:szCs w:val="21"/>
        </w:rPr>
      </w:pPr>
      <w:r>
        <w:rPr>
          <w:rFonts w:hint="eastAsia" w:ascii="黑体" w:hAnsi="黑体" w:eastAsia="黑体" w:cs="黑体"/>
          <w:szCs w:val="21"/>
        </w:rPr>
        <w:t xml:space="preserve">表10  </w:t>
      </w:r>
      <w:bookmarkStart w:id="295" w:name="OLE_LINK15"/>
      <w:r>
        <w:rPr>
          <w:rFonts w:hint="eastAsia" w:ascii="黑体" w:hAnsi="黑体" w:eastAsia="黑体" w:cs="黑体"/>
          <w:szCs w:val="21"/>
        </w:rPr>
        <w:t>检查井盖病害、维修标准及维修方式</w:t>
      </w:r>
      <w:bookmarkEnd w:id="295"/>
    </w:p>
    <w:tbl>
      <w:tblPr>
        <w:tblStyle w:val="33"/>
        <w:tblW w:w="0" w:type="auto"/>
        <w:jc w:val="center"/>
        <w:tblLayout w:type="autofit"/>
        <w:tblCellMar>
          <w:top w:w="0" w:type="dxa"/>
          <w:left w:w="108" w:type="dxa"/>
          <w:bottom w:w="0" w:type="dxa"/>
          <w:right w:w="108" w:type="dxa"/>
        </w:tblCellMar>
      </w:tblPr>
      <w:tblGrid>
        <w:gridCol w:w="1071"/>
        <w:gridCol w:w="3143"/>
        <w:gridCol w:w="4215"/>
      </w:tblGrid>
      <w:tr w14:paraId="268B0673">
        <w:tblPrEx>
          <w:tblCellMar>
            <w:top w:w="0" w:type="dxa"/>
            <w:left w:w="108" w:type="dxa"/>
            <w:bottom w:w="0" w:type="dxa"/>
            <w:right w:w="108" w:type="dxa"/>
          </w:tblCellMar>
        </w:tblPrEx>
        <w:trPr>
          <w:trHeight w:val="23" w:hRule="atLeast"/>
          <w:tblHeader/>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E527">
            <w:pPr>
              <w:widowControl/>
              <w:jc w:val="left"/>
              <w:textAlignment w:val="center"/>
              <w:rPr>
                <w:rFonts w:ascii="宋体" w:hAnsi="宋体" w:cs="宋体"/>
                <w:sz w:val="18"/>
                <w:szCs w:val="18"/>
              </w:rPr>
            </w:pPr>
            <w:r>
              <w:rPr>
                <w:rStyle w:val="150"/>
                <w:rFonts w:hint="eastAsia"/>
                <w:color w:val="auto"/>
                <w:sz w:val="18"/>
                <w:szCs w:val="18"/>
                <w:lang w:bidi="ar"/>
              </w:rPr>
              <w:t>病害类型</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0BC9">
            <w:pPr>
              <w:widowControl/>
              <w:jc w:val="center"/>
              <w:textAlignment w:val="center"/>
              <w:rPr>
                <w:rFonts w:ascii="宋体" w:hAnsi="宋体" w:cs="宋体"/>
                <w:sz w:val="18"/>
                <w:szCs w:val="18"/>
              </w:rPr>
            </w:pPr>
            <w:r>
              <w:rPr>
                <w:rStyle w:val="150"/>
                <w:rFonts w:hint="eastAsia"/>
                <w:color w:val="auto"/>
                <w:sz w:val="18"/>
                <w:szCs w:val="18"/>
                <w:lang w:bidi="ar"/>
              </w:rPr>
              <w:t>判定标准</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F7EA">
            <w:pPr>
              <w:widowControl/>
              <w:jc w:val="center"/>
              <w:textAlignment w:val="center"/>
              <w:rPr>
                <w:rFonts w:ascii="宋体" w:hAnsi="宋体" w:cs="宋体"/>
                <w:sz w:val="18"/>
                <w:szCs w:val="18"/>
              </w:rPr>
            </w:pPr>
            <w:r>
              <w:rPr>
                <w:rStyle w:val="150"/>
                <w:rFonts w:hint="eastAsia"/>
                <w:color w:val="auto"/>
                <w:sz w:val="18"/>
                <w:szCs w:val="18"/>
                <w:lang w:bidi="ar"/>
              </w:rPr>
              <w:t>维修方式</w:t>
            </w:r>
          </w:p>
        </w:tc>
      </w:tr>
      <w:tr w14:paraId="6CF2B1A5">
        <w:tblPrEx>
          <w:tblCellMar>
            <w:top w:w="0" w:type="dxa"/>
            <w:left w:w="108" w:type="dxa"/>
            <w:bottom w:w="0" w:type="dxa"/>
            <w:right w:w="108" w:type="dxa"/>
          </w:tblCellMar>
        </w:tblPrEx>
        <w:trPr>
          <w:trHeight w:val="2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5934">
            <w:pPr>
              <w:widowControl/>
              <w:jc w:val="center"/>
              <w:textAlignment w:val="center"/>
              <w:rPr>
                <w:rStyle w:val="150"/>
                <w:color w:val="auto"/>
                <w:sz w:val="18"/>
                <w:szCs w:val="18"/>
                <w:lang w:bidi="ar"/>
              </w:rPr>
            </w:pPr>
            <w:r>
              <w:rPr>
                <w:rStyle w:val="150"/>
                <w:rFonts w:hint="eastAsia"/>
                <w:color w:val="auto"/>
                <w:sz w:val="18"/>
                <w:szCs w:val="18"/>
                <w:lang w:bidi="ar"/>
              </w:rPr>
              <w:t>缺失</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A81D">
            <w:pPr>
              <w:widowControl/>
              <w:jc w:val="left"/>
              <w:textAlignment w:val="center"/>
              <w:rPr>
                <w:rStyle w:val="150"/>
                <w:color w:val="auto"/>
                <w:sz w:val="18"/>
                <w:szCs w:val="18"/>
                <w:lang w:bidi="ar"/>
              </w:rPr>
            </w:pPr>
            <w:r>
              <w:rPr>
                <w:rStyle w:val="150"/>
                <w:rFonts w:hint="eastAsia"/>
                <w:color w:val="auto"/>
                <w:sz w:val="18"/>
                <w:szCs w:val="18"/>
                <w:lang w:bidi="ar"/>
              </w:rPr>
              <w:t>井盖或井座缺失</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5E15">
            <w:pPr>
              <w:widowControl/>
              <w:jc w:val="left"/>
              <w:textAlignment w:val="center"/>
              <w:rPr>
                <w:rStyle w:val="150"/>
                <w:color w:val="auto"/>
                <w:sz w:val="18"/>
                <w:szCs w:val="18"/>
                <w:lang w:bidi="ar"/>
              </w:rPr>
            </w:pPr>
            <w:r>
              <w:rPr>
                <w:rStyle w:val="150"/>
                <w:rFonts w:hint="eastAsia"/>
                <w:color w:val="auto"/>
                <w:sz w:val="18"/>
                <w:szCs w:val="18"/>
                <w:lang w:bidi="ar"/>
              </w:rPr>
              <w:t>换装新井盖或新井座</w:t>
            </w:r>
          </w:p>
        </w:tc>
      </w:tr>
      <w:tr w14:paraId="39A2A8B2">
        <w:tblPrEx>
          <w:tblCellMar>
            <w:top w:w="0" w:type="dxa"/>
            <w:left w:w="108" w:type="dxa"/>
            <w:bottom w:w="0" w:type="dxa"/>
            <w:right w:w="108" w:type="dxa"/>
          </w:tblCellMar>
        </w:tblPrEx>
        <w:trPr>
          <w:trHeight w:val="2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6F6">
            <w:pPr>
              <w:widowControl/>
              <w:jc w:val="center"/>
              <w:textAlignment w:val="center"/>
              <w:rPr>
                <w:rFonts w:ascii="宋体" w:hAnsi="宋体" w:cs="宋体"/>
                <w:sz w:val="18"/>
                <w:szCs w:val="18"/>
              </w:rPr>
            </w:pPr>
            <w:r>
              <w:rPr>
                <w:rStyle w:val="150"/>
                <w:rFonts w:hint="eastAsia"/>
                <w:color w:val="auto"/>
                <w:sz w:val="18"/>
                <w:szCs w:val="18"/>
                <w:lang w:bidi="ar"/>
              </w:rPr>
              <w:t>破损</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E32B">
            <w:pPr>
              <w:widowControl/>
              <w:jc w:val="left"/>
              <w:textAlignment w:val="center"/>
              <w:rPr>
                <w:rFonts w:ascii="宋体" w:hAnsi="宋体" w:cs="宋体"/>
                <w:sz w:val="18"/>
                <w:szCs w:val="18"/>
              </w:rPr>
            </w:pPr>
            <w:r>
              <w:rPr>
                <w:rStyle w:val="150"/>
                <w:rFonts w:hint="eastAsia"/>
                <w:color w:val="auto"/>
                <w:sz w:val="18"/>
                <w:szCs w:val="18"/>
                <w:lang w:bidi="ar"/>
              </w:rPr>
              <w:t>井盖或井座发生裂纹、缺口、破洞、变形，或井盖与井座无法严密闭合等</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3A5C">
            <w:pPr>
              <w:widowControl/>
              <w:jc w:val="left"/>
              <w:textAlignment w:val="center"/>
              <w:rPr>
                <w:rFonts w:ascii="宋体" w:hAnsi="宋体" w:cs="宋体"/>
                <w:sz w:val="18"/>
                <w:szCs w:val="18"/>
              </w:rPr>
            </w:pPr>
            <w:r>
              <w:rPr>
                <w:rStyle w:val="150"/>
                <w:rFonts w:hint="eastAsia"/>
                <w:color w:val="auto"/>
                <w:sz w:val="18"/>
                <w:szCs w:val="18"/>
                <w:lang w:bidi="ar"/>
              </w:rPr>
              <w:t>换装新井盖或新井座</w:t>
            </w:r>
          </w:p>
        </w:tc>
      </w:tr>
      <w:tr w14:paraId="0AFC3A3F">
        <w:tblPrEx>
          <w:tblCellMar>
            <w:top w:w="0" w:type="dxa"/>
            <w:left w:w="108" w:type="dxa"/>
            <w:bottom w:w="0" w:type="dxa"/>
            <w:right w:w="108" w:type="dxa"/>
          </w:tblCellMar>
        </w:tblPrEx>
        <w:trPr>
          <w:trHeight w:val="2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1C85">
            <w:pPr>
              <w:widowControl/>
              <w:jc w:val="center"/>
              <w:textAlignment w:val="center"/>
              <w:rPr>
                <w:rFonts w:ascii="宋体" w:hAnsi="宋体" w:cs="宋体"/>
                <w:sz w:val="18"/>
                <w:szCs w:val="18"/>
              </w:rPr>
            </w:pPr>
            <w:r>
              <w:rPr>
                <w:rFonts w:hint="eastAsia" w:ascii="宋体" w:hAnsi="宋体" w:cs="宋体"/>
                <w:sz w:val="18"/>
                <w:szCs w:val="18"/>
              </w:rPr>
              <w:t>移位</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AA1B">
            <w:pPr>
              <w:widowControl/>
              <w:jc w:val="left"/>
              <w:textAlignment w:val="center"/>
              <w:rPr>
                <w:rFonts w:ascii="宋体" w:hAnsi="宋体" w:cs="宋体"/>
                <w:sz w:val="18"/>
                <w:szCs w:val="18"/>
              </w:rPr>
            </w:pPr>
            <w:r>
              <w:rPr>
                <w:rStyle w:val="150"/>
                <w:rFonts w:hint="eastAsia"/>
                <w:color w:val="auto"/>
                <w:sz w:val="18"/>
                <w:szCs w:val="18"/>
                <w:lang w:bidi="ar"/>
              </w:rPr>
              <w:t>井盖倾斜、松动、偏离井口，井盖偏离井座，行人、车辆经过或管道内部水压导致井盖发生翘跛、翻跳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88D2">
            <w:pPr>
              <w:widowControl/>
              <w:jc w:val="left"/>
              <w:textAlignment w:val="center"/>
              <w:rPr>
                <w:rFonts w:ascii="宋体" w:hAnsi="宋体" w:cs="宋体"/>
                <w:sz w:val="18"/>
                <w:szCs w:val="18"/>
              </w:rPr>
            </w:pPr>
            <w:r>
              <w:rPr>
                <w:rStyle w:val="150"/>
                <w:rFonts w:hint="eastAsia"/>
                <w:color w:val="auto"/>
                <w:sz w:val="18"/>
                <w:szCs w:val="18"/>
                <w:lang w:bidi="ar"/>
              </w:rPr>
              <w:t>复位或换装新井盖</w:t>
            </w:r>
          </w:p>
        </w:tc>
      </w:tr>
      <w:tr w14:paraId="15402567">
        <w:tblPrEx>
          <w:tblCellMar>
            <w:top w:w="0" w:type="dxa"/>
            <w:left w:w="108" w:type="dxa"/>
            <w:bottom w:w="0" w:type="dxa"/>
            <w:right w:w="108" w:type="dxa"/>
          </w:tblCellMar>
        </w:tblPrEx>
        <w:trPr>
          <w:trHeight w:val="325"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27E2">
            <w:pPr>
              <w:widowControl/>
              <w:jc w:val="center"/>
              <w:textAlignment w:val="center"/>
              <w:rPr>
                <w:rFonts w:ascii="宋体" w:hAnsi="宋体" w:cs="宋体"/>
                <w:sz w:val="18"/>
                <w:szCs w:val="18"/>
              </w:rPr>
            </w:pPr>
            <w:r>
              <w:rPr>
                <w:rStyle w:val="150"/>
                <w:rFonts w:hint="eastAsia"/>
                <w:color w:val="auto"/>
                <w:sz w:val="18"/>
                <w:szCs w:val="18"/>
                <w:lang w:bidi="ar"/>
              </w:rPr>
              <w:t>响动</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7DDC">
            <w:pPr>
              <w:widowControl/>
              <w:jc w:val="left"/>
              <w:textAlignment w:val="center"/>
              <w:rPr>
                <w:rFonts w:ascii="宋体" w:hAnsi="宋体" w:cs="宋体"/>
                <w:sz w:val="18"/>
                <w:szCs w:val="18"/>
              </w:rPr>
            </w:pPr>
            <w:r>
              <w:rPr>
                <w:rStyle w:val="150"/>
                <w:rFonts w:hint="eastAsia"/>
                <w:color w:val="auto"/>
                <w:sz w:val="18"/>
                <w:szCs w:val="18"/>
                <w:lang w:bidi="ar"/>
              </w:rPr>
              <w:t>车辆碾压时井盖发生响动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00C6C">
            <w:pPr>
              <w:widowControl/>
              <w:numPr>
                <w:ilvl w:val="0"/>
                <w:numId w:val="23"/>
              </w:numPr>
              <w:jc w:val="left"/>
              <w:textAlignment w:val="center"/>
              <w:rPr>
                <w:rStyle w:val="150"/>
                <w:color w:val="auto"/>
                <w:sz w:val="18"/>
                <w:szCs w:val="18"/>
                <w:lang w:bidi="ar"/>
              </w:rPr>
            </w:pPr>
            <w:r>
              <w:rPr>
                <w:rStyle w:val="150"/>
                <w:rFonts w:hint="eastAsia"/>
                <w:color w:val="auto"/>
                <w:sz w:val="18"/>
                <w:szCs w:val="18"/>
                <w:lang w:bidi="ar"/>
              </w:rPr>
              <w:t>因减震垫圈缺失、老化引起，应补装减震垫圈；</w:t>
            </w:r>
          </w:p>
          <w:p w14:paraId="462AB69A">
            <w:pPr>
              <w:widowControl/>
              <w:numPr>
                <w:ilvl w:val="0"/>
                <w:numId w:val="23"/>
              </w:numPr>
              <w:jc w:val="left"/>
              <w:textAlignment w:val="center"/>
              <w:rPr>
                <w:rStyle w:val="150"/>
                <w:color w:val="auto"/>
                <w:sz w:val="18"/>
                <w:szCs w:val="18"/>
                <w:lang w:bidi="ar"/>
              </w:rPr>
            </w:pPr>
            <w:r>
              <w:rPr>
                <w:rStyle w:val="150"/>
                <w:rFonts w:hint="eastAsia"/>
                <w:color w:val="auto"/>
                <w:sz w:val="18"/>
                <w:szCs w:val="18"/>
                <w:lang w:bidi="ar"/>
              </w:rPr>
              <w:t>因</w:t>
            </w:r>
            <w:r>
              <w:rPr>
                <w:rFonts w:hint="eastAsia" w:ascii="宋体" w:hAnsi="宋体" w:cs="宋体"/>
                <w:sz w:val="18"/>
                <w:szCs w:val="18"/>
              </w:rPr>
              <w:t>铰链轴磨损引起的井盖响动，应更换铰链轴；</w:t>
            </w:r>
          </w:p>
          <w:p w14:paraId="2162884B">
            <w:pPr>
              <w:widowControl/>
              <w:numPr>
                <w:ilvl w:val="0"/>
                <w:numId w:val="23"/>
              </w:numPr>
              <w:jc w:val="left"/>
              <w:textAlignment w:val="center"/>
              <w:rPr>
                <w:rStyle w:val="150"/>
                <w:color w:val="auto"/>
                <w:sz w:val="18"/>
                <w:szCs w:val="18"/>
                <w:lang w:bidi="ar"/>
              </w:rPr>
            </w:pPr>
            <w:r>
              <w:rPr>
                <w:rStyle w:val="150"/>
                <w:rFonts w:hint="eastAsia"/>
                <w:color w:val="auto"/>
                <w:sz w:val="18"/>
                <w:szCs w:val="18"/>
                <w:lang w:bidi="ar"/>
              </w:rPr>
              <w:t>因其他病害问题引起，应换装新井盖</w:t>
            </w:r>
          </w:p>
        </w:tc>
      </w:tr>
      <w:tr w14:paraId="3C8FBC8A">
        <w:tblPrEx>
          <w:tblCellMar>
            <w:top w:w="0" w:type="dxa"/>
            <w:left w:w="108" w:type="dxa"/>
            <w:bottom w:w="0" w:type="dxa"/>
            <w:right w:w="108" w:type="dxa"/>
          </w:tblCellMar>
        </w:tblPrEx>
        <w:trPr>
          <w:trHeight w:val="2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36C9">
            <w:pPr>
              <w:widowControl/>
              <w:jc w:val="center"/>
              <w:textAlignment w:val="center"/>
              <w:rPr>
                <w:rStyle w:val="150"/>
                <w:color w:val="auto"/>
                <w:sz w:val="18"/>
                <w:szCs w:val="18"/>
                <w:lang w:bidi="ar"/>
              </w:rPr>
            </w:pPr>
            <w:r>
              <w:rPr>
                <w:rStyle w:val="150"/>
                <w:rFonts w:hint="eastAsia"/>
                <w:color w:val="auto"/>
                <w:sz w:val="18"/>
                <w:szCs w:val="18"/>
                <w:lang w:bidi="ar"/>
              </w:rPr>
              <w:t>沉陷</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4EB7">
            <w:pPr>
              <w:widowControl/>
              <w:jc w:val="left"/>
              <w:textAlignment w:val="center"/>
              <w:rPr>
                <w:rStyle w:val="150"/>
                <w:color w:val="auto"/>
                <w:sz w:val="18"/>
                <w:szCs w:val="18"/>
                <w:lang w:bidi="ar"/>
              </w:rPr>
            </w:pPr>
            <w:r>
              <w:rPr>
                <w:rStyle w:val="150"/>
                <w:rFonts w:hint="eastAsia"/>
                <w:color w:val="auto"/>
                <w:sz w:val="18"/>
                <w:szCs w:val="18"/>
                <w:lang w:bidi="ar"/>
              </w:rPr>
              <w:t>检查井盖相对地面沉陷，井盖或井座顶面低于道路表面超过15mm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A38">
            <w:pPr>
              <w:widowControl/>
              <w:jc w:val="left"/>
              <w:textAlignment w:val="center"/>
              <w:rPr>
                <w:rStyle w:val="150"/>
                <w:color w:val="auto"/>
                <w:sz w:val="18"/>
                <w:szCs w:val="18"/>
                <w:lang w:bidi="ar"/>
              </w:rPr>
            </w:pPr>
            <w:r>
              <w:rPr>
                <w:rStyle w:val="150"/>
                <w:rFonts w:hint="eastAsia"/>
                <w:color w:val="auto"/>
                <w:sz w:val="18"/>
                <w:szCs w:val="18"/>
                <w:lang w:bidi="ar"/>
              </w:rPr>
              <w:t>1.应采取提升、修复或加固井筒及井座垫层等相应工程措施</w:t>
            </w:r>
          </w:p>
          <w:p w14:paraId="7E34F16F">
            <w:pPr>
              <w:widowControl/>
              <w:jc w:val="left"/>
              <w:textAlignment w:val="center"/>
              <w:rPr>
                <w:rStyle w:val="150"/>
                <w:color w:val="auto"/>
                <w:sz w:val="18"/>
                <w:szCs w:val="18"/>
                <w:lang w:bidi="ar"/>
              </w:rPr>
            </w:pPr>
            <w:r>
              <w:rPr>
                <w:rStyle w:val="150"/>
                <w:rFonts w:hint="eastAsia"/>
                <w:color w:val="auto"/>
                <w:sz w:val="18"/>
                <w:szCs w:val="18"/>
                <w:lang w:bidi="ar"/>
              </w:rPr>
              <w:t>2.</w:t>
            </w:r>
            <w:r>
              <w:rPr>
                <w:rFonts w:hint="eastAsia" w:ascii="宋体" w:hAnsi="宋体" w:cs="宋体"/>
                <w:sz w:val="18"/>
                <w:szCs w:val="18"/>
              </w:rPr>
              <w:t>可选用具有防沉降功能的检查井盖</w:t>
            </w:r>
          </w:p>
        </w:tc>
      </w:tr>
      <w:tr w14:paraId="3045F450">
        <w:tblPrEx>
          <w:tblCellMar>
            <w:top w:w="0" w:type="dxa"/>
            <w:left w:w="108" w:type="dxa"/>
            <w:bottom w:w="0" w:type="dxa"/>
            <w:right w:w="108" w:type="dxa"/>
          </w:tblCellMar>
        </w:tblPrEx>
        <w:trPr>
          <w:trHeight w:val="2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7A92">
            <w:pPr>
              <w:widowControl/>
              <w:jc w:val="center"/>
              <w:textAlignment w:val="center"/>
              <w:rPr>
                <w:rStyle w:val="150"/>
                <w:color w:val="auto"/>
                <w:sz w:val="18"/>
                <w:szCs w:val="18"/>
                <w:lang w:bidi="ar"/>
              </w:rPr>
            </w:pPr>
            <w:r>
              <w:rPr>
                <w:rStyle w:val="150"/>
                <w:rFonts w:hint="eastAsia"/>
                <w:color w:val="auto"/>
                <w:sz w:val="18"/>
                <w:szCs w:val="18"/>
                <w:lang w:bidi="ar"/>
              </w:rPr>
              <w:t>凸起</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1E36">
            <w:pPr>
              <w:widowControl/>
              <w:jc w:val="left"/>
              <w:textAlignment w:val="center"/>
              <w:rPr>
                <w:rStyle w:val="150"/>
                <w:color w:val="auto"/>
                <w:sz w:val="18"/>
                <w:szCs w:val="18"/>
                <w:lang w:bidi="ar"/>
              </w:rPr>
            </w:pPr>
            <w:r>
              <w:rPr>
                <w:rStyle w:val="150"/>
                <w:rFonts w:hint="eastAsia"/>
                <w:color w:val="auto"/>
                <w:sz w:val="18"/>
                <w:szCs w:val="18"/>
                <w:lang w:bidi="ar"/>
              </w:rPr>
              <w:t>井盖或井座顶面高于井周路面超过10mm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DC13">
            <w:pPr>
              <w:widowControl/>
              <w:jc w:val="left"/>
              <w:textAlignment w:val="center"/>
              <w:rPr>
                <w:rStyle w:val="150"/>
                <w:color w:val="auto"/>
                <w:sz w:val="18"/>
                <w:szCs w:val="18"/>
                <w:lang w:bidi="ar"/>
              </w:rPr>
            </w:pPr>
            <w:r>
              <w:rPr>
                <w:rStyle w:val="150"/>
                <w:rFonts w:hint="eastAsia"/>
                <w:color w:val="auto"/>
                <w:sz w:val="18"/>
                <w:szCs w:val="18"/>
                <w:lang w:bidi="ar"/>
              </w:rPr>
              <w:t>应采取降低、修复或加固井筒及井座垫层等相应工程措施</w:t>
            </w:r>
          </w:p>
        </w:tc>
      </w:tr>
      <w:tr w14:paraId="3A43EEC0">
        <w:tblPrEx>
          <w:tblCellMar>
            <w:top w:w="0" w:type="dxa"/>
            <w:left w:w="108" w:type="dxa"/>
            <w:bottom w:w="0" w:type="dxa"/>
            <w:right w:w="108" w:type="dxa"/>
          </w:tblCellMar>
        </w:tblPrEx>
        <w:trPr>
          <w:trHeight w:val="2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BF37">
            <w:pPr>
              <w:widowControl/>
              <w:jc w:val="center"/>
              <w:textAlignment w:val="center"/>
              <w:rPr>
                <w:rStyle w:val="150"/>
                <w:color w:val="auto"/>
                <w:sz w:val="18"/>
                <w:szCs w:val="18"/>
                <w:lang w:bidi="ar"/>
              </w:rPr>
            </w:pPr>
            <w:r>
              <w:rPr>
                <w:rStyle w:val="150"/>
                <w:rFonts w:hint="eastAsia"/>
                <w:color w:val="auto"/>
                <w:sz w:val="18"/>
                <w:szCs w:val="18"/>
                <w:lang w:bidi="ar"/>
              </w:rPr>
              <w:t>井盖高差</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91EB">
            <w:pPr>
              <w:widowControl/>
              <w:jc w:val="left"/>
              <w:textAlignment w:val="center"/>
              <w:rPr>
                <w:rStyle w:val="150"/>
                <w:color w:val="auto"/>
                <w:sz w:val="18"/>
                <w:szCs w:val="18"/>
                <w:lang w:bidi="ar"/>
              </w:rPr>
            </w:pPr>
            <w:r>
              <w:rPr>
                <w:rStyle w:val="150"/>
                <w:rFonts w:hint="eastAsia"/>
                <w:color w:val="auto"/>
                <w:sz w:val="18"/>
                <w:szCs w:val="18"/>
                <w:lang w:bidi="ar"/>
              </w:rPr>
              <w:t>井盖顶面相对井座顶面高差大于10mm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C4F0">
            <w:pPr>
              <w:widowControl/>
              <w:jc w:val="left"/>
              <w:textAlignment w:val="center"/>
              <w:rPr>
                <w:rStyle w:val="150"/>
                <w:color w:val="auto"/>
                <w:sz w:val="18"/>
                <w:szCs w:val="18"/>
                <w:lang w:bidi="ar"/>
              </w:rPr>
            </w:pPr>
            <w:r>
              <w:rPr>
                <w:rStyle w:val="150"/>
                <w:rFonts w:hint="eastAsia"/>
                <w:color w:val="auto"/>
                <w:sz w:val="18"/>
                <w:szCs w:val="18"/>
                <w:lang w:bidi="ar"/>
              </w:rPr>
              <w:t>1.垫补、换装新井盖或新井座</w:t>
            </w:r>
          </w:p>
          <w:p w14:paraId="14E32B54">
            <w:pPr>
              <w:widowControl/>
              <w:jc w:val="left"/>
              <w:textAlignment w:val="center"/>
              <w:rPr>
                <w:rStyle w:val="150"/>
                <w:color w:val="auto"/>
                <w:sz w:val="18"/>
                <w:szCs w:val="18"/>
                <w:lang w:bidi="ar"/>
              </w:rPr>
            </w:pPr>
            <w:r>
              <w:rPr>
                <w:rStyle w:val="150"/>
                <w:rFonts w:hint="eastAsia"/>
                <w:color w:val="auto"/>
                <w:sz w:val="18"/>
                <w:szCs w:val="18"/>
                <w:lang w:bidi="ar"/>
              </w:rPr>
              <w:t>2.</w:t>
            </w:r>
            <w:r>
              <w:rPr>
                <w:rFonts w:hint="eastAsia" w:ascii="宋体" w:hAnsi="宋体" w:cs="宋体"/>
                <w:sz w:val="18"/>
                <w:szCs w:val="18"/>
              </w:rPr>
              <w:t>安装后井盖高差不大于1mm。</w:t>
            </w:r>
          </w:p>
        </w:tc>
      </w:tr>
      <w:tr w14:paraId="175A95F8">
        <w:tblPrEx>
          <w:tblCellMar>
            <w:top w:w="0" w:type="dxa"/>
            <w:left w:w="108" w:type="dxa"/>
            <w:bottom w:w="0" w:type="dxa"/>
            <w:right w:w="108" w:type="dxa"/>
          </w:tblCellMar>
        </w:tblPrEx>
        <w:trPr>
          <w:trHeight w:val="2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A8AC">
            <w:pPr>
              <w:widowControl/>
              <w:jc w:val="center"/>
              <w:textAlignment w:val="center"/>
              <w:rPr>
                <w:rFonts w:ascii="宋体" w:hAnsi="宋体" w:cs="宋体"/>
                <w:sz w:val="18"/>
                <w:szCs w:val="18"/>
              </w:rPr>
            </w:pPr>
            <w:r>
              <w:rPr>
                <w:rFonts w:hint="eastAsia" w:ascii="宋体" w:hAnsi="宋体" w:cs="宋体"/>
                <w:sz w:val="18"/>
                <w:szCs w:val="18"/>
              </w:rPr>
              <w:t>井盖错乱</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794B">
            <w:pPr>
              <w:widowControl/>
              <w:jc w:val="left"/>
              <w:textAlignment w:val="center"/>
              <w:rPr>
                <w:rFonts w:ascii="宋体" w:hAnsi="宋体" w:cs="宋体"/>
                <w:sz w:val="18"/>
                <w:szCs w:val="18"/>
              </w:rPr>
            </w:pPr>
            <w:r>
              <w:rPr>
                <w:rStyle w:val="150"/>
                <w:rFonts w:hint="eastAsia"/>
                <w:color w:val="auto"/>
                <w:sz w:val="18"/>
                <w:szCs w:val="18"/>
                <w:lang w:bidi="ar"/>
              </w:rPr>
              <w:t>井盖盖反、井盖表面无规定标识或标识不规范、使用非本专业井盖、井盖和井座不配套、使用不符合规定的方法维修检查井盖等</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BBC4">
            <w:pPr>
              <w:widowControl/>
              <w:jc w:val="left"/>
              <w:textAlignment w:val="center"/>
              <w:rPr>
                <w:rFonts w:ascii="宋体" w:hAnsi="宋体" w:cs="宋体"/>
                <w:sz w:val="18"/>
                <w:szCs w:val="18"/>
              </w:rPr>
            </w:pPr>
            <w:r>
              <w:rPr>
                <w:rStyle w:val="150"/>
                <w:rFonts w:hint="eastAsia"/>
                <w:color w:val="auto"/>
                <w:sz w:val="18"/>
                <w:szCs w:val="18"/>
                <w:lang w:bidi="ar"/>
              </w:rPr>
              <w:t>换装新井盖或重新使用符合规范的方法维修检查井盖</w:t>
            </w:r>
          </w:p>
        </w:tc>
      </w:tr>
      <w:tr w14:paraId="17AB869A">
        <w:tblPrEx>
          <w:tblCellMar>
            <w:top w:w="0" w:type="dxa"/>
            <w:left w:w="108" w:type="dxa"/>
            <w:bottom w:w="0" w:type="dxa"/>
            <w:right w:w="108" w:type="dxa"/>
          </w:tblCellMar>
        </w:tblPrEx>
        <w:trPr>
          <w:trHeight w:val="23"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BCE7">
            <w:pPr>
              <w:widowControl/>
              <w:jc w:val="center"/>
              <w:textAlignment w:val="bottom"/>
              <w:rPr>
                <w:rFonts w:ascii="宋体" w:hAnsi="宋体" w:cs="宋体"/>
                <w:sz w:val="18"/>
                <w:szCs w:val="18"/>
              </w:rPr>
            </w:pPr>
            <w:r>
              <w:rPr>
                <w:rStyle w:val="150"/>
                <w:rFonts w:hint="eastAsia"/>
                <w:color w:val="auto"/>
                <w:sz w:val="18"/>
                <w:szCs w:val="18"/>
                <w:lang w:bidi="ar"/>
              </w:rPr>
              <w:t>防坠落功能失效</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29A">
            <w:pPr>
              <w:widowControl/>
              <w:jc w:val="left"/>
              <w:textAlignment w:val="center"/>
              <w:rPr>
                <w:rFonts w:ascii="宋体" w:hAnsi="宋体" w:cs="宋体"/>
                <w:sz w:val="18"/>
                <w:szCs w:val="18"/>
              </w:rPr>
            </w:pPr>
            <w:r>
              <w:rPr>
                <w:rFonts w:hint="eastAsia" w:ascii="宋体" w:hAnsi="宋体" w:cs="宋体"/>
                <w:sz w:val="18"/>
                <w:szCs w:val="18"/>
              </w:rPr>
              <w:t>防坠落装置破损或不牢固</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339">
            <w:pPr>
              <w:widowControl/>
              <w:numPr>
                <w:ilvl w:val="0"/>
                <w:numId w:val="24"/>
              </w:numPr>
              <w:jc w:val="left"/>
              <w:textAlignment w:val="center"/>
              <w:rPr>
                <w:rStyle w:val="150"/>
                <w:color w:val="auto"/>
                <w:sz w:val="18"/>
                <w:szCs w:val="18"/>
                <w:lang w:bidi="ar"/>
              </w:rPr>
            </w:pPr>
            <w:r>
              <w:rPr>
                <w:rStyle w:val="150"/>
                <w:rFonts w:hint="eastAsia"/>
                <w:color w:val="auto"/>
                <w:sz w:val="18"/>
                <w:szCs w:val="18"/>
                <w:lang w:bidi="ar"/>
              </w:rPr>
              <w:t>换装双层井盖或加装防坠落装置；</w:t>
            </w:r>
          </w:p>
          <w:p w14:paraId="03938B87">
            <w:pPr>
              <w:widowControl/>
              <w:numPr>
                <w:ilvl w:val="0"/>
                <w:numId w:val="24"/>
              </w:numPr>
              <w:jc w:val="left"/>
              <w:textAlignment w:val="center"/>
              <w:rPr>
                <w:rStyle w:val="150"/>
                <w:color w:val="auto"/>
                <w:sz w:val="18"/>
                <w:szCs w:val="18"/>
                <w:lang w:bidi="ar"/>
              </w:rPr>
            </w:pPr>
            <w:r>
              <w:rPr>
                <w:rFonts w:hint="eastAsia" w:ascii="宋体" w:hAnsi="宋体" w:cs="宋体"/>
                <w:sz w:val="18"/>
                <w:szCs w:val="18"/>
              </w:rPr>
              <w:t>防坠落装置破损或不牢固的，应及时修理或更换</w:t>
            </w:r>
          </w:p>
        </w:tc>
      </w:tr>
    </w:tbl>
    <w:p w14:paraId="174ADF9E">
      <w:pPr>
        <w:pStyle w:val="130"/>
        <w:numPr>
          <w:ilvl w:val="1"/>
          <w:numId w:val="20"/>
        </w:numPr>
        <w:outlineLvl w:val="1"/>
        <w:rPr>
          <w:rFonts w:hAnsi="宋体" w:cs="宋体"/>
          <w:color w:val="000000" w:themeColor="text1"/>
          <w14:textFill>
            <w14:solidFill>
              <w14:schemeClr w14:val="tx1"/>
            </w14:solidFill>
          </w14:textFill>
        </w:rPr>
      </w:pPr>
      <w:bookmarkStart w:id="296" w:name="_Toc20963"/>
      <w:r>
        <w:rPr>
          <w:rFonts w:hint="eastAsia" w:hAnsi="宋体" w:cs="宋体"/>
          <w:color w:val="000000" w:themeColor="text1"/>
          <w14:textFill>
            <w14:solidFill>
              <w14:schemeClr w14:val="tx1"/>
            </w14:solidFill>
          </w14:textFill>
        </w:rPr>
        <w:t>日常巡查中发现井盖丢失、损坏时，应立即设置警示标志；城市主要道路、公共场所和居民居住区等地区，应在4h内修复；其他地区的井盖应在12h内修复。</w:t>
      </w:r>
      <w:bookmarkEnd w:id="296"/>
    </w:p>
    <w:p w14:paraId="031966EF">
      <w:pPr>
        <w:pStyle w:val="130"/>
        <w:numPr>
          <w:ilvl w:val="255"/>
          <w:numId w:val="0"/>
        </w:numPr>
        <w:outlineLvl w:val="1"/>
        <w:rPr>
          <w:rFonts w:hAnsi="宋体" w:cs="宋体"/>
          <w:color w:val="000000" w:themeColor="text1"/>
          <w14:textFill>
            <w14:solidFill>
              <w14:schemeClr w14:val="tx1"/>
            </w14:solidFill>
          </w14:textFill>
        </w:rPr>
      </w:pPr>
    </w:p>
    <w:p w14:paraId="76E1CCD7">
      <w:pPr>
        <w:pStyle w:val="134"/>
        <w:framePr w:wrap="around"/>
      </w:pPr>
      <w:r>
        <w:t>_________________________________</w:t>
      </w:r>
    </w:p>
    <w:sectPr>
      <w:footerReference r:id="rId12" w:type="default"/>
      <w:footerReference r:id="rId13"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54A8">
    <w:pPr>
      <w:pStyle w:val="17"/>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5B44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595B44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EF42">
    <w:pPr>
      <w:pStyle w:val="73"/>
      <w:jc w:val="righ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CCB8">
                          <w:pPr>
                            <w:pStyle w:val="73"/>
                            <w:jc w:val="right"/>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74D5CCB8">
                    <w:pPr>
                      <w:pStyle w:val="73"/>
                      <w:jc w:val="right"/>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047">
    <w:pPr>
      <w:pStyle w:val="47"/>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AD78D">
                          <w:pPr>
                            <w:pStyle w:val="4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6B8AD78D">
                    <w:pPr>
                      <w:pStyle w:val="4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1343">
    <w:pPr>
      <w:pStyle w:val="73"/>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5BC86">
                          <w:pPr>
                            <w:pStyle w:val="7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815BC86">
                    <w:pPr>
                      <w:pStyle w:val="7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B04E">
    <w:pPr>
      <w:pStyle w:val="47"/>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1D891">
                          <w:pPr>
                            <w:pStyle w:val="4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6971D891">
                    <w:pPr>
                      <w:pStyle w:val="4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7028">
    <w:pPr>
      <w:pStyle w:val="73"/>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C1F5A">
                          <w:pPr>
                            <w:pStyle w:val="7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7CCC1F5A">
                    <w:pPr>
                      <w:pStyle w:val="7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BF64">
    <w:pPr>
      <w:pStyle w:val="47"/>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0E450">
                          <w:pPr>
                            <w:pStyle w:val="4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1920E450">
                    <w:pPr>
                      <w:pStyle w:val="4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1C0D">
    <w:pPr>
      <w:pStyle w:val="73"/>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8B6F5">
                          <w:pPr>
                            <w:pStyle w:val="7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EC8B6F5">
                    <w:pPr>
                      <w:pStyle w:val="7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B99EE">
    <w:pPr>
      <w:pStyle w:val="74"/>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B7D2">
    <w:pPr>
      <w:pStyle w:val="48"/>
    </w:pPr>
    <w: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1230">
    <w:pPr>
      <w:pStyle w:val="74"/>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BDF9B"/>
    <w:multiLevelType w:val="singleLevel"/>
    <w:tmpl w:val="888BDF9B"/>
    <w:lvl w:ilvl="0" w:tentative="0">
      <w:start w:val="1"/>
      <w:numFmt w:val="lowerLetter"/>
      <w:suff w:val="space"/>
      <w:lvlText w:val="%1）"/>
      <w:lvlJc w:val="left"/>
    </w:lvl>
  </w:abstractNum>
  <w:abstractNum w:abstractNumId="1">
    <w:nsid w:val="EA78F861"/>
    <w:multiLevelType w:val="singleLevel"/>
    <w:tmpl w:val="EA78F861"/>
    <w:lvl w:ilvl="0" w:tentative="0">
      <w:start w:val="1"/>
      <w:numFmt w:val="decimal"/>
      <w:lvlText w:val="%1."/>
      <w:lvlJc w:val="left"/>
      <w:pPr>
        <w:tabs>
          <w:tab w:val="left" w:pos="312"/>
        </w:tabs>
      </w:pPr>
    </w:lvl>
  </w:abstractNum>
  <w:abstractNum w:abstractNumId="2">
    <w:nsid w:val="0A952887"/>
    <w:multiLevelType w:val="multilevel"/>
    <w:tmpl w:val="0A952887"/>
    <w:lvl w:ilvl="0" w:tentative="0">
      <w:start w:val="1"/>
      <w:numFmt w:val="decimal"/>
      <w:pStyle w:val="7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0F805D97"/>
    <w:multiLevelType w:val="multilevel"/>
    <w:tmpl w:val="0F805D97"/>
    <w:lvl w:ilvl="0" w:tentative="0">
      <w:start w:val="1"/>
      <w:numFmt w:val="none"/>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14EBB95F"/>
    <w:multiLevelType w:val="multilevel"/>
    <w:tmpl w:val="14EBB95F"/>
    <w:lvl w:ilvl="0" w:tentative="0">
      <w:start w:val="1"/>
      <w:numFmt w:val="decimal"/>
      <w:pStyle w:val="9"/>
      <w:suff w:val="space"/>
      <w:lvlText w:val="A.1.%1"/>
      <w:lvlJc w:val="left"/>
      <w:pPr>
        <w:tabs>
          <w:tab w:val="left" w:pos="0"/>
        </w:tabs>
        <w:ind w:left="17" w:hanging="17"/>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4B435DB"/>
    <w:multiLevelType w:val="multilevel"/>
    <w:tmpl w:val="24B435DB"/>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29707437"/>
    <w:multiLevelType w:val="multilevel"/>
    <w:tmpl w:val="29707437"/>
    <w:lvl w:ilvl="0" w:tentative="0">
      <w:start w:val="1"/>
      <w:numFmt w:val="none"/>
      <w:pStyle w:val="69"/>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2F8EAA8A"/>
    <w:multiLevelType w:val="singleLevel"/>
    <w:tmpl w:val="2F8EAA8A"/>
    <w:lvl w:ilvl="0" w:tentative="0">
      <w:start w:val="1"/>
      <w:numFmt w:val="lowerLetter"/>
      <w:suff w:val="space"/>
      <w:lvlText w:val="%1）"/>
      <w:lvlJc w:val="left"/>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pStyle w:val="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520F62E9"/>
    <w:multiLevelType w:val="multilevel"/>
    <w:tmpl w:val="520F62E9"/>
    <w:lvl w:ilvl="0" w:tentative="0">
      <w:start w:val="1"/>
      <w:numFmt w:val="decimal"/>
      <w:pStyle w:val="133"/>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E63562F"/>
    <w:multiLevelType w:val="multilevel"/>
    <w:tmpl w:val="5E63562F"/>
    <w:lvl w:ilvl="0" w:tentative="0">
      <w:start w:val="1"/>
      <w:numFmt w:val="decimal"/>
      <w:pStyle w:val="6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3404DBE"/>
    <w:multiLevelType w:val="multilevel"/>
    <w:tmpl w:val="63404DBE"/>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3AF7EBF"/>
    <w:multiLevelType w:val="multilevel"/>
    <w:tmpl w:val="63AF7EBF"/>
    <w:lvl w:ilvl="0" w:tentative="0">
      <w:start w:val="1"/>
      <w:numFmt w:val="decimal"/>
      <w:pStyle w:val="131"/>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9178476"/>
    <w:multiLevelType w:val="singleLevel"/>
    <w:tmpl w:val="69178476"/>
    <w:lvl w:ilvl="0" w:tentative="0">
      <w:start w:val="1"/>
      <w:numFmt w:val="decimal"/>
      <w:suff w:val="space"/>
      <w:lvlText w:val="%1."/>
      <w:lvlJc w:val="left"/>
    </w:lvl>
  </w:abstractNum>
  <w:abstractNum w:abstractNumId="20">
    <w:nsid w:val="6AB870ED"/>
    <w:multiLevelType w:val="multilevel"/>
    <w:tmpl w:val="6AB870ED"/>
    <w:lvl w:ilvl="0" w:tentative="0">
      <w:start w:val="1"/>
      <w:numFmt w:val="decimal"/>
      <w:pStyle w:val="67"/>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1">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45"/>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1"/>
  </w:num>
  <w:num w:numId="3">
    <w:abstractNumId w:val="5"/>
  </w:num>
  <w:num w:numId="4">
    <w:abstractNumId w:val="21"/>
  </w:num>
  <w:num w:numId="5">
    <w:abstractNumId w:val="9"/>
  </w:num>
  <w:num w:numId="6">
    <w:abstractNumId w:val="16"/>
  </w:num>
  <w:num w:numId="7">
    <w:abstractNumId w:val="12"/>
  </w:num>
  <w:num w:numId="8">
    <w:abstractNumId w:val="3"/>
  </w:num>
  <w:num w:numId="9">
    <w:abstractNumId w:val="14"/>
  </w:num>
  <w:num w:numId="10">
    <w:abstractNumId w:val="20"/>
  </w:num>
  <w:num w:numId="11">
    <w:abstractNumId w:val="7"/>
  </w:num>
  <w:num w:numId="12">
    <w:abstractNumId w:val="2"/>
  </w:num>
  <w:num w:numId="13">
    <w:abstractNumId w:val="18"/>
  </w:num>
  <w:num w:numId="14">
    <w:abstractNumId w:val="15"/>
  </w:num>
  <w:num w:numId="15">
    <w:abstractNumId w:val="22"/>
  </w:num>
  <w:num w:numId="16">
    <w:abstractNumId w:val="8"/>
  </w:num>
  <w:num w:numId="17">
    <w:abstractNumId w:val="6"/>
  </w:num>
  <w:num w:numId="18">
    <w:abstractNumId w:val="17"/>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0"/>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ODQ4ZjJkZDA1ZjNjZWY1YjJiNDIwODZmNjVlNzIifQ=="/>
  </w:docVars>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4D1D"/>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090E"/>
    <w:rsid w:val="001124C0"/>
    <w:rsid w:val="00117A25"/>
    <w:rsid w:val="0012053B"/>
    <w:rsid w:val="00121293"/>
    <w:rsid w:val="0013175F"/>
    <w:rsid w:val="00132283"/>
    <w:rsid w:val="0013364D"/>
    <w:rsid w:val="001343BB"/>
    <w:rsid w:val="00143E03"/>
    <w:rsid w:val="001512B4"/>
    <w:rsid w:val="00153A26"/>
    <w:rsid w:val="00155C90"/>
    <w:rsid w:val="00156844"/>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A2C"/>
    <w:rsid w:val="001A288E"/>
    <w:rsid w:val="001B36ED"/>
    <w:rsid w:val="001B4613"/>
    <w:rsid w:val="001B6DC2"/>
    <w:rsid w:val="001B754B"/>
    <w:rsid w:val="001C149C"/>
    <w:rsid w:val="001C21AC"/>
    <w:rsid w:val="001C2FA4"/>
    <w:rsid w:val="001C3689"/>
    <w:rsid w:val="001C47BA"/>
    <w:rsid w:val="001C59EA"/>
    <w:rsid w:val="001D3556"/>
    <w:rsid w:val="001D406C"/>
    <w:rsid w:val="001D41EE"/>
    <w:rsid w:val="001D4BEB"/>
    <w:rsid w:val="001D71E6"/>
    <w:rsid w:val="001E02B5"/>
    <w:rsid w:val="001E0380"/>
    <w:rsid w:val="001E0B1B"/>
    <w:rsid w:val="001E13B1"/>
    <w:rsid w:val="001E1E6E"/>
    <w:rsid w:val="001E2153"/>
    <w:rsid w:val="001F389D"/>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0054"/>
    <w:rsid w:val="002622C0"/>
    <w:rsid w:val="002778AE"/>
    <w:rsid w:val="0028269A"/>
    <w:rsid w:val="00283447"/>
    <w:rsid w:val="00283590"/>
    <w:rsid w:val="0028488E"/>
    <w:rsid w:val="00286973"/>
    <w:rsid w:val="00287674"/>
    <w:rsid w:val="002938A4"/>
    <w:rsid w:val="00294E70"/>
    <w:rsid w:val="002954B8"/>
    <w:rsid w:val="002967B2"/>
    <w:rsid w:val="002A1924"/>
    <w:rsid w:val="002A7409"/>
    <w:rsid w:val="002A7420"/>
    <w:rsid w:val="002A7A7E"/>
    <w:rsid w:val="002B0F12"/>
    <w:rsid w:val="002B1308"/>
    <w:rsid w:val="002B4554"/>
    <w:rsid w:val="002B707C"/>
    <w:rsid w:val="002C124B"/>
    <w:rsid w:val="002C72D8"/>
    <w:rsid w:val="002C7986"/>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898"/>
    <w:rsid w:val="00301F39"/>
    <w:rsid w:val="00302A3F"/>
    <w:rsid w:val="00303D27"/>
    <w:rsid w:val="00305BEE"/>
    <w:rsid w:val="00313962"/>
    <w:rsid w:val="003234E0"/>
    <w:rsid w:val="00325926"/>
    <w:rsid w:val="00327A8A"/>
    <w:rsid w:val="003339A3"/>
    <w:rsid w:val="00336610"/>
    <w:rsid w:val="00340D00"/>
    <w:rsid w:val="00341F5C"/>
    <w:rsid w:val="00343D23"/>
    <w:rsid w:val="00343F73"/>
    <w:rsid w:val="00344591"/>
    <w:rsid w:val="00345060"/>
    <w:rsid w:val="003451FB"/>
    <w:rsid w:val="00352629"/>
    <w:rsid w:val="00352FF1"/>
    <w:rsid w:val="0035323B"/>
    <w:rsid w:val="00353D19"/>
    <w:rsid w:val="0035785A"/>
    <w:rsid w:val="003609D2"/>
    <w:rsid w:val="00363F22"/>
    <w:rsid w:val="00364813"/>
    <w:rsid w:val="00364940"/>
    <w:rsid w:val="00375564"/>
    <w:rsid w:val="00376489"/>
    <w:rsid w:val="00383191"/>
    <w:rsid w:val="00386DED"/>
    <w:rsid w:val="003912E7"/>
    <w:rsid w:val="00393947"/>
    <w:rsid w:val="00395141"/>
    <w:rsid w:val="003A0E27"/>
    <w:rsid w:val="003A2275"/>
    <w:rsid w:val="003A4469"/>
    <w:rsid w:val="003A6A4F"/>
    <w:rsid w:val="003A7088"/>
    <w:rsid w:val="003B00DF"/>
    <w:rsid w:val="003B1275"/>
    <w:rsid w:val="003B1778"/>
    <w:rsid w:val="003B1E8E"/>
    <w:rsid w:val="003B338E"/>
    <w:rsid w:val="003C11CB"/>
    <w:rsid w:val="003C3017"/>
    <w:rsid w:val="003C31E0"/>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04BCC"/>
    <w:rsid w:val="004200D9"/>
    <w:rsid w:val="00425082"/>
    <w:rsid w:val="00431DEB"/>
    <w:rsid w:val="00434AFB"/>
    <w:rsid w:val="0044259D"/>
    <w:rsid w:val="004439D9"/>
    <w:rsid w:val="004444E6"/>
    <w:rsid w:val="00446B29"/>
    <w:rsid w:val="004524BE"/>
    <w:rsid w:val="00453F9A"/>
    <w:rsid w:val="00454CC3"/>
    <w:rsid w:val="00464903"/>
    <w:rsid w:val="00471E91"/>
    <w:rsid w:val="00474079"/>
    <w:rsid w:val="00474675"/>
    <w:rsid w:val="0047470C"/>
    <w:rsid w:val="004826C0"/>
    <w:rsid w:val="00484C88"/>
    <w:rsid w:val="004A203E"/>
    <w:rsid w:val="004A35F9"/>
    <w:rsid w:val="004A4662"/>
    <w:rsid w:val="004A6537"/>
    <w:rsid w:val="004A7E02"/>
    <w:rsid w:val="004B157A"/>
    <w:rsid w:val="004B24C1"/>
    <w:rsid w:val="004B3092"/>
    <w:rsid w:val="004B49B1"/>
    <w:rsid w:val="004B557C"/>
    <w:rsid w:val="004C292F"/>
    <w:rsid w:val="004C657F"/>
    <w:rsid w:val="004D306F"/>
    <w:rsid w:val="004D4B02"/>
    <w:rsid w:val="004D4F76"/>
    <w:rsid w:val="004E4B13"/>
    <w:rsid w:val="004E4B8C"/>
    <w:rsid w:val="004E5A47"/>
    <w:rsid w:val="004F2EF3"/>
    <w:rsid w:val="005036E2"/>
    <w:rsid w:val="00503892"/>
    <w:rsid w:val="00510280"/>
    <w:rsid w:val="00513D73"/>
    <w:rsid w:val="005148B3"/>
    <w:rsid w:val="00514A43"/>
    <w:rsid w:val="00515E9C"/>
    <w:rsid w:val="005174E5"/>
    <w:rsid w:val="00520898"/>
    <w:rsid w:val="005211E6"/>
    <w:rsid w:val="00522393"/>
    <w:rsid w:val="00522620"/>
    <w:rsid w:val="00525656"/>
    <w:rsid w:val="00525BF3"/>
    <w:rsid w:val="00534C02"/>
    <w:rsid w:val="0054044C"/>
    <w:rsid w:val="0054264B"/>
    <w:rsid w:val="00543786"/>
    <w:rsid w:val="00545A49"/>
    <w:rsid w:val="005463CC"/>
    <w:rsid w:val="00546D0D"/>
    <w:rsid w:val="0055099B"/>
    <w:rsid w:val="0055153A"/>
    <w:rsid w:val="005533D7"/>
    <w:rsid w:val="00554B63"/>
    <w:rsid w:val="00562CF6"/>
    <w:rsid w:val="0056544B"/>
    <w:rsid w:val="00567177"/>
    <w:rsid w:val="005703DE"/>
    <w:rsid w:val="005710BC"/>
    <w:rsid w:val="005755F1"/>
    <w:rsid w:val="00577AE9"/>
    <w:rsid w:val="00580357"/>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21C5"/>
    <w:rsid w:val="005D3077"/>
    <w:rsid w:val="005D3842"/>
    <w:rsid w:val="005E140F"/>
    <w:rsid w:val="005E19E7"/>
    <w:rsid w:val="005E2392"/>
    <w:rsid w:val="005F3CD8"/>
    <w:rsid w:val="0060073E"/>
    <w:rsid w:val="00601622"/>
    <w:rsid w:val="0060789B"/>
    <w:rsid w:val="0061037E"/>
    <w:rsid w:val="00611BC2"/>
    <w:rsid w:val="00613FAA"/>
    <w:rsid w:val="00616C36"/>
    <w:rsid w:val="0061716C"/>
    <w:rsid w:val="006171AF"/>
    <w:rsid w:val="00617868"/>
    <w:rsid w:val="006243A1"/>
    <w:rsid w:val="00626005"/>
    <w:rsid w:val="00632E56"/>
    <w:rsid w:val="00635CBA"/>
    <w:rsid w:val="00636EFC"/>
    <w:rsid w:val="006376A5"/>
    <w:rsid w:val="0064338B"/>
    <w:rsid w:val="00646542"/>
    <w:rsid w:val="006504F4"/>
    <w:rsid w:val="0065366F"/>
    <w:rsid w:val="00654BC9"/>
    <w:rsid w:val="006552FD"/>
    <w:rsid w:val="00656F0B"/>
    <w:rsid w:val="00663733"/>
    <w:rsid w:val="00663AF3"/>
    <w:rsid w:val="00666B6C"/>
    <w:rsid w:val="006677DB"/>
    <w:rsid w:val="00677B54"/>
    <w:rsid w:val="00681049"/>
    <w:rsid w:val="00682682"/>
    <w:rsid w:val="00682702"/>
    <w:rsid w:val="00684627"/>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4DF6"/>
    <w:rsid w:val="0070641D"/>
    <w:rsid w:val="0070651C"/>
    <w:rsid w:val="007132A3"/>
    <w:rsid w:val="007157FD"/>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4809"/>
    <w:rsid w:val="007B1625"/>
    <w:rsid w:val="007B5223"/>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6744"/>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22EF"/>
    <w:rsid w:val="008504A8"/>
    <w:rsid w:val="008518FA"/>
    <w:rsid w:val="00851B58"/>
    <w:rsid w:val="0085282E"/>
    <w:rsid w:val="00857B04"/>
    <w:rsid w:val="00867088"/>
    <w:rsid w:val="0087198C"/>
    <w:rsid w:val="00872C1F"/>
    <w:rsid w:val="00873B42"/>
    <w:rsid w:val="00877CB0"/>
    <w:rsid w:val="008805AC"/>
    <w:rsid w:val="00880D1A"/>
    <w:rsid w:val="008833B6"/>
    <w:rsid w:val="00884468"/>
    <w:rsid w:val="008856D8"/>
    <w:rsid w:val="00892E82"/>
    <w:rsid w:val="00893277"/>
    <w:rsid w:val="00895FA9"/>
    <w:rsid w:val="008A1035"/>
    <w:rsid w:val="008A2A0E"/>
    <w:rsid w:val="008A6AF3"/>
    <w:rsid w:val="008A6E08"/>
    <w:rsid w:val="008B70BD"/>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75"/>
    <w:rsid w:val="009040DD"/>
    <w:rsid w:val="00905B47"/>
    <w:rsid w:val="0090690F"/>
    <w:rsid w:val="00910CE9"/>
    <w:rsid w:val="00911391"/>
    <w:rsid w:val="0091331C"/>
    <w:rsid w:val="009137BD"/>
    <w:rsid w:val="0091503D"/>
    <w:rsid w:val="00915DA9"/>
    <w:rsid w:val="00920839"/>
    <w:rsid w:val="00923BEB"/>
    <w:rsid w:val="00925D64"/>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4F83"/>
    <w:rsid w:val="009877D3"/>
    <w:rsid w:val="00987E80"/>
    <w:rsid w:val="00994E8F"/>
    <w:rsid w:val="009951DC"/>
    <w:rsid w:val="009959BB"/>
    <w:rsid w:val="00997158"/>
    <w:rsid w:val="009A0827"/>
    <w:rsid w:val="009A3A7C"/>
    <w:rsid w:val="009A5D33"/>
    <w:rsid w:val="009A7D84"/>
    <w:rsid w:val="009B2323"/>
    <w:rsid w:val="009B2ADB"/>
    <w:rsid w:val="009B603A"/>
    <w:rsid w:val="009C2D0E"/>
    <w:rsid w:val="009C3018"/>
    <w:rsid w:val="009C3DAC"/>
    <w:rsid w:val="009C42E0"/>
    <w:rsid w:val="009D3230"/>
    <w:rsid w:val="009D5362"/>
    <w:rsid w:val="009E1415"/>
    <w:rsid w:val="009E3EDD"/>
    <w:rsid w:val="009E6116"/>
    <w:rsid w:val="009E7E25"/>
    <w:rsid w:val="00A02E43"/>
    <w:rsid w:val="00A05368"/>
    <w:rsid w:val="00A065F9"/>
    <w:rsid w:val="00A07011"/>
    <w:rsid w:val="00A07F34"/>
    <w:rsid w:val="00A22154"/>
    <w:rsid w:val="00A24058"/>
    <w:rsid w:val="00A25C38"/>
    <w:rsid w:val="00A26108"/>
    <w:rsid w:val="00A35824"/>
    <w:rsid w:val="00A36BBE"/>
    <w:rsid w:val="00A37C20"/>
    <w:rsid w:val="00A40D9E"/>
    <w:rsid w:val="00A41DF7"/>
    <w:rsid w:val="00A420B1"/>
    <w:rsid w:val="00A42ECA"/>
    <w:rsid w:val="00A4307A"/>
    <w:rsid w:val="00A46DEF"/>
    <w:rsid w:val="00A47EBB"/>
    <w:rsid w:val="00A51CDD"/>
    <w:rsid w:val="00A563F8"/>
    <w:rsid w:val="00A56BBA"/>
    <w:rsid w:val="00A57635"/>
    <w:rsid w:val="00A6730D"/>
    <w:rsid w:val="00A71625"/>
    <w:rsid w:val="00A71B9B"/>
    <w:rsid w:val="00A751C7"/>
    <w:rsid w:val="00A80008"/>
    <w:rsid w:val="00A84CE5"/>
    <w:rsid w:val="00A87844"/>
    <w:rsid w:val="00A9227B"/>
    <w:rsid w:val="00A97A55"/>
    <w:rsid w:val="00AA038C"/>
    <w:rsid w:val="00AA69AF"/>
    <w:rsid w:val="00AA7A09"/>
    <w:rsid w:val="00AB3B50"/>
    <w:rsid w:val="00AC05B1"/>
    <w:rsid w:val="00AC450C"/>
    <w:rsid w:val="00AD1CAB"/>
    <w:rsid w:val="00AD340B"/>
    <w:rsid w:val="00AD356C"/>
    <w:rsid w:val="00AE2914"/>
    <w:rsid w:val="00AE2C40"/>
    <w:rsid w:val="00AE6D15"/>
    <w:rsid w:val="00AE7023"/>
    <w:rsid w:val="00AE78AA"/>
    <w:rsid w:val="00AF0EF3"/>
    <w:rsid w:val="00AF1F49"/>
    <w:rsid w:val="00AF2D81"/>
    <w:rsid w:val="00AF52BE"/>
    <w:rsid w:val="00B0161B"/>
    <w:rsid w:val="00B04182"/>
    <w:rsid w:val="00B05ECF"/>
    <w:rsid w:val="00B07784"/>
    <w:rsid w:val="00B07AE3"/>
    <w:rsid w:val="00B11430"/>
    <w:rsid w:val="00B12A5D"/>
    <w:rsid w:val="00B242F4"/>
    <w:rsid w:val="00B2477A"/>
    <w:rsid w:val="00B24D1C"/>
    <w:rsid w:val="00B30072"/>
    <w:rsid w:val="00B30481"/>
    <w:rsid w:val="00B3312F"/>
    <w:rsid w:val="00B353EB"/>
    <w:rsid w:val="00B4016F"/>
    <w:rsid w:val="00B407AC"/>
    <w:rsid w:val="00B439C4"/>
    <w:rsid w:val="00B44C68"/>
    <w:rsid w:val="00B4535E"/>
    <w:rsid w:val="00B52093"/>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261C"/>
    <w:rsid w:val="00B9397A"/>
    <w:rsid w:val="00B9633D"/>
    <w:rsid w:val="00B967D5"/>
    <w:rsid w:val="00BA2EBE"/>
    <w:rsid w:val="00BB0F28"/>
    <w:rsid w:val="00BB458A"/>
    <w:rsid w:val="00BB693F"/>
    <w:rsid w:val="00BB6C11"/>
    <w:rsid w:val="00BC5953"/>
    <w:rsid w:val="00BD00D3"/>
    <w:rsid w:val="00BD0C9D"/>
    <w:rsid w:val="00BD1659"/>
    <w:rsid w:val="00BD2E1D"/>
    <w:rsid w:val="00BD3AA9"/>
    <w:rsid w:val="00BD4A18"/>
    <w:rsid w:val="00BD6DB2"/>
    <w:rsid w:val="00BD73A1"/>
    <w:rsid w:val="00BE11CF"/>
    <w:rsid w:val="00BE21AB"/>
    <w:rsid w:val="00BE55CB"/>
    <w:rsid w:val="00BE7067"/>
    <w:rsid w:val="00BE7A50"/>
    <w:rsid w:val="00BF3BB2"/>
    <w:rsid w:val="00BF617A"/>
    <w:rsid w:val="00C0379D"/>
    <w:rsid w:val="00C03931"/>
    <w:rsid w:val="00C05FE3"/>
    <w:rsid w:val="00C11DA9"/>
    <w:rsid w:val="00C2136D"/>
    <w:rsid w:val="00C214EE"/>
    <w:rsid w:val="00C2226F"/>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166B"/>
    <w:rsid w:val="00C65BCC"/>
    <w:rsid w:val="00C66970"/>
    <w:rsid w:val="00C71F4D"/>
    <w:rsid w:val="00C75E3C"/>
    <w:rsid w:val="00C77588"/>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D2647"/>
    <w:rsid w:val="00CD76B1"/>
    <w:rsid w:val="00CF1E15"/>
    <w:rsid w:val="00CF772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72A1"/>
    <w:rsid w:val="00DA7F95"/>
    <w:rsid w:val="00DB01F1"/>
    <w:rsid w:val="00DB3222"/>
    <w:rsid w:val="00DB7E6C"/>
    <w:rsid w:val="00DC4F68"/>
    <w:rsid w:val="00DC5E64"/>
    <w:rsid w:val="00DC64B0"/>
    <w:rsid w:val="00DC6B1E"/>
    <w:rsid w:val="00DD252A"/>
    <w:rsid w:val="00DD3D00"/>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50DF"/>
    <w:rsid w:val="00E21A65"/>
    <w:rsid w:val="00E21B55"/>
    <w:rsid w:val="00E221D3"/>
    <w:rsid w:val="00E226B0"/>
    <w:rsid w:val="00E24EB4"/>
    <w:rsid w:val="00E30635"/>
    <w:rsid w:val="00E320ED"/>
    <w:rsid w:val="00E33AFB"/>
    <w:rsid w:val="00E34218"/>
    <w:rsid w:val="00E4008C"/>
    <w:rsid w:val="00E4555B"/>
    <w:rsid w:val="00E46282"/>
    <w:rsid w:val="00E50B20"/>
    <w:rsid w:val="00E5216E"/>
    <w:rsid w:val="00E5529C"/>
    <w:rsid w:val="00E657C6"/>
    <w:rsid w:val="00E75D40"/>
    <w:rsid w:val="00E81965"/>
    <w:rsid w:val="00E81A88"/>
    <w:rsid w:val="00E82344"/>
    <w:rsid w:val="00E84C82"/>
    <w:rsid w:val="00E84D64"/>
    <w:rsid w:val="00E856C8"/>
    <w:rsid w:val="00E868F3"/>
    <w:rsid w:val="00E87408"/>
    <w:rsid w:val="00E914C4"/>
    <w:rsid w:val="00E934F5"/>
    <w:rsid w:val="00E96961"/>
    <w:rsid w:val="00EA448F"/>
    <w:rsid w:val="00EA72EC"/>
    <w:rsid w:val="00EB11CB"/>
    <w:rsid w:val="00EB1C71"/>
    <w:rsid w:val="00EB275A"/>
    <w:rsid w:val="00EB3EAA"/>
    <w:rsid w:val="00EB57CA"/>
    <w:rsid w:val="00EB786A"/>
    <w:rsid w:val="00EC1578"/>
    <w:rsid w:val="00EC1BFC"/>
    <w:rsid w:val="00EC1C72"/>
    <w:rsid w:val="00EC21C5"/>
    <w:rsid w:val="00EC3356"/>
    <w:rsid w:val="00EC3CC9"/>
    <w:rsid w:val="00EC5D85"/>
    <w:rsid w:val="00EC680A"/>
    <w:rsid w:val="00ED511C"/>
    <w:rsid w:val="00ED7229"/>
    <w:rsid w:val="00EE25CB"/>
    <w:rsid w:val="00EE2BED"/>
    <w:rsid w:val="00EE374B"/>
    <w:rsid w:val="00EE4A87"/>
    <w:rsid w:val="00EF2869"/>
    <w:rsid w:val="00EF6DC8"/>
    <w:rsid w:val="00F05D60"/>
    <w:rsid w:val="00F07224"/>
    <w:rsid w:val="00F07FD3"/>
    <w:rsid w:val="00F11BB5"/>
    <w:rsid w:val="00F1296C"/>
    <w:rsid w:val="00F1417B"/>
    <w:rsid w:val="00F14A99"/>
    <w:rsid w:val="00F1712D"/>
    <w:rsid w:val="00F17A17"/>
    <w:rsid w:val="00F208A0"/>
    <w:rsid w:val="00F2115E"/>
    <w:rsid w:val="00F25DD8"/>
    <w:rsid w:val="00F27B3D"/>
    <w:rsid w:val="00F30ABD"/>
    <w:rsid w:val="00F34B99"/>
    <w:rsid w:val="00F40B02"/>
    <w:rsid w:val="00F41E81"/>
    <w:rsid w:val="00F508D5"/>
    <w:rsid w:val="00F513C2"/>
    <w:rsid w:val="00F51720"/>
    <w:rsid w:val="00F51CF2"/>
    <w:rsid w:val="00F52DAB"/>
    <w:rsid w:val="00F543F0"/>
    <w:rsid w:val="00F55E3E"/>
    <w:rsid w:val="00F57601"/>
    <w:rsid w:val="00F66940"/>
    <w:rsid w:val="00F7028B"/>
    <w:rsid w:val="00F73F99"/>
    <w:rsid w:val="00F75F80"/>
    <w:rsid w:val="00F81D29"/>
    <w:rsid w:val="00F863C8"/>
    <w:rsid w:val="00F90BE5"/>
    <w:rsid w:val="00F91C4D"/>
    <w:rsid w:val="00F92FD9"/>
    <w:rsid w:val="00FA37B1"/>
    <w:rsid w:val="00FA3E0B"/>
    <w:rsid w:val="00FA5C60"/>
    <w:rsid w:val="00FA5EF7"/>
    <w:rsid w:val="00FA6684"/>
    <w:rsid w:val="00FA731E"/>
    <w:rsid w:val="00FA7BD0"/>
    <w:rsid w:val="00FB0E6D"/>
    <w:rsid w:val="00FB1DCF"/>
    <w:rsid w:val="00FB1ECC"/>
    <w:rsid w:val="00FB2B38"/>
    <w:rsid w:val="00FB61CE"/>
    <w:rsid w:val="00FB7A07"/>
    <w:rsid w:val="00FC04CC"/>
    <w:rsid w:val="00FC1C08"/>
    <w:rsid w:val="00FC2066"/>
    <w:rsid w:val="00FC6358"/>
    <w:rsid w:val="00FD1381"/>
    <w:rsid w:val="00FD320D"/>
    <w:rsid w:val="00FE1B98"/>
    <w:rsid w:val="00FE23DE"/>
    <w:rsid w:val="00FF1801"/>
    <w:rsid w:val="00FF6842"/>
    <w:rsid w:val="013B3C4A"/>
    <w:rsid w:val="01B01DA1"/>
    <w:rsid w:val="020D70A4"/>
    <w:rsid w:val="02220AE6"/>
    <w:rsid w:val="032A1114"/>
    <w:rsid w:val="032B71EB"/>
    <w:rsid w:val="03B16155"/>
    <w:rsid w:val="03B23FB0"/>
    <w:rsid w:val="04000F63"/>
    <w:rsid w:val="0400109A"/>
    <w:rsid w:val="042C4D08"/>
    <w:rsid w:val="04761B44"/>
    <w:rsid w:val="04E470A0"/>
    <w:rsid w:val="05082312"/>
    <w:rsid w:val="05746A04"/>
    <w:rsid w:val="057F0D93"/>
    <w:rsid w:val="0584085A"/>
    <w:rsid w:val="05954C2E"/>
    <w:rsid w:val="060E0879"/>
    <w:rsid w:val="060E6143"/>
    <w:rsid w:val="066F314B"/>
    <w:rsid w:val="066F7FF6"/>
    <w:rsid w:val="06831724"/>
    <w:rsid w:val="06A552BD"/>
    <w:rsid w:val="07997AC7"/>
    <w:rsid w:val="07C035BC"/>
    <w:rsid w:val="09842A65"/>
    <w:rsid w:val="09927CBC"/>
    <w:rsid w:val="099F54A7"/>
    <w:rsid w:val="09C9012D"/>
    <w:rsid w:val="09D0027E"/>
    <w:rsid w:val="09E52572"/>
    <w:rsid w:val="09EF5201"/>
    <w:rsid w:val="0A1D72BC"/>
    <w:rsid w:val="0AD23049"/>
    <w:rsid w:val="0B0E1631"/>
    <w:rsid w:val="0B4F23F3"/>
    <w:rsid w:val="0B787400"/>
    <w:rsid w:val="0BA004C5"/>
    <w:rsid w:val="0C3F58AE"/>
    <w:rsid w:val="0C9F66CF"/>
    <w:rsid w:val="0D077DD0"/>
    <w:rsid w:val="0DEE303F"/>
    <w:rsid w:val="0E3C4EF4"/>
    <w:rsid w:val="0E552DBD"/>
    <w:rsid w:val="0E8A6F0A"/>
    <w:rsid w:val="0EF11922"/>
    <w:rsid w:val="0F386966"/>
    <w:rsid w:val="0F4A671E"/>
    <w:rsid w:val="0F4E072A"/>
    <w:rsid w:val="0FC64EF0"/>
    <w:rsid w:val="0FCA306B"/>
    <w:rsid w:val="0FCA6E94"/>
    <w:rsid w:val="105A3042"/>
    <w:rsid w:val="10F80B81"/>
    <w:rsid w:val="111F20BB"/>
    <w:rsid w:val="113B5DF9"/>
    <w:rsid w:val="114A2981"/>
    <w:rsid w:val="11651569"/>
    <w:rsid w:val="11FB5485"/>
    <w:rsid w:val="12091838"/>
    <w:rsid w:val="12134B87"/>
    <w:rsid w:val="1214175B"/>
    <w:rsid w:val="121B6072"/>
    <w:rsid w:val="128A3B07"/>
    <w:rsid w:val="12972B4F"/>
    <w:rsid w:val="129E3206"/>
    <w:rsid w:val="132E5DFF"/>
    <w:rsid w:val="13494B18"/>
    <w:rsid w:val="13AB3BAB"/>
    <w:rsid w:val="13D767B6"/>
    <w:rsid w:val="14082CFA"/>
    <w:rsid w:val="144C3D77"/>
    <w:rsid w:val="144E260F"/>
    <w:rsid w:val="145A7B86"/>
    <w:rsid w:val="14A126C3"/>
    <w:rsid w:val="14A67547"/>
    <w:rsid w:val="152D05F0"/>
    <w:rsid w:val="15A8365E"/>
    <w:rsid w:val="168023D3"/>
    <w:rsid w:val="16C3309A"/>
    <w:rsid w:val="16E15B36"/>
    <w:rsid w:val="16FD6EFE"/>
    <w:rsid w:val="1739159E"/>
    <w:rsid w:val="1741606E"/>
    <w:rsid w:val="175F0F6A"/>
    <w:rsid w:val="17FE4414"/>
    <w:rsid w:val="18E731A9"/>
    <w:rsid w:val="192A0E6F"/>
    <w:rsid w:val="194D6D64"/>
    <w:rsid w:val="198D45C0"/>
    <w:rsid w:val="19BB3062"/>
    <w:rsid w:val="1AE31D6A"/>
    <w:rsid w:val="1B93371B"/>
    <w:rsid w:val="1BE56A0A"/>
    <w:rsid w:val="1C1C2FAC"/>
    <w:rsid w:val="1C227C31"/>
    <w:rsid w:val="1C23514F"/>
    <w:rsid w:val="1C5A786C"/>
    <w:rsid w:val="1C62749A"/>
    <w:rsid w:val="1C8C52F8"/>
    <w:rsid w:val="1CA67605"/>
    <w:rsid w:val="1CAF2FEA"/>
    <w:rsid w:val="1CE8205F"/>
    <w:rsid w:val="1D864258"/>
    <w:rsid w:val="1DB729E4"/>
    <w:rsid w:val="1E0938C2"/>
    <w:rsid w:val="1E365CFE"/>
    <w:rsid w:val="1EE7180F"/>
    <w:rsid w:val="1F2444B3"/>
    <w:rsid w:val="1F9C2C59"/>
    <w:rsid w:val="1FC3010F"/>
    <w:rsid w:val="1FE960CA"/>
    <w:rsid w:val="1FF105F0"/>
    <w:rsid w:val="2031642F"/>
    <w:rsid w:val="20531D3E"/>
    <w:rsid w:val="206208ED"/>
    <w:rsid w:val="206846DA"/>
    <w:rsid w:val="20703A46"/>
    <w:rsid w:val="207352BA"/>
    <w:rsid w:val="20987265"/>
    <w:rsid w:val="20DE3F58"/>
    <w:rsid w:val="21F77FBB"/>
    <w:rsid w:val="222A5BF9"/>
    <w:rsid w:val="22605C74"/>
    <w:rsid w:val="22A04AF7"/>
    <w:rsid w:val="2335523F"/>
    <w:rsid w:val="23437419"/>
    <w:rsid w:val="2359627C"/>
    <w:rsid w:val="23813E9D"/>
    <w:rsid w:val="23CA76E0"/>
    <w:rsid w:val="240A122A"/>
    <w:rsid w:val="24282C19"/>
    <w:rsid w:val="245D2BDD"/>
    <w:rsid w:val="246E1D10"/>
    <w:rsid w:val="248024EA"/>
    <w:rsid w:val="248339D7"/>
    <w:rsid w:val="24C61169"/>
    <w:rsid w:val="255D0A7D"/>
    <w:rsid w:val="26034A31"/>
    <w:rsid w:val="271138CD"/>
    <w:rsid w:val="27393215"/>
    <w:rsid w:val="279A66F2"/>
    <w:rsid w:val="27D11E1B"/>
    <w:rsid w:val="27F31225"/>
    <w:rsid w:val="28CE5EEB"/>
    <w:rsid w:val="28E418D1"/>
    <w:rsid w:val="2902261B"/>
    <w:rsid w:val="29BB5F06"/>
    <w:rsid w:val="2A1E6AD4"/>
    <w:rsid w:val="2AAC330E"/>
    <w:rsid w:val="2AD579F6"/>
    <w:rsid w:val="2B3A4315"/>
    <w:rsid w:val="2B9218BF"/>
    <w:rsid w:val="2C163A4C"/>
    <w:rsid w:val="2CC01E8B"/>
    <w:rsid w:val="2CED3FB6"/>
    <w:rsid w:val="2D3D4AD1"/>
    <w:rsid w:val="2D847B6B"/>
    <w:rsid w:val="2D8F19F0"/>
    <w:rsid w:val="2DA13B52"/>
    <w:rsid w:val="2E4A686F"/>
    <w:rsid w:val="2E633FFB"/>
    <w:rsid w:val="2EFA67C2"/>
    <w:rsid w:val="2F21303A"/>
    <w:rsid w:val="2F330595"/>
    <w:rsid w:val="30435469"/>
    <w:rsid w:val="307519A4"/>
    <w:rsid w:val="311346E6"/>
    <w:rsid w:val="316437A9"/>
    <w:rsid w:val="31F70F96"/>
    <w:rsid w:val="31FC0BAC"/>
    <w:rsid w:val="32044483"/>
    <w:rsid w:val="3260395B"/>
    <w:rsid w:val="32BB65DF"/>
    <w:rsid w:val="32DD7D02"/>
    <w:rsid w:val="331A42E4"/>
    <w:rsid w:val="33D83EB5"/>
    <w:rsid w:val="340830E1"/>
    <w:rsid w:val="342E68C6"/>
    <w:rsid w:val="344B5A1F"/>
    <w:rsid w:val="346959D7"/>
    <w:rsid w:val="34FA135A"/>
    <w:rsid w:val="35101668"/>
    <w:rsid w:val="35511EAD"/>
    <w:rsid w:val="36660108"/>
    <w:rsid w:val="36966D15"/>
    <w:rsid w:val="36DC6D70"/>
    <w:rsid w:val="37120AA4"/>
    <w:rsid w:val="372643AD"/>
    <w:rsid w:val="395E1271"/>
    <w:rsid w:val="39657886"/>
    <w:rsid w:val="3978683C"/>
    <w:rsid w:val="39ED170C"/>
    <w:rsid w:val="3A1219DE"/>
    <w:rsid w:val="3A7D2F9E"/>
    <w:rsid w:val="3A9958FC"/>
    <w:rsid w:val="3AE63EBB"/>
    <w:rsid w:val="3AE84BC4"/>
    <w:rsid w:val="3B5C77A1"/>
    <w:rsid w:val="3BC77178"/>
    <w:rsid w:val="3BC81E7C"/>
    <w:rsid w:val="3C231FEC"/>
    <w:rsid w:val="3C4F1F1B"/>
    <w:rsid w:val="3CE3338F"/>
    <w:rsid w:val="3D1F3874"/>
    <w:rsid w:val="3D6B6C9D"/>
    <w:rsid w:val="3D751A3E"/>
    <w:rsid w:val="3D9E6001"/>
    <w:rsid w:val="3E047890"/>
    <w:rsid w:val="3E225E81"/>
    <w:rsid w:val="3E3C1720"/>
    <w:rsid w:val="3EA32AEC"/>
    <w:rsid w:val="3F7722E4"/>
    <w:rsid w:val="40610AC1"/>
    <w:rsid w:val="407112B9"/>
    <w:rsid w:val="407206C2"/>
    <w:rsid w:val="409969B6"/>
    <w:rsid w:val="40A5034D"/>
    <w:rsid w:val="415723CD"/>
    <w:rsid w:val="4165793D"/>
    <w:rsid w:val="41964A28"/>
    <w:rsid w:val="42013CEA"/>
    <w:rsid w:val="421C2919"/>
    <w:rsid w:val="42476C3F"/>
    <w:rsid w:val="42F13864"/>
    <w:rsid w:val="437E369D"/>
    <w:rsid w:val="444B1429"/>
    <w:rsid w:val="4493236B"/>
    <w:rsid w:val="44EA7D58"/>
    <w:rsid w:val="453A5113"/>
    <w:rsid w:val="454904C2"/>
    <w:rsid w:val="46935F1E"/>
    <w:rsid w:val="47492EDB"/>
    <w:rsid w:val="47960947"/>
    <w:rsid w:val="483F405E"/>
    <w:rsid w:val="48A21839"/>
    <w:rsid w:val="48C97045"/>
    <w:rsid w:val="48E670DD"/>
    <w:rsid w:val="490E4D31"/>
    <w:rsid w:val="4917631F"/>
    <w:rsid w:val="49556C08"/>
    <w:rsid w:val="495C7C82"/>
    <w:rsid w:val="49AB142C"/>
    <w:rsid w:val="4A261049"/>
    <w:rsid w:val="4A5A34EE"/>
    <w:rsid w:val="4A782DD6"/>
    <w:rsid w:val="4AB644EC"/>
    <w:rsid w:val="4AE330C7"/>
    <w:rsid w:val="4AEE3DA2"/>
    <w:rsid w:val="4B2B00A0"/>
    <w:rsid w:val="4B4756B9"/>
    <w:rsid w:val="4B4D4F33"/>
    <w:rsid w:val="4B576506"/>
    <w:rsid w:val="4C773E82"/>
    <w:rsid w:val="4CA13B89"/>
    <w:rsid w:val="4CBC359C"/>
    <w:rsid w:val="4D1056C9"/>
    <w:rsid w:val="4D5F5682"/>
    <w:rsid w:val="4D9E45FD"/>
    <w:rsid w:val="4DB608F2"/>
    <w:rsid w:val="4DBA764C"/>
    <w:rsid w:val="4DBC5080"/>
    <w:rsid w:val="4DBD23C0"/>
    <w:rsid w:val="4E4675C4"/>
    <w:rsid w:val="4F2264D4"/>
    <w:rsid w:val="4F8B49C4"/>
    <w:rsid w:val="4FCC5DDC"/>
    <w:rsid w:val="501A5B38"/>
    <w:rsid w:val="504B4338"/>
    <w:rsid w:val="50670C5C"/>
    <w:rsid w:val="508E7D47"/>
    <w:rsid w:val="50AA1284"/>
    <w:rsid w:val="50D774F1"/>
    <w:rsid w:val="512F6EF2"/>
    <w:rsid w:val="51D20DCB"/>
    <w:rsid w:val="521E674F"/>
    <w:rsid w:val="52BD5F36"/>
    <w:rsid w:val="53AE09A2"/>
    <w:rsid w:val="540B32CF"/>
    <w:rsid w:val="5420496C"/>
    <w:rsid w:val="54371EB0"/>
    <w:rsid w:val="550B5681"/>
    <w:rsid w:val="552A0E13"/>
    <w:rsid w:val="55317BA0"/>
    <w:rsid w:val="556B22FC"/>
    <w:rsid w:val="556E74BD"/>
    <w:rsid w:val="56BD51EF"/>
    <w:rsid w:val="56C14E85"/>
    <w:rsid w:val="56F47A15"/>
    <w:rsid w:val="56FE168B"/>
    <w:rsid w:val="57225B63"/>
    <w:rsid w:val="5790120C"/>
    <w:rsid w:val="57AF48B9"/>
    <w:rsid w:val="57D04F5B"/>
    <w:rsid w:val="58847F75"/>
    <w:rsid w:val="58DA7055"/>
    <w:rsid w:val="59023FDA"/>
    <w:rsid w:val="595D672A"/>
    <w:rsid w:val="5973633E"/>
    <w:rsid w:val="5A706589"/>
    <w:rsid w:val="5A810312"/>
    <w:rsid w:val="5A8D05ED"/>
    <w:rsid w:val="5AAC1798"/>
    <w:rsid w:val="5B0627FD"/>
    <w:rsid w:val="5BCD6ADE"/>
    <w:rsid w:val="5C41066B"/>
    <w:rsid w:val="5C5468E9"/>
    <w:rsid w:val="5DDE1FEA"/>
    <w:rsid w:val="5E5507D8"/>
    <w:rsid w:val="5E6C3730"/>
    <w:rsid w:val="5EBA59C4"/>
    <w:rsid w:val="5F1B1CC8"/>
    <w:rsid w:val="5FAC1133"/>
    <w:rsid w:val="604C35DB"/>
    <w:rsid w:val="60546481"/>
    <w:rsid w:val="6065645C"/>
    <w:rsid w:val="60EB46A3"/>
    <w:rsid w:val="60F813BF"/>
    <w:rsid w:val="60FD5776"/>
    <w:rsid w:val="60FF1B83"/>
    <w:rsid w:val="610E08A2"/>
    <w:rsid w:val="613977F9"/>
    <w:rsid w:val="61536800"/>
    <w:rsid w:val="616E6313"/>
    <w:rsid w:val="622F72FF"/>
    <w:rsid w:val="62437018"/>
    <w:rsid w:val="62840CC7"/>
    <w:rsid w:val="62B61E94"/>
    <w:rsid w:val="62C30581"/>
    <w:rsid w:val="63D67512"/>
    <w:rsid w:val="6430460B"/>
    <w:rsid w:val="646747D6"/>
    <w:rsid w:val="64CA2D32"/>
    <w:rsid w:val="64DC4F6F"/>
    <w:rsid w:val="65063F01"/>
    <w:rsid w:val="652031E7"/>
    <w:rsid w:val="652C16E9"/>
    <w:rsid w:val="658B5383"/>
    <w:rsid w:val="65A17381"/>
    <w:rsid w:val="65A57D17"/>
    <w:rsid w:val="65D33746"/>
    <w:rsid w:val="664D3C1B"/>
    <w:rsid w:val="66A355E9"/>
    <w:rsid w:val="66DE28BD"/>
    <w:rsid w:val="670D3FC2"/>
    <w:rsid w:val="67501D13"/>
    <w:rsid w:val="677065D0"/>
    <w:rsid w:val="67A94E81"/>
    <w:rsid w:val="67BA0BA7"/>
    <w:rsid w:val="67BC574F"/>
    <w:rsid w:val="683D45F8"/>
    <w:rsid w:val="685D504F"/>
    <w:rsid w:val="68AC0ECB"/>
    <w:rsid w:val="68FA126C"/>
    <w:rsid w:val="692317A1"/>
    <w:rsid w:val="69880A1E"/>
    <w:rsid w:val="69D17D57"/>
    <w:rsid w:val="6A1001EE"/>
    <w:rsid w:val="6A3F2765"/>
    <w:rsid w:val="6A693592"/>
    <w:rsid w:val="6A9B72B2"/>
    <w:rsid w:val="6AA5700A"/>
    <w:rsid w:val="6AAA721B"/>
    <w:rsid w:val="6ADC51E2"/>
    <w:rsid w:val="6B182E78"/>
    <w:rsid w:val="6B2D6363"/>
    <w:rsid w:val="6B447FE9"/>
    <w:rsid w:val="6B522DE3"/>
    <w:rsid w:val="6B6359B5"/>
    <w:rsid w:val="6CA67BE1"/>
    <w:rsid w:val="6CCA070A"/>
    <w:rsid w:val="6CFD1020"/>
    <w:rsid w:val="6D167ACA"/>
    <w:rsid w:val="6D2114B5"/>
    <w:rsid w:val="6D374CDD"/>
    <w:rsid w:val="6D3A6CD6"/>
    <w:rsid w:val="6D4864AC"/>
    <w:rsid w:val="6DC24AD3"/>
    <w:rsid w:val="6E4C4F73"/>
    <w:rsid w:val="6E6068E8"/>
    <w:rsid w:val="6ECF242C"/>
    <w:rsid w:val="6F131489"/>
    <w:rsid w:val="6F630B43"/>
    <w:rsid w:val="6F786002"/>
    <w:rsid w:val="70330C21"/>
    <w:rsid w:val="709F73AC"/>
    <w:rsid w:val="70C74D9D"/>
    <w:rsid w:val="70D75058"/>
    <w:rsid w:val="71703869"/>
    <w:rsid w:val="719B3664"/>
    <w:rsid w:val="71AF559B"/>
    <w:rsid w:val="72083366"/>
    <w:rsid w:val="72347496"/>
    <w:rsid w:val="73165C54"/>
    <w:rsid w:val="74041EE6"/>
    <w:rsid w:val="740642DB"/>
    <w:rsid w:val="742449DF"/>
    <w:rsid w:val="75466405"/>
    <w:rsid w:val="759C66CB"/>
    <w:rsid w:val="76166FF0"/>
    <w:rsid w:val="76246494"/>
    <w:rsid w:val="76360EFD"/>
    <w:rsid w:val="763D34B4"/>
    <w:rsid w:val="76486619"/>
    <w:rsid w:val="764B0C83"/>
    <w:rsid w:val="765E32DA"/>
    <w:rsid w:val="76D315BF"/>
    <w:rsid w:val="76FD76AC"/>
    <w:rsid w:val="77833BF4"/>
    <w:rsid w:val="782B1161"/>
    <w:rsid w:val="782C2A35"/>
    <w:rsid w:val="78560836"/>
    <w:rsid w:val="78767ACC"/>
    <w:rsid w:val="78DB6D2F"/>
    <w:rsid w:val="790F2EE8"/>
    <w:rsid w:val="79FE72AE"/>
    <w:rsid w:val="7A7501FC"/>
    <w:rsid w:val="7B126655"/>
    <w:rsid w:val="7B465177"/>
    <w:rsid w:val="7BDC1EC1"/>
    <w:rsid w:val="7C386E65"/>
    <w:rsid w:val="7C89499B"/>
    <w:rsid w:val="7CA42861"/>
    <w:rsid w:val="7CC26AB6"/>
    <w:rsid w:val="7CD41134"/>
    <w:rsid w:val="7DE35179"/>
    <w:rsid w:val="7E590F57"/>
    <w:rsid w:val="7EB65B2B"/>
    <w:rsid w:val="7ED448B1"/>
    <w:rsid w:val="7F131254"/>
    <w:rsid w:val="7FD55D40"/>
    <w:rsid w:val="7FE87F1A"/>
    <w:rsid w:val="7FFAA5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52"/>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qFormat/>
    <w:uiPriority w:val="0"/>
    <w:pPr>
      <w:numPr>
        <w:ilvl w:val="0"/>
        <w:numId w:val="1"/>
      </w:numPr>
      <w:spacing w:after="120"/>
    </w:p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6"/>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2"/>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pPr>
      <w:spacing w:beforeAutospacing="1" w:afterAutospacing="1"/>
      <w:jc w:val="left"/>
    </w:pPr>
    <w:rPr>
      <w:kern w:val="0"/>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153"/>
    <w:semiHidden/>
    <w:unhideWhenUsed/>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basedOn w:val="35"/>
    <w:semiHidden/>
    <w:unhideWhenUsed/>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3"/>
    <w:qFormat/>
    <w:uiPriority w:val="0"/>
    <w:rPr>
      <w:rFonts w:ascii="宋体"/>
      <w:sz w:val="21"/>
      <w:lang w:val="en-US" w:eastAsia="zh-CN" w:bidi="ar-SA"/>
    </w:rPr>
  </w:style>
  <w:style w:type="paragraph" w:customStyle="1" w:styleId="43">
    <w:name w:val="一级条标题"/>
    <w:basedOn w:val="44"/>
    <w:next w:val="23"/>
    <w:qFormat/>
    <w:uiPriority w:val="0"/>
    <w:pPr>
      <w:numPr>
        <w:ilvl w:val="1"/>
        <w:numId w:val="3"/>
      </w:numPr>
      <w:spacing w:beforeLines="50" w:afterLines="50"/>
      <w:outlineLvl w:val="2"/>
    </w:pPr>
    <w:rPr>
      <w:rFonts w:cs="Times New Roman"/>
    </w:rPr>
  </w:style>
  <w:style w:type="paragraph" w:customStyle="1" w:styleId="44">
    <w:name w:val="标准文件_一级条标题"/>
    <w:basedOn w:val="45"/>
    <w:next w:val="46"/>
    <w:qFormat/>
    <w:uiPriority w:val="99"/>
    <w:pPr>
      <w:numPr>
        <w:ilvl w:val="0"/>
        <w:numId w:val="0"/>
      </w:numPr>
      <w:spacing w:beforeLines="0" w:afterLines="0"/>
      <w:outlineLvl w:val="1"/>
    </w:pPr>
  </w:style>
  <w:style w:type="paragraph" w:customStyle="1" w:styleId="45">
    <w:name w:val="1章标题"/>
    <w:next w:val="46"/>
    <w:qFormat/>
    <w:uiPriority w:val="99"/>
    <w:pPr>
      <w:numPr>
        <w:ilvl w:val="1"/>
        <w:numId w:val="4"/>
      </w:numPr>
      <w:spacing w:beforeLines="50" w:afterLines="50"/>
      <w:jc w:val="both"/>
      <w:outlineLvl w:val="0"/>
    </w:pPr>
    <w:rPr>
      <w:rFonts w:ascii="黑体" w:hAnsi="Times New Roman" w:eastAsia="黑体" w:cs="黑体"/>
      <w:sz w:val="21"/>
      <w:szCs w:val="21"/>
      <w:lang w:val="en-US" w:eastAsia="zh-CN" w:bidi="ar-SA"/>
    </w:rPr>
  </w:style>
  <w:style w:type="paragraph" w:customStyle="1" w:styleId="46">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51"/>
    <w:next w:val="23"/>
    <w:qFormat/>
    <w:uiPriority w:val="0"/>
    <w:pPr>
      <w:spacing w:before="50" w:after="50"/>
      <w:outlineLvl w:val="3"/>
    </w:pPr>
  </w:style>
  <w:style w:type="paragraph" w:customStyle="1" w:styleId="51">
    <w:name w:val="标准文件_二级条标题"/>
    <w:next w:val="46"/>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3"/>
    <w:link w:val="14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0"/>
    <w:next w:val="23"/>
    <w:qFormat/>
    <w:uiPriority w:val="0"/>
    <w:pPr>
      <w:outlineLvl w:val="4"/>
    </w:pPr>
  </w:style>
  <w:style w:type="paragraph" w:customStyle="1" w:styleId="57">
    <w:name w:val="示例"/>
    <w:next w:val="58"/>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0">
    <w:name w:val="四级条标题"/>
    <w:basedOn w:val="56"/>
    <w:next w:val="23"/>
    <w:qFormat/>
    <w:uiPriority w:val="0"/>
    <w:pPr>
      <w:outlineLvl w:val="5"/>
    </w:pPr>
  </w:style>
  <w:style w:type="paragraph" w:customStyle="1" w:styleId="61">
    <w:name w:val="五级条标题"/>
    <w:basedOn w:val="60"/>
    <w:next w:val="23"/>
    <w:qFormat/>
    <w:uiPriority w:val="0"/>
    <w:pPr>
      <w:outlineLvl w:val="6"/>
    </w:pPr>
  </w:style>
  <w:style w:type="paragraph" w:customStyle="1" w:styleId="62">
    <w:name w:val="注："/>
    <w:next w:val="23"/>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9"/>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5"/>
      </w:numPr>
    </w:pPr>
    <w:rPr>
      <w:rFonts w:ascii="宋体"/>
      <w:szCs w:val="21"/>
    </w:rPr>
  </w:style>
  <w:style w:type="paragraph" w:customStyle="1" w:styleId="66">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67">
    <w:name w:val="示例×："/>
    <w:basedOn w:val="49"/>
    <w:qFormat/>
    <w:uiPriority w:val="0"/>
    <w:pPr>
      <w:numPr>
        <w:numId w:val="10"/>
      </w:numPr>
      <w:spacing w:beforeLines="0" w:afterLines="0"/>
      <w:outlineLvl w:val="9"/>
    </w:pPr>
    <w:rPr>
      <w:rFonts w:ascii="宋体" w:eastAsia="宋体"/>
      <w:sz w:val="18"/>
      <w:szCs w:val="18"/>
    </w:rPr>
  </w:style>
  <w:style w:type="paragraph" w:customStyle="1" w:styleId="68">
    <w:name w:val="二级无"/>
    <w:basedOn w:val="50"/>
    <w:qFormat/>
    <w:uiPriority w:val="0"/>
    <w:rPr>
      <w:rFonts w:ascii="宋体" w:eastAsia="宋体"/>
    </w:rPr>
  </w:style>
  <w:style w:type="paragraph" w:customStyle="1" w:styleId="69">
    <w:name w:val="注：（正文）"/>
    <w:basedOn w:val="62"/>
    <w:next w:val="23"/>
    <w:qFormat/>
    <w:uiPriority w:val="0"/>
    <w:pPr>
      <w:numPr>
        <w:numId w:val="11"/>
      </w:numPr>
      <w:ind w:left="726" w:hanging="363"/>
    </w:pPr>
  </w:style>
  <w:style w:type="paragraph" w:customStyle="1" w:styleId="70">
    <w:name w:val="注×：（正文）"/>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8"/>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wrap="around"/>
      <w:spacing w:before="370" w:line="400" w:lineRule="exact"/>
    </w:pPr>
    <w:rPr>
      <w:rFonts w:ascii="Times New Roman"/>
      <w:sz w:val="28"/>
      <w:szCs w:val="28"/>
    </w:rPr>
  </w:style>
  <w:style w:type="paragraph" w:customStyle="1" w:styleId="85">
    <w:name w:val="封面一致性程度标识"/>
    <w:basedOn w:val="84"/>
    <w:qFormat/>
    <w:uiPriority w:val="0"/>
    <w:pPr>
      <w:framePr w:wrap="around"/>
      <w:spacing w:before="440"/>
    </w:pPr>
    <w:rPr>
      <w:rFonts w:ascii="宋体" w:eastAsia="宋体"/>
    </w:rPr>
  </w:style>
  <w:style w:type="paragraph" w:customStyle="1" w:styleId="86">
    <w:name w:val="封面标准文稿类别"/>
    <w:basedOn w:val="85"/>
    <w:qFormat/>
    <w:uiPriority w:val="0"/>
    <w:pPr>
      <w:framePr w:wrap="around"/>
      <w:spacing w:after="160" w:line="240" w:lineRule="auto"/>
    </w:pPr>
    <w:rPr>
      <w:sz w:val="24"/>
    </w:rPr>
  </w:style>
  <w:style w:type="paragraph" w:customStyle="1" w:styleId="87">
    <w:name w:val="封面标准文稿编辑信息"/>
    <w:basedOn w:val="86"/>
    <w:qFormat/>
    <w:uiPriority w:val="0"/>
    <w:pPr>
      <w:framePr w:wrap="around"/>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3"/>
    <w:qFormat/>
    <w:uiPriority w:val="0"/>
    <w:pPr>
      <w:keepNext/>
      <w:widowControl/>
      <w:numPr>
        <w:ilvl w:val="0"/>
        <w:numId w:val="1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3"/>
    <w:next w:val="23"/>
    <w:qFormat/>
    <w:uiPriority w:val="0"/>
    <w:pPr>
      <w:ind w:firstLine="0" w:firstLineChars="0"/>
      <w:jc w:val="center"/>
    </w:pPr>
    <w:rPr>
      <w:rFonts w:ascii="黑体" w:eastAsia="黑体"/>
    </w:rPr>
  </w:style>
  <w:style w:type="paragraph" w:customStyle="1" w:styleId="91">
    <w:name w:val="附录表标号"/>
    <w:basedOn w:val="1"/>
    <w:next w:val="23"/>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92">
    <w:name w:val="附录表标题"/>
    <w:basedOn w:val="1"/>
    <w:next w:val="23"/>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3"/>
    <w:qFormat/>
    <w:uiPriority w:val="0"/>
    <w:pPr>
      <w:widowControl/>
      <w:numPr>
        <w:ilvl w:val="3"/>
        <w:numId w:val="1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3"/>
    <w:next w:val="23"/>
    <w:link w:val="96"/>
    <w:qFormat/>
    <w:uiPriority w:val="0"/>
  </w:style>
  <w:style w:type="character" w:customStyle="1" w:styleId="96">
    <w:name w:val="附录公式 Char"/>
    <w:basedOn w:val="42"/>
    <w:link w:val="95"/>
    <w:qFormat/>
    <w:uiPriority w:val="0"/>
    <w:rPr>
      <w:rFonts w:ascii="宋体"/>
      <w:sz w:val="21"/>
      <w:lang w:val="en-US" w:eastAsia="zh-CN" w:bidi="ar-SA"/>
    </w:rPr>
  </w:style>
  <w:style w:type="paragraph" w:customStyle="1" w:styleId="97">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3"/>
    <w:qFormat/>
    <w:uiPriority w:val="0"/>
    <w:pPr>
      <w:numPr>
        <w:ilvl w:val="4"/>
      </w:num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01">
    <w:name w:val="附录四级条标题"/>
    <w:basedOn w:val="98"/>
    <w:next w:val="23"/>
    <w:qFormat/>
    <w:uiPriority w:val="0"/>
    <w:pPr>
      <w:numPr>
        <w:ilvl w:val="5"/>
      </w:num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6"/>
      </w:numPr>
      <w:spacing w:line="14" w:lineRule="exact"/>
      <w:ind w:left="0" w:firstLine="363"/>
      <w:jc w:val="center"/>
      <w:outlineLvl w:val="0"/>
    </w:pPr>
    <w:rPr>
      <w:color w:val="FFFFFF"/>
    </w:rPr>
  </w:style>
  <w:style w:type="paragraph" w:customStyle="1" w:styleId="104">
    <w:name w:val="附录图标题"/>
    <w:basedOn w:val="1"/>
    <w:next w:val="23"/>
    <w:qFormat/>
    <w:uiPriority w:val="0"/>
    <w:pPr>
      <w:numPr>
        <w:ilvl w:val="1"/>
        <w:numId w:val="16"/>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3"/>
    <w:qFormat/>
    <w:uiPriority w:val="0"/>
    <w:pPr>
      <w:numPr>
        <w:ilvl w:val="6"/>
      </w:num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3"/>
    <w:qFormat/>
    <w:uiPriority w:val="0"/>
    <w:pPr>
      <w:numPr>
        <w:ilvl w:val="1"/>
        <w:numId w:val="1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3"/>
    <w:qFormat/>
    <w:uiPriority w:val="0"/>
    <w:pPr>
      <w:numPr>
        <w:ilvl w:val="2"/>
      </w:num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wrap="around"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wrap="around" w:y="15310"/>
      <w:spacing w:line="0" w:lineRule="atLeast"/>
    </w:pPr>
    <w:rPr>
      <w:rFonts w:ascii="黑体" w:eastAsia="黑体"/>
      <w:b w:val="0"/>
    </w:rPr>
  </w:style>
  <w:style w:type="paragraph" w:customStyle="1" w:styleId="117">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0"/>
    <w:rPr>
      <w:rFonts w:ascii="宋体" w:eastAsia="宋体"/>
    </w:rPr>
  </w:style>
  <w:style w:type="paragraph" w:customStyle="1" w:styleId="119">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20">
    <w:name w:val="示例后文字"/>
    <w:basedOn w:val="23"/>
    <w:next w:val="23"/>
    <w:qFormat/>
    <w:uiPriority w:val="0"/>
    <w:pPr>
      <w:ind w:firstLine="360"/>
    </w:pPr>
    <w:rPr>
      <w:sz w:val="18"/>
    </w:rPr>
  </w:style>
  <w:style w:type="paragraph" w:customStyle="1" w:styleId="121">
    <w:name w:val="首示例"/>
    <w:next w:val="23"/>
    <w:link w:val="122"/>
    <w:qFormat/>
    <w:uiPriority w:val="0"/>
    <w:pPr>
      <w:tabs>
        <w:tab w:val="left" w:pos="360"/>
      </w:tabs>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rPr>
      <w:rFonts w:ascii="宋体" w:eastAsia="宋体"/>
    </w:rPr>
  </w:style>
  <w:style w:type="paragraph" w:customStyle="1" w:styleId="124">
    <w:name w:val="条文脚注"/>
    <w:basedOn w:val="24"/>
    <w:qFormat/>
    <w:uiPriority w:val="0"/>
    <w:pPr>
      <w:numPr>
        <w:numId w:val="0"/>
      </w:numPr>
      <w:jc w:val="both"/>
    </w:pPr>
  </w:style>
  <w:style w:type="paragraph" w:customStyle="1" w:styleId="125">
    <w:name w:val="图标脚注说明"/>
    <w:basedOn w:val="23"/>
    <w:qFormat/>
    <w:uiPriority w:val="0"/>
    <w:pPr>
      <w:ind w:left="840" w:hanging="420" w:firstLineChars="0"/>
    </w:pPr>
    <w:rPr>
      <w:sz w:val="18"/>
      <w:szCs w:val="18"/>
    </w:rPr>
  </w:style>
  <w:style w:type="paragraph" w:customStyle="1" w:styleId="126">
    <w:name w:val="图表脚注说明"/>
    <w:basedOn w:val="1"/>
    <w:qFormat/>
    <w:uiPriority w:val="0"/>
    <w:pPr>
      <w:numPr>
        <w:ilvl w:val="0"/>
        <w:numId w:val="17"/>
      </w:numPr>
    </w:pPr>
    <w:rPr>
      <w:rFonts w:ascii="宋体"/>
      <w:sz w:val="18"/>
      <w:szCs w:val="18"/>
    </w:rPr>
  </w:style>
  <w:style w:type="paragraph" w:customStyle="1" w:styleId="127">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rPr>
      <w:rFonts w:ascii="宋体" w:eastAsia="宋体"/>
    </w:rPr>
  </w:style>
  <w:style w:type="paragraph" w:customStyle="1" w:styleId="130">
    <w:name w:val="一级无"/>
    <w:basedOn w:val="43"/>
    <w:qFormat/>
    <w:uiPriority w:val="0"/>
    <w:pPr>
      <w:spacing w:beforeLines="0" w:afterLines="0"/>
    </w:pPr>
    <w:rPr>
      <w:rFonts w:ascii="宋体" w:eastAsia="宋体"/>
    </w:rPr>
  </w:style>
  <w:style w:type="paragraph" w:customStyle="1" w:styleId="131">
    <w:name w:val="正文表标题"/>
    <w:next w:val="23"/>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3"/>
    <w:next w:val="23"/>
    <w:qFormat/>
    <w:uiPriority w:val="0"/>
    <w:pPr>
      <w:ind w:firstLine="0" w:firstLineChars="0"/>
    </w:pPr>
  </w:style>
  <w:style w:type="paragraph" w:customStyle="1" w:styleId="133">
    <w:name w:val="正文图标题"/>
    <w:next w:val="23"/>
    <w:qFormat/>
    <w:uiPriority w:val="0"/>
    <w:pPr>
      <w:numPr>
        <w:ilvl w:val="0"/>
        <w:numId w:val="19"/>
      </w:numPr>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6">
    <w:name w:val="其他实施日期"/>
    <w:basedOn w:val="119"/>
    <w:qFormat/>
    <w:uiPriority w:val="0"/>
    <w:pPr>
      <w:framePr w:wrap="around"/>
    </w:pPr>
  </w:style>
  <w:style w:type="paragraph" w:customStyle="1" w:styleId="137">
    <w:name w:val="封面标准名称2"/>
    <w:basedOn w:val="83"/>
    <w:qFormat/>
    <w:uiPriority w:val="0"/>
    <w:pPr>
      <w:framePr w:wrap="around" w:y="4469"/>
      <w:spacing w:beforeLines="630"/>
    </w:pPr>
  </w:style>
  <w:style w:type="paragraph" w:customStyle="1" w:styleId="138">
    <w:name w:val="封面标准英文名称2"/>
    <w:basedOn w:val="84"/>
    <w:qFormat/>
    <w:uiPriority w:val="0"/>
    <w:pPr>
      <w:framePr w:wrap="around" w:y="4469"/>
    </w:pPr>
  </w:style>
  <w:style w:type="paragraph" w:customStyle="1" w:styleId="139">
    <w:name w:val="封面一致性程度标识2"/>
    <w:basedOn w:val="85"/>
    <w:qFormat/>
    <w:uiPriority w:val="0"/>
    <w:pPr>
      <w:framePr w:wrap="around" w:y="4469"/>
    </w:pPr>
  </w:style>
  <w:style w:type="paragraph" w:customStyle="1" w:styleId="140">
    <w:name w:val="封面标准文稿类别2"/>
    <w:basedOn w:val="86"/>
    <w:qFormat/>
    <w:uiPriority w:val="0"/>
    <w:pPr>
      <w:framePr w:wrap="around" w:y="4469"/>
    </w:pPr>
  </w:style>
  <w:style w:type="paragraph" w:customStyle="1" w:styleId="141">
    <w:name w:val="封面标准文稿编辑信息2"/>
    <w:basedOn w:val="87"/>
    <w:qFormat/>
    <w:uiPriority w:val="0"/>
    <w:pPr>
      <w:framePr w:wrap="around" w:y="4469"/>
    </w:pPr>
  </w:style>
  <w:style w:type="paragraph" w:customStyle="1" w:styleId="142">
    <w:name w:val="标准名称"/>
    <w:basedOn w:val="55"/>
    <w:link w:val="145"/>
    <w:qFormat/>
    <w:uiPriority w:val="0"/>
  </w:style>
  <w:style w:type="character" w:styleId="143">
    <w:name w:val="Placeholder Text"/>
    <w:basedOn w:val="35"/>
    <w:semiHidden/>
    <w:qFormat/>
    <w:uiPriority w:val="99"/>
    <w:rPr>
      <w:color w:val="808080"/>
    </w:rPr>
  </w:style>
  <w:style w:type="character" w:customStyle="1" w:styleId="144">
    <w:name w:val="目次、标准名称标题 Char"/>
    <w:basedOn w:val="35"/>
    <w:link w:val="55"/>
    <w:qFormat/>
    <w:uiPriority w:val="0"/>
    <w:rPr>
      <w:rFonts w:ascii="黑体" w:eastAsia="黑体"/>
      <w:sz w:val="32"/>
      <w:shd w:val="clear" w:color="FFFFFF" w:fill="FFFFFF"/>
    </w:rPr>
  </w:style>
  <w:style w:type="character" w:customStyle="1" w:styleId="145">
    <w:name w:val="标准名称 Char"/>
    <w:basedOn w:val="144"/>
    <w:link w:val="142"/>
    <w:qFormat/>
    <w:uiPriority w:val="0"/>
    <w:rPr>
      <w:rFonts w:ascii="黑体" w:eastAsia="黑体"/>
      <w:sz w:val="32"/>
      <w:shd w:val="clear" w:color="FFFFFF" w:fill="FFFFFF"/>
    </w:rPr>
  </w:style>
  <w:style w:type="character" w:customStyle="1" w:styleId="146">
    <w:name w:val="批注框文本 Char"/>
    <w:basedOn w:val="35"/>
    <w:link w:val="16"/>
    <w:qFormat/>
    <w:uiPriority w:val="0"/>
    <w:rPr>
      <w:kern w:val="2"/>
      <w:sz w:val="18"/>
      <w:szCs w:val="18"/>
    </w:rPr>
  </w:style>
  <w:style w:type="paragraph" w:customStyle="1" w:styleId="147">
    <w:name w:val="WPSOffice手动目录 1"/>
    <w:qFormat/>
    <w:uiPriority w:val="0"/>
    <w:rPr>
      <w:rFonts w:ascii="Times New Roman" w:hAnsi="Times New Roman" w:eastAsia="宋体" w:cs="Times New Roman"/>
      <w:lang w:val="en-US" w:eastAsia="zh-CN" w:bidi="ar-SA"/>
    </w:rPr>
  </w:style>
  <w:style w:type="paragraph" w:customStyle="1" w:styleId="1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50">
    <w:name w:val="font11"/>
    <w:basedOn w:val="35"/>
    <w:qFormat/>
    <w:uiPriority w:val="0"/>
    <w:rPr>
      <w:rFonts w:ascii="宋体" w:hAnsi="宋体" w:eastAsia="宋体" w:cs="宋体"/>
      <w:color w:val="000000"/>
      <w:sz w:val="38"/>
      <w:szCs w:val="38"/>
      <w:u w:val="none"/>
    </w:rPr>
  </w:style>
  <w:style w:type="paragraph" w:customStyle="1" w:styleId="15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52">
    <w:name w:val="批注文字 Char"/>
    <w:basedOn w:val="35"/>
    <w:link w:val="7"/>
    <w:semiHidden/>
    <w:qFormat/>
    <w:uiPriority w:val="0"/>
    <w:rPr>
      <w:kern w:val="2"/>
      <w:sz w:val="21"/>
      <w:szCs w:val="24"/>
    </w:rPr>
  </w:style>
  <w:style w:type="character" w:customStyle="1" w:styleId="153">
    <w:name w:val="批注主题 Char"/>
    <w:basedOn w:val="152"/>
    <w:link w:val="32"/>
    <w:semiHidden/>
    <w:qFormat/>
    <w:uiPriority w:val="0"/>
    <w:rPr>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glossaryDocument" Target="glossary/document.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14:paraId="2399CFBB">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1132F9"/>
    <w:rsid w:val="00114ABC"/>
    <w:rsid w:val="001C16E0"/>
    <w:rsid w:val="002068C7"/>
    <w:rsid w:val="00323E80"/>
    <w:rsid w:val="003372E5"/>
    <w:rsid w:val="00350947"/>
    <w:rsid w:val="003750AF"/>
    <w:rsid w:val="00430F92"/>
    <w:rsid w:val="004F113A"/>
    <w:rsid w:val="004F1EC5"/>
    <w:rsid w:val="00515A81"/>
    <w:rsid w:val="005335DD"/>
    <w:rsid w:val="00580357"/>
    <w:rsid w:val="00595E09"/>
    <w:rsid w:val="00674FBA"/>
    <w:rsid w:val="006D02E4"/>
    <w:rsid w:val="007216E9"/>
    <w:rsid w:val="007A1AE8"/>
    <w:rsid w:val="007C2D6F"/>
    <w:rsid w:val="007C6ACB"/>
    <w:rsid w:val="007E2797"/>
    <w:rsid w:val="00800293"/>
    <w:rsid w:val="00820E7E"/>
    <w:rsid w:val="00821AD1"/>
    <w:rsid w:val="008D1688"/>
    <w:rsid w:val="008E024D"/>
    <w:rsid w:val="008F0268"/>
    <w:rsid w:val="00902EF8"/>
    <w:rsid w:val="00982DAC"/>
    <w:rsid w:val="009B16B1"/>
    <w:rsid w:val="00A94E45"/>
    <w:rsid w:val="00AC3109"/>
    <w:rsid w:val="00AD6808"/>
    <w:rsid w:val="00AF0270"/>
    <w:rsid w:val="00B00C16"/>
    <w:rsid w:val="00B717AC"/>
    <w:rsid w:val="00BC67AA"/>
    <w:rsid w:val="00BD51EB"/>
    <w:rsid w:val="00C875D2"/>
    <w:rsid w:val="00CB0B2B"/>
    <w:rsid w:val="00D4454B"/>
    <w:rsid w:val="00D65DD7"/>
    <w:rsid w:val="00DA4409"/>
    <w:rsid w:val="00DA7CE8"/>
    <w:rsid w:val="00E95A08"/>
    <w:rsid w:val="00EA15BD"/>
    <w:rsid w:val="00EA32AC"/>
    <w:rsid w:val="00F61EDB"/>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16</Pages>
  <Words>2866</Words>
  <Characters>3447</Characters>
  <Lines>52</Lines>
  <Paragraphs>14</Paragraphs>
  <TotalTime>4</TotalTime>
  <ScaleCrop>false</ScaleCrop>
  <LinksUpToDate>false</LinksUpToDate>
  <CharactersWithSpaces>3742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2019-08-28T09:51:00Z</dcterms:created>
  <dc:creator>CNIS</dc:creator>
  <cp:lastModifiedBy>SMXYJB</cp:lastModifiedBy>
  <cp:lastPrinted>2024-06-18T10:20:00Z</cp:lastPrinted>
  <dcterms:modified xsi:type="dcterms:W3CDTF">2025-07-11T03:21:03Z</dcterms:modified>
  <dc:title>标准名称</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074E6EE2C5704F04BD6268626531FDB4_13</vt:lpwstr>
  </property>
  <property fmtid="{D5CDD505-2E9C-101B-9397-08002B2CF9AE}" pid="4" name="KSOTemplateDocerSaveRecord">
    <vt:lpwstr>eyJoZGlkIjoiY2RiODQ4ZjJkZDA1ZjNjZWY1YjJiNDIwODZmNjVlNzIiLCJ1c2VySWQiOiIyMDQ4NTY3MTUifQ==</vt:lpwstr>
  </property>
</Properties>
</file>