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8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43.160</w:t>
      </w:r>
      <w:r>
        <w:fldChar w:fldCharType="end"/>
      </w:r>
      <w:bookmarkEnd w:id="0"/>
    </w:p>
    <w:p>
      <w:pPr>
        <w:pStyle w:val="118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t>T 51</w:t>
      </w:r>
      <w:r>
        <w:fldChar w:fldCharType="end"/>
      </w:r>
      <w:bookmarkEnd w:id="1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118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5168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DIri/s1QAAAAcB&#10;AAAPAAAAAAAAAAEAIAAAADgAAABkcnMvZG93bnJldi54bWxQSwECFAAUAAAACACHTuJAlraAcpYB&#10;AAAcAwAADgAAAAAAAAABACAAAAA6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备案号：</w:t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>
      <w:pPr>
        <w:pStyle w:val="104"/>
      </w:pPr>
      <w:r>
        <w:rPr>
          <w:rFonts w:hint="eastAsia"/>
          <w:lang w:val="en-US" w:eastAsia="zh-CN"/>
        </w:rPr>
        <w:t xml:space="preserve"> </w:t>
      </w:r>
      <w:r>
        <w:t>DB</w:t>
      </w:r>
      <w:bookmarkStart w:id="3" w:name="c3"/>
      <w:r>
        <w:rPr>
          <w:rFonts w:hint="eastAsia"/>
          <w:lang w:val="en-US" w:eastAsia="zh-CN"/>
        </w:rPr>
        <w:t>11</w:t>
      </w:r>
      <w:bookmarkEnd w:id="3"/>
    </w:p>
    <w:p>
      <w:pPr>
        <w:pStyle w:val="105"/>
      </w:pPr>
      <w:bookmarkStart w:id="4" w:name="c4"/>
      <w:r>
        <w:fldChar w:fldCharType="begin">
          <w:ffData>
            <w:name w:val="c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北京市</w:t>
      </w:r>
      <w:r>
        <w:fldChar w:fldCharType="end"/>
      </w:r>
      <w:bookmarkEnd w:id="4"/>
      <w:r>
        <w:rPr>
          <w:rFonts w:hint="eastAsia"/>
        </w:rPr>
        <w:t>地方标准</w:t>
      </w:r>
    </w:p>
    <w:p>
      <w:pPr>
        <w:pStyle w:val="42"/>
        <w:rPr>
          <w:rFonts w:hAnsi="黑体"/>
        </w:rPr>
      </w:pPr>
      <w:r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11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T 1390.4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1"/>
            </w:pPr>
            <w:bookmarkStart w:id="8" w:name="DT"/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8240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FgAAAGRycy9QSwECFAAUAAAACACHTuJAHmDyy9YAAAAIAQAADwAA&#10;AAAAAAABACAAAAA4AAAAZHJzL2Rvd25yZXYueG1sUEsBAhQAFAAAAAgAh07iQNjVWreQAQAAHAMA&#10;AA4AAAAAAAAAAQAgAAAAOw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代替</w:t>
            </w:r>
            <w:r>
              <w:rPr>
                <w:rFonts w:hint="eastAsia"/>
                <w:lang w:val="en-US" w:eastAsia="zh-CN"/>
              </w:rPr>
              <w:t xml:space="preserve"> DB 11/T 1390.4—2018</w:t>
            </w:r>
            <w:bookmarkEnd w:id="8"/>
          </w:p>
        </w:tc>
      </w:tr>
    </w:tbl>
    <w:p>
      <w:pPr>
        <w:pStyle w:val="42"/>
        <w:rPr>
          <w:rFonts w:hAnsi="黑体"/>
        </w:rPr>
      </w:pPr>
    </w:p>
    <w:p>
      <w:pPr>
        <w:pStyle w:val="42"/>
        <w:rPr>
          <w:rFonts w:hAnsi="黑体"/>
        </w:rPr>
      </w:pPr>
    </w:p>
    <w:p>
      <w:pPr>
        <w:pStyle w:val="73"/>
        <w:rPr>
          <w:rFonts w:hint="eastAsia"/>
        </w:rPr>
      </w:pPr>
      <w:bookmarkStart w:id="9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环卫车辆功能要求</w:t>
      </w:r>
    </w:p>
    <w:p>
      <w:pPr>
        <w:pStyle w:val="73"/>
      </w:pPr>
      <w:r>
        <w:rPr>
          <w:rFonts w:hint="eastAsia"/>
        </w:rPr>
        <w:t>第4部分：餐厨废弃油脂运输车辆</w:t>
      </w:r>
      <w:r>
        <w:fldChar w:fldCharType="end"/>
      </w:r>
      <w:bookmarkEnd w:id="9"/>
    </w:p>
    <w:p>
      <w:pPr>
        <w:pStyle w:val="74"/>
      </w:pPr>
      <w:bookmarkStart w:id="10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 xml:space="preserve">Function requirements for sanitation vehicle </w:t>
      </w:r>
    </w:p>
    <w:p>
      <w:pPr>
        <w:pStyle w:val="74"/>
      </w:pPr>
      <w:r>
        <w:t>Part 4: Waste cooking oil transport</w:t>
      </w:r>
      <w:r>
        <w:rPr>
          <w:rFonts w:hint="eastAsia"/>
          <w:lang w:val="en-US" w:eastAsia="zh"/>
        </w:rPr>
        <w:t>ation</w:t>
      </w:r>
      <w:r>
        <w:t xml:space="preserve"> vehicle</w:t>
      </w:r>
      <w:r>
        <w:fldChar w:fldCharType="end"/>
      </w:r>
      <w:bookmarkEnd w:id="10"/>
    </w:p>
    <w:p>
      <w:pPr>
        <w:pStyle w:val="75"/>
        <w:jc w:val="both"/>
      </w:pPr>
    </w:p>
    <w:tbl>
      <w:tblPr>
        <w:tblStyle w:val="2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6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3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6192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FgAAAGRycy9QSwECFAAUAAAACACHTuJABYmuktUAAAAKAQAADwAA&#10;AAAAAAABACAAAAA4AAAAZHJzL2Rvd25yZXYueG1sUEsBAhQAFAAAAAgAh07iQPxlWXuRAQAAHAMA&#10;AA4AAAAAAAAAAQAgAAAAOg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2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7216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FgAAAGRycy9QSwECFAAUAAAACACHTuJAA+GL5dYAAAAJAQAADwAA&#10;AAAAAAABACAAAAA4AAAAZHJzL2Rvd25yZXYueG1sUEsBAhQAFAAAAAgAh07iQO9RhveQAQAAHAMA&#10;AA4AAAAAAAAAAQAgAAAAOw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1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77"/>
            </w:pPr>
            <w:bookmarkStart w:id="12" w:name="WCRQ"/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2"/>
          </w:p>
        </w:tc>
      </w:tr>
    </w:tbl>
    <w:p>
      <w:pPr>
        <w:pStyle w:val="125"/>
      </w:pPr>
      <w:bookmarkStart w:id="13" w:name="FY"/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3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4" w:name="FD"/>
      <w:r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0.05pt;margin-top:728.5pt;height:0pt;width:481.9pt;mso-position-vertical-relative:page;z-index:251662336;mso-width-relative:page;mso-height-relative:page;" filled="f" stroked="t" coordsize="21600,21600" o:gfxdata="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CWHazzWAAAACwEA&#10;AA8AAAAAAAAAAQAgAAAAOAAAAGRycy9kb3ducmV2LnhtbFBLAQIUABQAAAAIAIdO4kBiwjOOzQEA&#10;AJEDAAAOAAAAAAAAAAEAIAAAADs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6"/>
      </w:pPr>
      <w:bookmarkStart w:id="15" w:name="SY"/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SM"/>
      <w:r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7" w:name="SD"/>
      <w:r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>
        <w:rPr>
          <w:rFonts w:hint="eastAsia"/>
        </w:rPr>
        <w:t>实施</w:t>
      </w:r>
    </w:p>
    <w:p>
      <w:pPr>
        <w:pStyle w:val="106"/>
      </w:pPr>
      <w:bookmarkStart w:id="18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北京市市场监督管理局</w:t>
      </w:r>
      <w:r>
        <w:fldChar w:fldCharType="end"/>
      </w:r>
      <w:bookmarkEnd w:id="18"/>
      <w:r>
        <w:rPr>
          <w:rFonts w:hAnsi="黑体"/>
        </w:rPr>
        <w:t>   </w:t>
      </w:r>
      <w:r>
        <w:rPr>
          <w:rStyle w:val="68"/>
          <w:rFonts w:hint="eastAsia"/>
        </w:rPr>
        <w:t>发布</w:t>
      </w:r>
    </w:p>
    <w:p>
      <w:pPr>
        <w:pStyle w:val="20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bookmarkStart w:id="60" w:name="_GoBack"/>
      <w:bookmarkEnd w:id="60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0.05pt;margin-top:184.25pt;height:0pt;width:481.9pt;z-index:251663360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QkHiX9cAAAAJ&#10;AQAADwAAAAAAAAABACAAAAA4AAAAZHJzL2Rvd25yZXYueG1sUEsBAhQAFAAAAAgAh07iQKe4IPrO&#10;AQAAkQMAAA4AAAAAAAAAAQAgAAAAP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5"/>
        <w:rPr>
          <w:rFonts w:hint="eastAsia"/>
        </w:rPr>
      </w:pPr>
      <w:bookmarkStart w:id="19" w:name="_Toc182854511"/>
      <w:r>
        <w:rPr>
          <w:rFonts w:hint="eastAsia"/>
        </w:rPr>
        <w:t>目</w:t>
      </w:r>
      <w:bookmarkStart w:id="20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20"/>
    </w:p>
    <w:p>
      <w:pPr>
        <w:pStyle w:val="16"/>
        <w:spacing w:before="78" w:after="78"/>
        <w:rPr>
          <w:rFonts w:ascii="Calibri" w:hAnsi="Calibri"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 xml:space="preserve">TOC \h \z \t"前言、引言标题,1,参考文献、索引标题,1,章标题,1,参考文献,1,附录标识,1" \* MERGEFORMAT</w:instrText>
      </w:r>
      <w:r>
        <w:instrText xml:space="preserve"> </w:instrText>
      </w:r>
      <w:r>
        <w:fldChar w:fldCharType="separate"/>
      </w: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"_Toc182854548"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  <w:rFonts w:hint="eastAsia"/>
        </w:rPr>
        <w:t>前言</w:t>
      </w:r>
      <w:r>
        <w:tab/>
      </w:r>
      <w:r>
        <w:fldChar w:fldCharType="begin" w:fldLock="1"/>
      </w:r>
      <w:r>
        <w:instrText xml:space="preserve"> PAGEREF _Toc182854548 \h </w:instrText>
      </w:r>
      <w:r>
        <w:fldChar w:fldCharType="separate"/>
      </w:r>
      <w:r>
        <w:t>II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"_Toc182854549"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1</w:t>
      </w:r>
      <w:r>
        <w:rPr>
          <w:rStyle w:val="34"/>
          <w:rFonts w:hint="eastAsia"/>
        </w:rPr>
        <w:t>　范围</w:t>
      </w:r>
      <w:r>
        <w:tab/>
      </w:r>
      <w:r>
        <w:fldChar w:fldCharType="begin" w:fldLock="1"/>
      </w:r>
      <w:r>
        <w:instrText xml:space="preserve"> PAGEREF _Toc182854549 \h </w:instrText>
      </w:r>
      <w:r>
        <w:fldChar w:fldCharType="separate"/>
      </w:r>
      <w:r>
        <w:t>1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"_Toc182854550"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2</w:t>
      </w:r>
      <w:r>
        <w:rPr>
          <w:rStyle w:val="34"/>
          <w:rFonts w:hint="eastAsia"/>
        </w:rPr>
        <w:t>　规范性引用文件</w:t>
      </w:r>
      <w:r>
        <w:tab/>
      </w:r>
      <w:r>
        <w:fldChar w:fldCharType="begin" w:fldLock="1"/>
      </w:r>
      <w:r>
        <w:instrText xml:space="preserve"> PAGEREF _Toc182854550 \h </w:instrText>
      </w:r>
      <w:r>
        <w:fldChar w:fldCharType="separate"/>
      </w:r>
      <w:r>
        <w:t>1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"_Toc182854551"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3</w:t>
      </w:r>
      <w:r>
        <w:rPr>
          <w:rStyle w:val="34"/>
          <w:rFonts w:hint="eastAsia"/>
        </w:rPr>
        <w:t>　</w:t>
      </w:r>
      <w:r>
        <w:rPr>
          <w:rStyle w:val="34"/>
          <w:rFonts w:hint="eastAsia"/>
          <w:lang w:eastAsia="zh-CN"/>
        </w:rPr>
        <w:t>术语</w:t>
      </w:r>
      <w:r>
        <w:rPr>
          <w:rStyle w:val="34"/>
          <w:rFonts w:hint="eastAsia"/>
        </w:rPr>
        <w:t>和定义</w:t>
      </w:r>
      <w:r>
        <w:tab/>
      </w:r>
      <w:r>
        <w:fldChar w:fldCharType="begin" w:fldLock="1"/>
      </w:r>
      <w:r>
        <w:instrText xml:space="preserve"> PAGEREF _Toc182854551 \h </w:instrText>
      </w:r>
      <w:r>
        <w:fldChar w:fldCharType="separate"/>
      </w:r>
      <w:r>
        <w:t>1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"_Toc182854552"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4</w:t>
      </w:r>
      <w:r>
        <w:rPr>
          <w:rStyle w:val="34"/>
          <w:rFonts w:hint="eastAsia"/>
        </w:rPr>
        <w:t>　一般要求</w:t>
      </w:r>
      <w:r>
        <w:tab/>
      </w:r>
      <w:r>
        <w:fldChar w:fldCharType="begin" w:fldLock="1"/>
      </w:r>
      <w:r>
        <w:instrText xml:space="preserve"> PAGEREF _Toc182854552 \h </w:instrText>
      </w:r>
      <w:r>
        <w:fldChar w:fldCharType="separate"/>
      </w:r>
      <w:r>
        <w:t>2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"_Toc182854553"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</w:rPr>
        <w:t>5</w:t>
      </w:r>
      <w:r>
        <w:rPr>
          <w:rStyle w:val="34"/>
          <w:rFonts w:hint="eastAsia" w:hAnsi="黑体"/>
        </w:rPr>
        <w:t>　</w:t>
      </w:r>
      <w:r>
        <w:rPr>
          <w:rStyle w:val="34"/>
          <w:rFonts w:hint="eastAsia" w:hAnsi="黑体"/>
          <w:lang w:eastAsia="zh-CN"/>
        </w:rPr>
        <w:t>技术</w:t>
      </w:r>
      <w:r>
        <w:rPr>
          <w:rStyle w:val="34"/>
          <w:rFonts w:hint="eastAsia"/>
        </w:rPr>
        <w:t>要求</w:t>
      </w:r>
      <w:r>
        <w:tab/>
      </w:r>
      <w:r>
        <w:fldChar w:fldCharType="begin" w:fldLock="1"/>
      </w:r>
      <w:r>
        <w:instrText xml:space="preserve"> PAGEREF _Toc182854553 \h </w:instrText>
      </w:r>
      <w:r>
        <w:fldChar w:fldCharType="separate"/>
      </w:r>
      <w:r>
        <w:t>2</w:t>
      </w:r>
      <w:r>
        <w:fldChar w:fldCharType="end"/>
      </w:r>
      <w:r>
        <w:rPr>
          <w:rStyle w:val="34"/>
        </w:rPr>
        <w:fldChar w:fldCharType="end"/>
      </w:r>
    </w:p>
    <w:p>
      <w:pPr>
        <w:pStyle w:val="16"/>
        <w:spacing w:before="78" w:after="78"/>
        <w:rPr>
          <w:rFonts w:ascii="Calibri" w:hAnsi="Calibri"/>
          <w:szCs w:val="22"/>
        </w:rPr>
      </w:pPr>
      <w:r>
        <w:rPr>
          <w:rStyle w:val="34"/>
        </w:rPr>
        <w:fldChar w:fldCharType="begin" w:fldLock="1"/>
      </w:r>
      <w:r>
        <w:rPr>
          <w:rStyle w:val="34"/>
        </w:rPr>
        <w:instrText xml:space="preserve"> </w:instrText>
      </w:r>
      <w:r>
        <w:instrText xml:space="preserve">HYPERLINK \l "_Toc182854555"</w:instrText>
      </w:r>
      <w:r>
        <w:rPr>
          <w:rStyle w:val="34"/>
        </w:rPr>
        <w:instrText xml:space="preserve"> </w:instrText>
      </w:r>
      <w:r>
        <w:rPr>
          <w:rStyle w:val="34"/>
        </w:rPr>
        <w:fldChar w:fldCharType="separate"/>
      </w:r>
      <w:r>
        <w:rPr>
          <w:rStyle w:val="34"/>
          <w:rFonts w:hint="eastAsia"/>
          <w:lang w:val="en-US" w:eastAsia="zh-CN"/>
        </w:rPr>
        <w:t>6</w:t>
      </w:r>
      <w:r>
        <w:rPr>
          <w:rStyle w:val="34"/>
          <w:rFonts w:hint="eastAsia"/>
        </w:rPr>
        <w:t>　智能监控</w:t>
      </w:r>
      <w:r>
        <w:tab/>
      </w:r>
      <w:r>
        <w:rPr>
          <w:rFonts w:hint="eastAsia"/>
          <w:lang w:val="en-US" w:eastAsia="zh-CN"/>
        </w:rPr>
        <w:t>3</w:t>
      </w:r>
      <w:r>
        <w:rPr>
          <w:rStyle w:val="34"/>
        </w:rPr>
        <w:fldChar w:fldCharType="end"/>
      </w:r>
    </w:p>
    <w:p>
      <w:pPr>
        <w:pStyle w:val="20"/>
        <w:rPr>
          <w:rFonts w:hint="eastAsia"/>
        </w:rPr>
      </w:pPr>
      <w:r>
        <w:fldChar w:fldCharType="end"/>
      </w:r>
    </w:p>
    <w:p>
      <w:pPr>
        <w:pStyle w:val="107"/>
        <w:rPr>
          <w:rFonts w:hint="eastAsia"/>
        </w:rPr>
      </w:pPr>
      <w:bookmarkStart w:id="21" w:name="_Toc182854548"/>
      <w:r>
        <w:rPr>
          <w:rFonts w:hint="eastAsia"/>
        </w:rPr>
        <w:t>前</w:t>
      </w:r>
      <w:bookmarkStart w:id="22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9"/>
      <w:bookmarkEnd w:id="21"/>
      <w:bookmarkEnd w:id="22"/>
    </w:p>
    <w:p>
      <w:pPr>
        <w:pStyle w:val="20"/>
      </w:pPr>
      <w:bookmarkStart w:id="23" w:name="_Toc17878126"/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>
      <w:pPr>
        <w:pStyle w:val="20"/>
      </w:pPr>
      <w:r>
        <w:rPr>
          <w:rFonts w:hint="eastAsia"/>
        </w:rPr>
        <w:t>DB11/T 1390分为以下部分：</w:t>
      </w:r>
    </w:p>
    <w:p>
      <w:pPr>
        <w:pStyle w:val="20"/>
      </w:pPr>
      <w:r>
        <w:rPr>
          <w:rFonts w:hint="eastAsia"/>
        </w:rPr>
        <w:t>—— 环卫车辆功能要求 第1部分：生活垃圾运输车辆；</w:t>
      </w:r>
    </w:p>
    <w:p>
      <w:pPr>
        <w:pStyle w:val="20"/>
      </w:pPr>
      <w:r>
        <w:rPr>
          <w:rFonts w:hint="eastAsia"/>
        </w:rPr>
        <w:t>—— 环卫车辆功能要求 第2部分：粪便运输车辆；</w:t>
      </w:r>
    </w:p>
    <w:p>
      <w:pPr>
        <w:pStyle w:val="20"/>
      </w:pPr>
      <w:r>
        <w:rPr>
          <w:rFonts w:hint="eastAsia"/>
        </w:rPr>
        <w:t>—— 环卫车辆功能要求 第3部分：餐厨垃圾运输车辆；</w:t>
      </w:r>
    </w:p>
    <w:p>
      <w:pPr>
        <w:pStyle w:val="20"/>
      </w:pPr>
      <w:r>
        <w:rPr>
          <w:rFonts w:hint="eastAsia"/>
        </w:rPr>
        <w:t>—— 环卫车辆功能要求 第4部分：餐厨废弃油脂运输车辆；</w:t>
      </w:r>
    </w:p>
    <w:p>
      <w:pPr>
        <w:pStyle w:val="20"/>
      </w:pPr>
      <w:r>
        <w:rPr>
          <w:rFonts w:hint="eastAsia"/>
        </w:rPr>
        <w:t>本文件为DB11/T 1390的第4部分。</w:t>
      </w:r>
    </w:p>
    <w:p>
      <w:pPr>
        <w:pStyle w:val="20"/>
      </w:pPr>
      <w:r>
        <w:rPr>
          <w:rFonts w:hint="eastAsia"/>
        </w:rPr>
        <w:t>本文件代替DB11/T 1390.4—2018《环卫车辆功能要求 第4部分：餐厨废弃油脂运输车辆》。</w:t>
      </w:r>
    </w:p>
    <w:p>
      <w:pPr>
        <w:pStyle w:val="20"/>
      </w:pPr>
      <w:r>
        <w:rPr>
          <w:rFonts w:hint="eastAsia"/>
        </w:rPr>
        <w:t>本文件与DB11/T 1390.4—2018相比，除编辑性修改外主要技术变化如下：</w:t>
      </w:r>
    </w:p>
    <w:p>
      <w:pPr>
        <w:pStyle w:val="20"/>
      </w:pPr>
      <w:r>
        <w:rPr>
          <w:rFonts w:hint="eastAsia"/>
        </w:rPr>
        <w:t>——修改了一般要求（见第4章，2018版第4章）；</w:t>
      </w:r>
    </w:p>
    <w:p>
      <w:pPr>
        <w:pStyle w:val="20"/>
      </w:pPr>
      <w:r>
        <w:rPr>
          <w:rFonts w:hint="eastAsia"/>
        </w:rPr>
        <w:t>——删除了基本参数（2018版第5章）；</w:t>
      </w:r>
    </w:p>
    <w:p>
      <w:pPr>
        <w:pStyle w:val="20"/>
      </w:pPr>
      <w:r>
        <w:rPr>
          <w:rFonts w:hint="eastAsia"/>
        </w:rPr>
        <w:t>——增加了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要求（见第5章）；</w:t>
      </w:r>
    </w:p>
    <w:p>
      <w:pPr>
        <w:pStyle w:val="20"/>
      </w:pPr>
      <w:r>
        <w:rPr>
          <w:rFonts w:hint="eastAsia"/>
        </w:rPr>
        <w:t>——修改了监控要求（见第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章，2018版第6章）；</w:t>
      </w:r>
    </w:p>
    <w:p>
      <w:pPr>
        <w:pStyle w:val="20"/>
      </w:pPr>
      <w:r>
        <w:rPr>
          <w:rFonts w:hint="eastAsia"/>
        </w:rPr>
        <w:t>——删除了附录A（2018版附录A）</w:t>
      </w:r>
    </w:p>
    <w:p>
      <w:pPr>
        <w:pStyle w:val="20"/>
      </w:pPr>
      <w:r>
        <w:rPr>
          <w:rFonts w:hint="eastAsia"/>
        </w:rPr>
        <w:t>本</w:t>
      </w:r>
      <w:r>
        <w:t>文件由</w:t>
      </w:r>
      <w:r>
        <w:rPr>
          <w:rFonts w:hint="eastAsia"/>
        </w:rPr>
        <w:t>北京市城市管理委员提出并归口</w:t>
      </w:r>
      <w:r>
        <w:t>。</w:t>
      </w:r>
    </w:p>
    <w:p>
      <w:pPr>
        <w:pStyle w:val="20"/>
      </w:pPr>
      <w:r>
        <w:rPr>
          <w:rFonts w:hint="eastAsia"/>
        </w:rPr>
        <w:t>本文件</w:t>
      </w:r>
      <w:r>
        <w:t>由</w:t>
      </w:r>
      <w:r>
        <w:rPr>
          <w:rFonts w:hint="eastAsia"/>
        </w:rPr>
        <w:t>北京市城市管理委员组织</w:t>
      </w:r>
      <w:r>
        <w:t>实施。</w:t>
      </w:r>
    </w:p>
    <w:p>
      <w:pPr>
        <w:pStyle w:val="20"/>
      </w:pPr>
      <w:r>
        <w:rPr>
          <w:rFonts w:hint="eastAsia"/>
        </w:rPr>
        <w:t>本</w:t>
      </w:r>
      <w:r>
        <w:t>文件起草单位：</w:t>
      </w:r>
      <w:r>
        <w:rPr>
          <w:rFonts w:hint="eastAsia"/>
        </w:rPr>
        <w:t>北京市城市管理研究院</w:t>
      </w:r>
    </w:p>
    <w:p>
      <w:pPr>
        <w:pStyle w:val="20"/>
      </w:pPr>
      <w:r>
        <w:rPr>
          <w:rFonts w:hint="eastAsia"/>
        </w:rPr>
        <w:t>本</w:t>
      </w:r>
      <w:r>
        <w:t>文件主要起草人：</w:t>
      </w:r>
    </w:p>
    <w:p>
      <w:pPr>
        <w:pStyle w:val="20"/>
      </w:pPr>
      <w:r>
        <w:rPr>
          <w:rFonts w:hint="eastAsia"/>
        </w:rPr>
        <w:t>本文件及其所</w:t>
      </w:r>
      <w:r>
        <w:t>替代</w:t>
      </w:r>
      <w:r>
        <w:rPr>
          <w:rFonts w:hint="eastAsia"/>
        </w:rPr>
        <w:t>文件</w:t>
      </w:r>
      <w:r>
        <w:t>的历次版本</w:t>
      </w:r>
      <w:r>
        <w:rPr>
          <w:rFonts w:hint="eastAsia"/>
        </w:rPr>
        <w:t>发布</w:t>
      </w:r>
      <w:r>
        <w:t>情况</w:t>
      </w:r>
      <w:r>
        <w:rPr>
          <w:rFonts w:hint="eastAsia"/>
        </w:rPr>
        <w:t>为</w:t>
      </w:r>
      <w:r>
        <w:t>：</w:t>
      </w:r>
    </w:p>
    <w:p>
      <w:pPr>
        <w:pStyle w:val="20"/>
      </w:pPr>
      <w:r>
        <w:rPr>
          <w:rFonts w:hint="eastAsia"/>
        </w:rPr>
        <w:t>——DB11/T 1390.4—2018。</w:t>
      </w:r>
    </w:p>
    <w:bookmarkEnd w:id="23"/>
    <w:p>
      <w:pPr>
        <w:pStyle w:val="20"/>
        <w:rPr>
          <w:rFonts w:hint="eastAsia" w:eastAsia="宋体"/>
          <w:color w:val="000000"/>
          <w:lang w:eastAsia="zh-CN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hint="eastAsia"/>
          <w:color w:val="000000"/>
          <w:lang w:eastAsia="zh-CN"/>
        </w:rPr>
        <w:t>——本次修订为首次修订。</w:t>
      </w:r>
    </w:p>
    <w:p>
      <w:pPr>
        <w:pStyle w:val="45"/>
        <w:rPr>
          <w:rFonts w:hint="eastAsia"/>
        </w:rPr>
      </w:pPr>
      <w:bookmarkStart w:id="24" w:name="_Toc1276933421_WPSOffice_Level1"/>
      <w:bookmarkStart w:id="25" w:name="_Toc764094150_WPSOffice_Level1"/>
      <w:r>
        <w:rPr>
          <w:rFonts w:hint="eastAsia"/>
        </w:rPr>
        <w:t>环卫车辆功能要求</w:t>
      </w:r>
      <w:r>
        <w:rPr>
          <w:rFonts w:hint="eastAsia"/>
        </w:rPr>
        <w:br w:type="textWrapping"/>
      </w:r>
      <w:r>
        <w:rPr>
          <w:rFonts w:hint="eastAsia"/>
        </w:rPr>
        <w:t>第4部分：餐厨废弃油脂运输车辆</w:t>
      </w:r>
      <w:bookmarkEnd w:id="24"/>
      <w:bookmarkEnd w:id="25"/>
    </w:p>
    <w:p>
      <w:pPr>
        <w:pStyle w:val="40"/>
        <w:rPr>
          <w:rFonts w:hint="eastAsia"/>
        </w:rPr>
      </w:pPr>
      <w:bookmarkStart w:id="26" w:name="_Toc182851120"/>
      <w:bookmarkStart w:id="27" w:name="_Toc182854549"/>
      <w:bookmarkStart w:id="28" w:name="_Toc182854512"/>
      <w:r>
        <w:rPr>
          <w:rFonts w:hint="eastAsia"/>
        </w:rPr>
        <w:t>范围</w:t>
      </w:r>
      <w:bookmarkEnd w:id="26"/>
      <w:bookmarkEnd w:id="27"/>
      <w:bookmarkEnd w:id="28"/>
    </w:p>
    <w:p>
      <w:pPr>
        <w:pStyle w:val="20"/>
      </w:pPr>
      <w:r>
        <w:rPr>
          <w:rFonts w:hint="eastAsia"/>
        </w:rPr>
        <w:t>本文件</w:t>
      </w:r>
      <w:r>
        <w:t>规定了</w:t>
      </w:r>
      <w:r>
        <w:rPr>
          <w:rFonts w:hint="eastAsia"/>
        </w:rPr>
        <w:t>餐厨废弃油脂运输车辆的一般要求、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要求和智能监控要求</w:t>
      </w:r>
      <w:r>
        <w:t>。</w:t>
      </w:r>
    </w:p>
    <w:p>
      <w:pPr>
        <w:pStyle w:val="20"/>
        <w:rPr>
          <w:rFonts w:hint="eastAsia"/>
        </w:rPr>
      </w:pPr>
      <w:r>
        <w:rPr>
          <w:rFonts w:hint="eastAsia"/>
        </w:rPr>
        <w:t>本文件</w:t>
      </w:r>
      <w:r>
        <w:t>适用于</w:t>
      </w:r>
      <w:r>
        <w:rPr>
          <w:rFonts w:hint="eastAsia"/>
        </w:rPr>
        <w:t>餐厨废弃油脂运输车辆的使用和管理。</w:t>
      </w:r>
    </w:p>
    <w:p>
      <w:pPr>
        <w:pStyle w:val="40"/>
        <w:rPr>
          <w:rFonts w:hint="eastAsia"/>
        </w:rPr>
      </w:pPr>
      <w:bookmarkStart w:id="29" w:name="_Toc182854513"/>
      <w:bookmarkStart w:id="30" w:name="_Toc182854550"/>
      <w:bookmarkStart w:id="31" w:name="_Toc182851121"/>
      <w:r>
        <w:rPr>
          <w:rFonts w:hint="eastAsia"/>
        </w:rPr>
        <w:t>规范性引用文件</w:t>
      </w:r>
      <w:bookmarkEnd w:id="29"/>
      <w:bookmarkEnd w:id="30"/>
      <w:bookmarkEnd w:id="31"/>
    </w:p>
    <w:p>
      <w:pPr>
        <w:pStyle w:val="20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>
      <w:pPr>
        <w:pStyle w:val="20"/>
      </w:pPr>
      <w:r>
        <w:rPr>
          <w:rFonts w:hint="eastAsia"/>
        </w:rPr>
        <w:t>GB/T 13508  聚乙烯吹塑容器</w:t>
      </w:r>
    </w:p>
    <w:p>
      <w:pPr>
        <w:pStyle w:val="20"/>
      </w:pPr>
      <w:r>
        <w:rPr>
          <w:rFonts w:hint="eastAsia"/>
        </w:rPr>
        <w:t>GB/T 37706—2019 车用起重尾板安装与使用技术要求</w:t>
      </w:r>
    </w:p>
    <w:p>
      <w:pPr>
        <w:pStyle w:val="20"/>
      </w:pPr>
      <w:r>
        <w:rPr>
          <w:rFonts w:hint="eastAsia"/>
        </w:rPr>
        <w:t>JT/T 794</w:t>
      </w:r>
      <w:r>
        <w:t xml:space="preserve">  </w:t>
      </w:r>
      <w:r>
        <w:rPr>
          <w:rFonts w:hint="eastAsia"/>
        </w:rPr>
        <w:t>道路运输车辆卫星定位系统车载终端技术要求</w:t>
      </w:r>
    </w:p>
    <w:p>
      <w:pPr>
        <w:pStyle w:val="20"/>
      </w:pPr>
      <w:r>
        <w:rPr>
          <w:rFonts w:hint="eastAsia"/>
        </w:rPr>
        <w:t>JT/T 808  道路运输车辆卫星定位系统终端通信协议及数据格式</w:t>
      </w:r>
    </w:p>
    <w:p>
      <w:pPr>
        <w:pStyle w:val="20"/>
        <w:rPr>
          <w:rFonts w:hAnsi="宋体" w:cs="宋体"/>
        </w:rPr>
      </w:pPr>
      <w:r>
        <w:rPr>
          <w:rFonts w:hint="eastAsia" w:hAnsi="宋体" w:cs="宋体"/>
        </w:rPr>
        <w:t>JT/T 1078  道路运输车辆卫星定位系统 视频通讯协议</w:t>
      </w:r>
    </w:p>
    <w:p>
      <w:pPr>
        <w:pStyle w:val="20"/>
      </w:pPr>
      <w:r>
        <w:rPr>
          <w:rFonts w:hint="eastAsia"/>
        </w:rPr>
        <w:t>QC/T 53  吸粪车</w:t>
      </w:r>
    </w:p>
    <w:p>
      <w:pPr>
        <w:pStyle w:val="20"/>
      </w:pPr>
      <w:r>
        <w:rPr>
          <w:rFonts w:hint="eastAsia"/>
        </w:rPr>
        <w:t>QC/T 453</w:t>
      </w:r>
      <w:r>
        <w:rPr>
          <w:rFonts w:hint="eastAsia"/>
          <w:lang w:eastAsia="zh-CN"/>
        </w:rPr>
        <w:t>—</w:t>
      </w:r>
      <w:r>
        <w:rPr>
          <w:rFonts w:hint="eastAsia"/>
          <w:lang w:val="en-US" w:eastAsia="zh-CN"/>
        </w:rPr>
        <w:t>2019</w:t>
      </w:r>
      <w:r>
        <w:rPr>
          <w:rFonts w:hint="eastAsia"/>
        </w:rPr>
        <w:t xml:space="preserve">  厢式运输车</w:t>
      </w:r>
    </w:p>
    <w:p>
      <w:pPr>
        <w:pStyle w:val="20"/>
      </w:pPr>
      <w:r>
        <w:rPr>
          <w:rFonts w:hint="eastAsia"/>
        </w:rPr>
        <w:t>QC/T 652  吸污车</w:t>
      </w:r>
    </w:p>
    <w:p>
      <w:pPr>
        <w:pStyle w:val="20"/>
      </w:pPr>
      <w:r>
        <w:rPr>
          <w:rFonts w:hint="eastAsia"/>
        </w:rPr>
        <w:t>QC/T 653—2000  运油车、加油车技术条件</w:t>
      </w:r>
    </w:p>
    <w:p>
      <w:pPr>
        <w:pStyle w:val="20"/>
        <w:rPr>
          <w:rFonts w:hAnsi="宋体" w:cs="宋体"/>
        </w:rPr>
      </w:pPr>
      <w:r>
        <w:rPr>
          <w:rFonts w:hint="eastAsia" w:hAnsi="宋体" w:cs="宋体"/>
        </w:rPr>
        <w:t>QC/T 699  车用起重尾板</w:t>
      </w:r>
    </w:p>
    <w:p>
      <w:pPr>
        <w:pStyle w:val="20"/>
        <w:rPr>
          <w:rFonts w:hAnsi="宋体" w:cs="宋体"/>
        </w:rPr>
      </w:pPr>
      <w:r>
        <w:rPr>
          <w:rFonts w:hint="eastAsia" w:hAnsi="宋体" w:cs="宋体"/>
        </w:rPr>
        <w:t>QC/T 936  车厢可卸式垃圾车</w:t>
      </w:r>
    </w:p>
    <w:p>
      <w:pPr>
        <w:pStyle w:val="20"/>
        <w:rPr>
          <w:rFonts w:hint="eastAsia" w:hAnsi="宋体" w:cs="宋体"/>
        </w:rPr>
      </w:pPr>
      <w:r>
        <w:rPr>
          <w:rFonts w:hint="eastAsia" w:hAnsi="宋体" w:cs="宋体"/>
        </w:rPr>
        <w:t>DB11/T 2018—2022  餐厨垃圾运输车辆称重系统技术规范</w:t>
      </w:r>
    </w:p>
    <w:p>
      <w:pPr>
        <w:pStyle w:val="40"/>
        <w:rPr>
          <w:rFonts w:hint="eastAsia"/>
        </w:rPr>
      </w:pPr>
      <w:bookmarkStart w:id="32" w:name="_Toc182851122"/>
      <w:bookmarkEnd w:id="32"/>
      <w:bookmarkStart w:id="33" w:name="_Toc182854514"/>
      <w:bookmarkStart w:id="34" w:name="_Toc182854551"/>
      <w:r>
        <w:rPr>
          <w:rFonts w:hint="eastAsia"/>
          <w:lang w:eastAsia="zh-CN"/>
        </w:rPr>
        <w:t>术语</w:t>
      </w:r>
      <w:r>
        <w:rPr>
          <w:rFonts w:hint="eastAsia"/>
        </w:rPr>
        <w:t>和定义</w:t>
      </w:r>
      <w:bookmarkEnd w:id="33"/>
      <w:bookmarkEnd w:id="34"/>
    </w:p>
    <w:p>
      <w:pPr>
        <w:pStyle w:val="20"/>
        <w:rPr>
          <w:rFonts w:hint="eastAsia"/>
        </w:rPr>
      </w:pPr>
      <w:r>
        <w:rPr>
          <w:rFonts w:hint="eastAsia"/>
        </w:rPr>
        <w:t>下列</w:t>
      </w:r>
      <w:r>
        <w:t>术语和定义适用于本文件。</w:t>
      </w:r>
    </w:p>
    <w:p>
      <w:pPr>
        <w:pStyle w:val="37"/>
        <w:rPr>
          <w:rFonts w:hint="eastAsia" w:hAnsi="黑体"/>
        </w:rPr>
      </w:pPr>
      <w:bookmarkStart w:id="35" w:name="_Toc182854515"/>
    </w:p>
    <w:p>
      <w:pPr>
        <w:pStyle w:val="37"/>
        <w:numPr>
          <w:ilvl w:val="0"/>
          <w:numId w:val="0"/>
        </w:numPr>
        <w:ind w:leftChars="0" w:firstLine="420" w:firstLineChars="200"/>
        <w:rPr>
          <w:rFonts w:hint="eastAsia" w:hAnsi="黑体"/>
        </w:rPr>
      </w:pPr>
      <w:r>
        <w:rPr>
          <w:rFonts w:hint="eastAsia" w:hAnsi="黑体"/>
        </w:rPr>
        <w:t>餐厨废弃油脂 waste cooking oil</w:t>
      </w:r>
      <w:bookmarkEnd w:id="35"/>
    </w:p>
    <w:p>
      <w:pPr>
        <w:pStyle w:val="20"/>
        <w:rPr>
          <w:rFonts w:hint="eastAsia"/>
          <w:color w:val="000000"/>
        </w:rPr>
      </w:pPr>
      <w:r>
        <w:rPr>
          <w:rFonts w:hint="eastAsia"/>
          <w:color w:val="000000"/>
        </w:rPr>
        <w:t>餐饮服务过程中废弃的动植物油脂，包括经隔油池、油水分离器分离后产生和餐厨垃圾中分离出的</w:t>
      </w:r>
    </w:p>
    <w:p>
      <w:pPr>
        <w:pStyle w:val="20"/>
        <w:ind w:left="0" w:leftChars="0"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油脂。</w:t>
      </w:r>
    </w:p>
    <w:p>
      <w:pPr>
        <w:pStyle w:val="37"/>
        <w:rPr>
          <w:rFonts w:hint="eastAsia" w:hAnsi="黑体"/>
        </w:rPr>
      </w:pPr>
      <w:bookmarkStart w:id="36" w:name="_Toc182854519"/>
    </w:p>
    <w:p>
      <w:pPr>
        <w:pStyle w:val="37"/>
        <w:numPr>
          <w:ilvl w:val="0"/>
          <w:numId w:val="0"/>
        </w:numPr>
        <w:ind w:leftChars="0" w:firstLine="420" w:firstLineChars="200"/>
        <w:rPr>
          <w:rFonts w:hint="eastAsia" w:hAnsi="黑体"/>
        </w:rPr>
      </w:pPr>
      <w:r>
        <w:rPr>
          <w:rFonts w:hint="eastAsia" w:hAnsi="黑体"/>
        </w:rPr>
        <w:t>餐厨废弃油脂运输车辆 waste cooking oil transport vehicle</w:t>
      </w:r>
      <w:bookmarkEnd w:id="36"/>
    </w:p>
    <w:p>
      <w:pPr>
        <w:pStyle w:val="20"/>
        <w:rPr>
          <w:rFonts w:hint="eastAsia" w:eastAsia="宋体"/>
          <w:lang w:eastAsia="zh-CN"/>
        </w:rPr>
      </w:pPr>
      <w:r>
        <w:rPr>
          <w:rFonts w:hint="eastAsia"/>
          <w:color w:val="000000"/>
        </w:rPr>
        <w:t>用于收集和转运餐厨废弃油脂的专用车辆</w:t>
      </w:r>
      <w:r>
        <w:rPr>
          <w:rFonts w:hint="eastAsia"/>
          <w:color w:val="000000"/>
          <w:lang w:eastAsia="zh-CN"/>
        </w:rPr>
        <w:t>。</w:t>
      </w:r>
    </w:p>
    <w:p>
      <w:pPr>
        <w:pStyle w:val="40"/>
        <w:rPr>
          <w:rFonts w:hint="eastAsia"/>
        </w:rPr>
      </w:pPr>
      <w:bookmarkStart w:id="37" w:name="_Toc182854552"/>
      <w:bookmarkStart w:id="38" w:name="_Toc182854520"/>
      <w:r>
        <w:rPr>
          <w:rFonts w:hint="eastAsia"/>
        </w:rPr>
        <w:t>一般要求</w:t>
      </w:r>
      <w:bookmarkEnd w:id="37"/>
      <w:bookmarkEnd w:id="38"/>
    </w:p>
    <w:p>
      <w:pPr>
        <w:pStyle w:val="37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餐厨废弃油脂运输车辆</w:t>
      </w:r>
      <w:r>
        <w:rPr>
          <w:rFonts w:hint="eastAsia" w:ascii="宋体" w:hAnsi="宋体" w:eastAsia="宋体" w:cs="宋体"/>
          <w:color w:val="auto"/>
          <w:lang w:eastAsia="zh-CN"/>
        </w:rPr>
        <w:t>应有安全警示标志。</w:t>
      </w:r>
    </w:p>
    <w:p>
      <w:pPr>
        <w:pStyle w:val="37"/>
      </w:pPr>
      <w:bookmarkStart w:id="39" w:name="_Toc182854522"/>
      <w:r>
        <w:rPr>
          <w:rFonts w:hint="eastAsia" w:ascii="宋体" w:hAnsi="宋体" w:eastAsia="宋体" w:cs="宋体"/>
        </w:rPr>
        <w:t>餐厨废弃油脂运输车辆</w:t>
      </w:r>
      <w:r>
        <w:rPr>
          <w:rFonts w:hint="eastAsia" w:ascii="宋体" w:hAnsi="宋体" w:eastAsia="宋体" w:cs="宋体"/>
          <w:color w:val="000000"/>
        </w:rPr>
        <w:t>应在易见、取用方便的位置设置灭火器。</w:t>
      </w:r>
      <w:bookmarkEnd w:id="39"/>
    </w:p>
    <w:p>
      <w:pPr>
        <w:pStyle w:val="37"/>
      </w:pPr>
      <w:bookmarkStart w:id="40" w:name="_Toc182854523"/>
      <w:r>
        <w:rPr>
          <w:rFonts w:hint="eastAsia" w:ascii="宋体" w:hAnsi="宋体" w:eastAsia="宋体" w:cs="宋体"/>
        </w:rPr>
        <w:t>餐厨废弃油脂运输车辆的涂装、标识应符合相关要求。</w:t>
      </w:r>
      <w:bookmarkEnd w:id="40"/>
    </w:p>
    <w:p>
      <w:pPr>
        <w:pStyle w:val="40"/>
        <w:rPr>
          <w:rFonts w:hint="eastAsia"/>
        </w:rPr>
      </w:pPr>
      <w:bookmarkStart w:id="41" w:name="_Toc182854525"/>
      <w:bookmarkStart w:id="42" w:name="_Toc182854553"/>
      <w:r>
        <w:rPr>
          <w:rFonts w:hint="eastAsia"/>
          <w:lang w:eastAsia="zh-CN"/>
        </w:rPr>
        <w:t>技术</w:t>
      </w:r>
      <w:r>
        <w:rPr>
          <w:rFonts w:hint="eastAsia"/>
        </w:rPr>
        <w:t>要求</w:t>
      </w:r>
      <w:bookmarkEnd w:id="41"/>
      <w:bookmarkEnd w:id="42"/>
    </w:p>
    <w:p>
      <w:pPr>
        <w:pStyle w:val="37"/>
        <w:rPr>
          <w:rFonts w:hint="eastAsia"/>
        </w:rPr>
      </w:pPr>
      <w:r>
        <w:rPr>
          <w:rFonts w:hint="eastAsia" w:ascii="宋体" w:hAnsi="宋体" w:eastAsia="宋体" w:cs="宋体"/>
        </w:rPr>
        <w:t>餐厨废弃油脂运输车辆应为</w:t>
      </w:r>
      <w:r>
        <w:rPr>
          <w:rFonts w:hint="eastAsia" w:ascii="宋体" w:hAnsi="宋体" w:eastAsia="宋体" w:cs="宋体"/>
          <w:lang w:eastAsia="zh-CN"/>
        </w:rPr>
        <w:t>厢式车或罐式车。</w:t>
      </w:r>
    </w:p>
    <w:p>
      <w:pPr>
        <w:pStyle w:val="37"/>
        <w:rPr>
          <w:rFonts w:hint="eastAsia" w:ascii="宋体" w:hAnsi="宋体" w:eastAsia="宋体" w:cs="宋体"/>
        </w:rPr>
      </w:pPr>
      <w:bookmarkStart w:id="43" w:name="_Toc182854527"/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车的</w:t>
      </w:r>
      <w:r>
        <w:rPr>
          <w:rFonts w:hint="eastAsia" w:ascii="宋体" w:hAnsi="宋体" w:eastAsia="宋体" w:cs="宋体"/>
        </w:rPr>
        <w:t>厢体应</w:t>
      </w:r>
      <w:r>
        <w:rPr>
          <w:rFonts w:hint="eastAsia" w:ascii="宋体" w:hAnsi="宋体" w:eastAsia="宋体" w:cs="宋体"/>
          <w:lang w:eastAsia="zh-CN"/>
        </w:rPr>
        <w:t>密闭、无遗撒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车辆应</w:t>
      </w:r>
      <w:r>
        <w:rPr>
          <w:rFonts w:hint="eastAsia" w:ascii="宋体" w:hAnsi="宋体" w:eastAsia="宋体" w:cs="宋体"/>
          <w:color w:val="auto"/>
        </w:rPr>
        <w:t>符合QC/T 453</w:t>
      </w:r>
      <w:r>
        <w:rPr>
          <w:rFonts w:hint="eastAsia" w:ascii="宋体" w:hAnsi="宋体" w:eastAsia="宋体" w:cs="宋体"/>
          <w:color w:val="auto"/>
          <w:lang w:eastAsia="zh-CN"/>
        </w:rPr>
        <w:t>—</w:t>
      </w:r>
      <w:r>
        <w:rPr>
          <w:rFonts w:hint="eastAsia" w:ascii="宋体" w:hAnsi="宋体" w:eastAsia="宋体" w:cs="宋体"/>
          <w:color w:val="auto"/>
          <w:lang w:val="en-US" w:eastAsia="zh-CN"/>
        </w:rPr>
        <w:t>2019</w:t>
      </w:r>
      <w:r>
        <w:rPr>
          <w:rFonts w:hint="eastAsia" w:ascii="宋体" w:hAnsi="宋体" w:eastAsia="宋体" w:cs="宋体"/>
          <w:color w:val="auto"/>
          <w:lang w:eastAsia="zh-CN"/>
        </w:rPr>
        <w:t>中</w:t>
      </w:r>
      <w:r>
        <w:rPr>
          <w:rFonts w:hint="eastAsia" w:ascii="宋体" w:hAnsi="宋体" w:eastAsia="宋体" w:cs="宋体"/>
          <w:color w:val="auto"/>
          <w:lang w:val="en-US" w:eastAsia="zh-CN"/>
        </w:rPr>
        <w:t>4.15.2—4.15.9的</w:t>
      </w:r>
      <w:r>
        <w:rPr>
          <w:rFonts w:hint="eastAsia" w:ascii="宋体" w:hAnsi="宋体" w:eastAsia="宋体" w:cs="宋体"/>
          <w:color w:val="auto"/>
        </w:rPr>
        <w:t>规定</w:t>
      </w:r>
      <w:bookmarkEnd w:id="43"/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pStyle w:val="37"/>
        <w:rPr>
          <w:rFonts w:ascii="宋体" w:hAnsi="宋体" w:eastAsia="宋体" w:cs="宋体"/>
        </w:rPr>
      </w:pPr>
      <w:bookmarkStart w:id="44" w:name="_Toc182854531"/>
      <w:bookmarkStart w:id="45" w:name="_Toc182854530"/>
      <w:bookmarkStart w:id="46" w:name="_Toc182854528"/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车的</w:t>
      </w:r>
      <w:r>
        <w:rPr>
          <w:rFonts w:hint="eastAsia" w:ascii="宋体" w:hAnsi="宋体" w:eastAsia="宋体" w:cs="宋体"/>
        </w:rPr>
        <w:t>厢体内壁应光滑无尖角、易于清洗，厢体表面应耐磨、耐腐蚀，厢体底部宜配有排污装置。</w:t>
      </w:r>
      <w:bookmarkEnd w:id="44"/>
    </w:p>
    <w:p>
      <w:pPr>
        <w:pStyle w:val="37"/>
        <w:rPr>
          <w:rFonts w:hint="eastAsia" w:ascii="宋体" w:hAnsi="宋体" w:eastAsia="宋体" w:cs="宋体"/>
        </w:rPr>
      </w:pPr>
      <w:bookmarkStart w:id="47" w:name="_Toc182854532"/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</w:t>
      </w:r>
      <w:r>
        <w:rPr>
          <w:rFonts w:hint="eastAsia" w:ascii="宋体" w:hAnsi="宋体" w:eastAsia="宋体" w:cs="宋体"/>
        </w:rPr>
        <w:t>应有放置专用作业工具</w:t>
      </w:r>
      <w:r>
        <w:rPr>
          <w:rFonts w:hint="eastAsia" w:ascii="宋体" w:hAnsi="宋体" w:eastAsia="宋体" w:cs="宋体"/>
          <w:lang w:eastAsia="zh-CN"/>
        </w:rPr>
        <w:t>和电子秤</w:t>
      </w:r>
      <w:r>
        <w:rPr>
          <w:rFonts w:hint="eastAsia" w:ascii="宋体" w:hAnsi="宋体" w:eastAsia="宋体" w:cs="宋体"/>
        </w:rPr>
        <w:t>的存储空间，作业工具含清掏和现场清洗工具、废弃油脂收集桶小推车等</w:t>
      </w:r>
      <w:bookmarkEnd w:id="47"/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37"/>
        <w:rPr>
          <w:rFonts w:hint="eastAsia" w:ascii="宋体" w:hAnsi="宋体" w:eastAsia="宋体" w:cs="宋体"/>
        </w:rPr>
      </w:pPr>
      <w:bookmarkStart w:id="48" w:name="_Toc182854533"/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</w:t>
      </w:r>
      <w:r>
        <w:rPr>
          <w:rFonts w:hint="eastAsia" w:ascii="宋体" w:hAnsi="宋体" w:eastAsia="宋体" w:cs="宋体"/>
          <w:color w:val="000000"/>
          <w:lang w:eastAsia="zh-CN"/>
        </w:rPr>
        <w:t>宜</w:t>
      </w:r>
      <w:r>
        <w:rPr>
          <w:rFonts w:hint="eastAsia" w:ascii="宋体" w:hAnsi="宋体" w:eastAsia="宋体" w:cs="宋体"/>
        </w:rPr>
        <w:t>适用于装载容积为50L的圆柱或长方体餐厨废弃油脂收集桶，收集桶应同时配有安装式提手和端手式提手，</w:t>
      </w:r>
      <w:r>
        <w:rPr>
          <w:rFonts w:hint="eastAsia" w:ascii="宋体" w:hAnsi="宋体" w:eastAsia="宋体" w:cs="宋体"/>
          <w:color w:val="000000"/>
        </w:rPr>
        <w:t>收集桶满载拧紧桶盖横置于平地时应无泄漏，</w:t>
      </w:r>
      <w:r>
        <w:rPr>
          <w:rFonts w:hint="eastAsia" w:ascii="宋体" w:hAnsi="宋体" w:eastAsia="宋体" w:cs="宋体"/>
        </w:rPr>
        <w:t>并符合GB/T 13508的规定。50L餐厨废弃油脂收集桶外形尺寸见表1。</w:t>
      </w:r>
      <w:bookmarkEnd w:id="48"/>
    </w:p>
    <w:p>
      <w:pPr>
        <w:pStyle w:val="121"/>
        <w:rPr>
          <w:rFonts w:hint="eastAsia" w:ascii="方正黑体_GBK" w:hAnsi="方正黑体_GBK" w:eastAsia="方正黑体_GBK" w:cs="方正黑体_GBK"/>
          <w:szCs w:val="21"/>
        </w:rPr>
      </w:pPr>
      <w:r>
        <w:rPr>
          <w:rFonts w:hint="eastAsia" w:ascii="方正黑体_GBK" w:hAnsi="方正黑体_GBK" w:eastAsia="方正黑体_GBK" w:cs="方正黑体_GBK"/>
          <w:szCs w:val="21"/>
        </w:rPr>
        <w:t>50L餐厨废弃油脂收集桶外形尺寸</w:t>
      </w:r>
    </w:p>
    <w:tbl>
      <w:tblPr>
        <w:tblStyle w:val="28"/>
        <w:tblW w:w="95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2"/>
        <w:gridCol w:w="23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外形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桶身高（mm）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桶身边长/直径（mm）</w:t>
            </w:r>
          </w:p>
        </w:tc>
        <w:tc>
          <w:tcPr>
            <w:tcW w:w="239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桶口直径（mm）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圆柱体</w:t>
            </w:r>
          </w:p>
        </w:tc>
        <w:tc>
          <w:tcPr>
            <w:tcW w:w="239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580±20</w:t>
            </w:r>
          </w:p>
        </w:tc>
        <w:tc>
          <w:tcPr>
            <w:tcW w:w="239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380±20</w:t>
            </w:r>
          </w:p>
        </w:tc>
        <w:tc>
          <w:tcPr>
            <w:tcW w:w="239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210±20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长方体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580±20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370±20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pStyle w:val="20"/>
              <w:ind w:firstLine="0" w:firstLineChars="0"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210±20</w:t>
            </w:r>
          </w:p>
        </w:tc>
      </w:tr>
    </w:tbl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车的</w:t>
      </w:r>
      <w:r>
        <w:rPr>
          <w:rFonts w:hint="eastAsia" w:ascii="宋体" w:hAnsi="宋体" w:eastAsia="宋体" w:cs="宋体"/>
        </w:rPr>
        <w:t>厢体应具有餐厨废弃油脂收集桶的固定措施。</w:t>
      </w:r>
    </w:p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按照作业方式不同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厢式</w:t>
      </w:r>
      <w:r>
        <w:rPr>
          <w:rFonts w:hint="eastAsia" w:ascii="宋体" w:hAnsi="宋体" w:eastAsia="宋体" w:cs="宋体"/>
          <w:lang w:eastAsia="zh-CN"/>
        </w:rPr>
        <w:t>车</w:t>
      </w:r>
      <w:r>
        <w:rPr>
          <w:rFonts w:hint="eastAsia" w:ascii="宋体" w:hAnsi="宋体" w:eastAsia="宋体" w:cs="宋体"/>
        </w:rPr>
        <w:t>分为起重尾板装卸收集桶方式作业的厢式</w:t>
      </w:r>
      <w:r>
        <w:rPr>
          <w:rFonts w:hint="eastAsia" w:ascii="宋体" w:hAnsi="宋体" w:eastAsia="宋体" w:cs="宋体"/>
          <w:lang w:eastAsia="zh-CN"/>
        </w:rPr>
        <w:t>车（以下简称“尾板厢式车”）和</w:t>
      </w:r>
      <w:r>
        <w:rPr>
          <w:rFonts w:hint="eastAsia" w:ascii="宋体" w:hAnsi="宋体" w:eastAsia="宋体" w:cs="宋体"/>
        </w:rPr>
        <w:t>人工装卸收集桶方式作业的厢式</w:t>
      </w:r>
      <w:r>
        <w:rPr>
          <w:rFonts w:hint="eastAsia" w:ascii="宋体" w:hAnsi="宋体" w:eastAsia="宋体" w:cs="宋体"/>
          <w:lang w:eastAsia="zh-CN"/>
        </w:rPr>
        <w:t>车（以下简称“无尾板厢式车”）。</w:t>
      </w:r>
    </w:p>
    <w:p>
      <w:pPr>
        <w:pStyle w:val="37"/>
        <w:rPr>
          <w:rFonts w:hint="eastAsia" w:ascii="宋体" w:hAnsi="宋体" w:eastAsia="宋体" w:cs="宋体"/>
        </w:rPr>
      </w:pPr>
      <w:bookmarkStart w:id="49" w:name="_Toc182854536"/>
      <w:r>
        <w:rPr>
          <w:rFonts w:hint="eastAsia" w:ascii="宋体" w:hAnsi="宋体" w:eastAsia="宋体" w:cs="宋体"/>
          <w:lang w:eastAsia="zh-CN"/>
        </w:rPr>
        <w:t>尾板厢式车的</w:t>
      </w:r>
      <w:r>
        <w:rPr>
          <w:rFonts w:hint="eastAsia" w:ascii="宋体" w:hAnsi="宋体" w:eastAsia="宋体" w:cs="宋体"/>
        </w:rPr>
        <w:t>起重尾板应能够放置不少于2个50L的废弃油脂收集桶，并留有1人站立位置，起重尾板的额定载荷应≥175kg，并符合QC/T 699的规定。车辆最大允许总质量、尾板额定载荷与尾板总质量最大值间的对应关系应符合GB/T 37706—2019中的表1的规定。</w:t>
      </w:r>
      <w:bookmarkEnd w:id="49"/>
    </w:p>
    <w:p>
      <w:pPr>
        <w:pStyle w:val="3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 w:cs="宋体"/>
          <w:lang w:eastAsia="zh-CN"/>
        </w:rPr>
        <w:t>尾板厢式车的</w:t>
      </w:r>
      <w:r>
        <w:rPr>
          <w:rFonts w:hint="eastAsia" w:ascii="宋体" w:hAnsi="宋体" w:eastAsia="宋体" w:cs="宋体"/>
        </w:rPr>
        <w:t>起重尾板</w:t>
      </w:r>
      <w:r>
        <w:rPr>
          <w:rFonts w:hint="eastAsia" w:ascii="宋体" w:hAnsi="宋体" w:eastAsia="宋体" w:cs="宋体"/>
          <w:lang w:eastAsia="zh-CN"/>
        </w:rPr>
        <w:t>宜</w:t>
      </w:r>
      <w:r>
        <w:rPr>
          <w:rFonts w:hint="eastAsia" w:ascii="宋体" w:hAnsi="宋体" w:eastAsia="宋体" w:cs="宋体"/>
        </w:rPr>
        <w:t>装有称重系统，单次称量最大允许误差应</w:t>
      </w:r>
      <w:r>
        <w:rPr>
          <w:rFonts w:hint="eastAsia" w:ascii="宋体" w:hAnsi="宋体" w:eastAsia="宋体" w:cs="宋体"/>
          <w:lang w:eastAsia="zh-CN"/>
        </w:rPr>
        <w:t>符合</w:t>
      </w:r>
      <w:r>
        <w:rPr>
          <w:rFonts w:hint="eastAsia" w:ascii="宋体" w:hAnsi="宋体" w:eastAsia="宋体" w:cs="宋体"/>
        </w:rPr>
        <w:t>DB11/T 2018—2022中表1的规定。</w:t>
      </w:r>
    </w:p>
    <w:p>
      <w:pPr>
        <w:pStyle w:val="37"/>
        <w:rPr>
          <w:rFonts w:hint="eastAsia" w:ascii="宋体" w:hAnsi="宋体" w:eastAsia="宋体" w:cs="宋体"/>
        </w:rPr>
      </w:pPr>
      <w:bookmarkStart w:id="50" w:name="_Toc182854535"/>
      <w:r>
        <w:rPr>
          <w:rFonts w:hint="eastAsia" w:ascii="宋体" w:hAnsi="宋体" w:eastAsia="宋体" w:cs="宋体"/>
          <w:lang w:eastAsia="zh-CN"/>
        </w:rPr>
        <w:t>无尾板厢式车的</w:t>
      </w:r>
      <w:r>
        <w:rPr>
          <w:rFonts w:hint="eastAsia" w:ascii="宋体" w:hAnsi="宋体" w:eastAsia="宋体" w:cs="宋体"/>
        </w:rPr>
        <w:t>厢体</w:t>
      </w:r>
      <w:bookmarkEnd w:id="50"/>
      <w:r>
        <w:rPr>
          <w:rFonts w:hint="eastAsia" w:ascii="宋体" w:hAnsi="宋体" w:eastAsia="宋体" w:cs="宋体"/>
          <w:color w:val="auto"/>
          <w:lang w:eastAsia="zh-CN"/>
        </w:rPr>
        <w:t>宜有后门和侧门。</w:t>
      </w:r>
    </w:p>
    <w:p>
      <w:pPr>
        <w:pStyle w:val="3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 w:cs="宋体"/>
          <w:color w:val="000000"/>
          <w:lang w:eastAsia="zh-CN"/>
        </w:rPr>
        <w:t>罐式车的</w:t>
      </w:r>
      <w:r>
        <w:rPr>
          <w:rFonts w:hint="eastAsia" w:ascii="宋体" w:hAnsi="宋体" w:eastAsia="宋体"/>
          <w:color w:val="000000"/>
        </w:rPr>
        <w:t>罐体应密闭、无遗撒，</w:t>
      </w:r>
      <w:r>
        <w:rPr>
          <w:rFonts w:hint="eastAsia" w:ascii="宋体" w:hAnsi="宋体" w:eastAsia="宋体"/>
          <w:color w:val="000000"/>
          <w:lang w:eastAsia="zh-CN"/>
        </w:rPr>
        <w:t>其中</w:t>
      </w:r>
      <w:r>
        <w:rPr>
          <w:rFonts w:hint="eastAsia" w:ascii="宋体" w:hAnsi="宋体" w:eastAsia="宋体"/>
          <w:color w:val="000000"/>
        </w:rPr>
        <w:t>用于</w:t>
      </w:r>
      <w:r>
        <w:rPr>
          <w:rFonts w:hint="eastAsia" w:ascii="宋体" w:hAnsi="宋体" w:eastAsia="宋体"/>
          <w:color w:val="000000"/>
          <w:lang w:eastAsia="zh-CN"/>
        </w:rPr>
        <w:t>收集、</w:t>
      </w:r>
      <w:r>
        <w:rPr>
          <w:rFonts w:hint="eastAsia" w:ascii="宋体" w:hAnsi="宋体" w:eastAsia="宋体"/>
          <w:color w:val="000000"/>
        </w:rPr>
        <w:t>转运作业</w:t>
      </w:r>
      <w:r>
        <w:rPr>
          <w:rFonts w:hint="eastAsia" w:ascii="宋体" w:hAnsi="宋体" w:eastAsia="宋体"/>
          <w:color w:val="000000"/>
          <w:lang w:eastAsia="zh-CN"/>
        </w:rPr>
        <w:t>罐式车的</w:t>
      </w:r>
      <w:r>
        <w:rPr>
          <w:rFonts w:hint="eastAsia" w:ascii="宋体" w:hAnsi="宋体" w:eastAsia="宋体"/>
          <w:color w:val="000000"/>
        </w:rPr>
        <w:t>罐体应具有抽吸和排放功能，</w:t>
      </w:r>
      <w:r>
        <w:rPr>
          <w:rFonts w:hint="eastAsia" w:ascii="宋体" w:hAnsi="宋体" w:eastAsia="宋体"/>
          <w:color w:val="000000"/>
          <w:lang w:eastAsia="zh-CN"/>
        </w:rPr>
        <w:t>车辆应</w:t>
      </w:r>
      <w:r>
        <w:rPr>
          <w:rFonts w:hint="eastAsia" w:ascii="宋体" w:hAnsi="宋体" w:eastAsia="宋体"/>
          <w:color w:val="000000"/>
        </w:rPr>
        <w:t>符合QC/T 53或QC/T 652的规定</w:t>
      </w:r>
      <w:r>
        <w:rPr>
          <w:rFonts w:hint="eastAsia" w:ascii="宋体" w:hAnsi="宋体" w:eastAsia="宋体"/>
          <w:color w:val="000000"/>
          <w:lang w:eastAsia="zh-CN"/>
        </w:rPr>
        <w:t>，用于预处理厂外运使用的罐式车应符合 QC/T 653－2000 中的4、5.1和 5.2的规定。</w:t>
      </w:r>
    </w:p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根据实际作业需求，可选用车厢可卸式运输车辆，厢体应密闭、无遗撒，车辆应符合QC/T 936的规定</w:t>
      </w:r>
      <w:r>
        <w:rPr>
          <w:rFonts w:hint="eastAsia" w:ascii="宋体" w:hAnsi="宋体" w:eastAsia="宋体" w:cs="宋体"/>
        </w:rPr>
        <w:t>。</w:t>
      </w:r>
    </w:p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除</w:t>
      </w:r>
      <w:r>
        <w:rPr>
          <w:rFonts w:hint="eastAsia" w:ascii="宋体" w:hAnsi="宋体" w:eastAsia="宋体"/>
          <w:color w:val="000000"/>
          <w:lang w:eastAsia="zh-CN"/>
        </w:rPr>
        <w:t>预处理厂外运使用的运输车辆外</w:t>
      </w:r>
      <w:r>
        <w:rPr>
          <w:rFonts w:hint="eastAsia" w:ascii="宋体" w:hAnsi="宋体" w:eastAsia="宋体" w:cs="宋体"/>
          <w:lang w:eastAsia="zh-CN"/>
        </w:rPr>
        <w:t>，其他运输车辆</w:t>
      </w:r>
      <w:r>
        <w:rPr>
          <w:rFonts w:hint="eastAsia" w:ascii="宋体" w:hAnsi="宋体" w:eastAsia="宋体" w:cs="宋体"/>
        </w:rPr>
        <w:t>应使用纯电动或氢燃料电池</w:t>
      </w:r>
      <w:r>
        <w:rPr>
          <w:rFonts w:hint="eastAsia" w:ascii="宋体" w:hAnsi="宋体" w:eastAsia="宋体" w:cs="宋体"/>
          <w:color w:val="auto"/>
        </w:rPr>
        <w:t>汽</w:t>
      </w:r>
      <w:r>
        <w:rPr>
          <w:rFonts w:hint="eastAsia" w:ascii="宋体" w:hAnsi="宋体" w:eastAsia="宋体" w:cs="宋体"/>
        </w:rPr>
        <w:t>车。</w:t>
      </w:r>
    </w:p>
    <w:p>
      <w:pPr>
        <w:pStyle w:val="3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需进入地下车库作业的餐厨废弃油脂运输车辆，车辆高度应</w:t>
      </w:r>
      <w:r>
        <w:rPr>
          <w:rFonts w:hint="eastAsia" w:ascii="宋体" w:hAnsi="宋体" w:eastAsia="宋体" w:cs="宋体"/>
          <w:color w:val="000000"/>
        </w:rPr>
        <w:t>满足地下车库的限高要求</w:t>
      </w:r>
      <w:r>
        <w:rPr>
          <w:rFonts w:hint="eastAsia" w:ascii="宋体" w:hAnsi="宋体" w:eastAsia="宋体" w:cs="宋体"/>
        </w:rPr>
        <w:t>，满载状态下</w:t>
      </w:r>
      <w:r>
        <w:rPr>
          <w:rFonts w:hint="eastAsia" w:ascii="宋体" w:hAnsi="宋体" w:eastAsia="宋体" w:cs="宋体"/>
          <w:color w:val="000000"/>
        </w:rPr>
        <w:t>最大爬坡度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东文宋体" w:hAnsi="东文宋体" w:eastAsia="东文宋体" w:cs="东文宋体"/>
        </w:rPr>
        <w:t>≥</w:t>
      </w:r>
      <w:r>
        <w:rPr>
          <w:rFonts w:hint="eastAsia" w:ascii="宋体" w:hAnsi="宋体" w:eastAsia="宋体" w:cs="宋体"/>
        </w:rPr>
        <w:t>15%。</w:t>
      </w:r>
      <w:bookmarkEnd w:id="45"/>
    </w:p>
    <w:bookmarkEnd w:id="46"/>
    <w:p>
      <w:pPr>
        <w:pStyle w:val="37"/>
        <w:rPr>
          <w:rFonts w:hint="eastAsia" w:ascii="宋体" w:hAnsi="宋体" w:eastAsia="宋体" w:cs="宋体"/>
        </w:rPr>
      </w:pPr>
      <w:bookmarkStart w:id="51" w:name="_Toc182854529"/>
      <w:r>
        <w:rPr>
          <w:rFonts w:hint="eastAsia" w:ascii="宋体" w:hAnsi="宋体" w:eastAsia="宋体" w:cs="宋体"/>
        </w:rPr>
        <w:t>餐厨废弃油脂运输车辆可根据</w:t>
      </w:r>
      <w:r>
        <w:rPr>
          <w:rFonts w:hint="eastAsia" w:ascii="宋体" w:hAnsi="宋体" w:eastAsia="宋体" w:cs="宋体"/>
          <w:lang w:eastAsia="zh-CN"/>
        </w:rPr>
        <w:t>实际使用需求</w:t>
      </w:r>
      <w:r>
        <w:rPr>
          <w:rFonts w:hint="eastAsia" w:ascii="宋体" w:hAnsi="宋体" w:eastAsia="宋体" w:cs="宋体"/>
        </w:rPr>
        <w:t>加装保温</w:t>
      </w:r>
      <w:r>
        <w:rPr>
          <w:rFonts w:hint="eastAsia" w:ascii="宋体" w:hAnsi="宋体" w:eastAsia="宋体" w:cs="宋体"/>
          <w:color w:val="auto"/>
          <w:lang w:eastAsia="zh-CN"/>
        </w:rPr>
        <w:t>设施</w:t>
      </w:r>
      <w:r>
        <w:rPr>
          <w:rFonts w:hint="eastAsia" w:ascii="宋体" w:hAnsi="宋体" w:eastAsia="宋体" w:cs="宋体"/>
        </w:rPr>
        <w:t>。</w:t>
      </w:r>
    </w:p>
    <w:bookmarkEnd w:id="51"/>
    <w:p>
      <w:pPr>
        <w:pStyle w:val="37"/>
        <w:rPr>
          <w:rFonts w:hint="eastAsia"/>
        </w:rPr>
      </w:pPr>
      <w:bookmarkStart w:id="52" w:name="_Toc182854537"/>
      <w:r>
        <w:rPr>
          <w:rFonts w:hint="eastAsia" w:ascii="宋体" w:hAnsi="宋体" w:eastAsia="宋体" w:cs="宋体"/>
        </w:rPr>
        <w:t>餐厨废弃油脂</w:t>
      </w:r>
      <w:r>
        <w:rPr>
          <w:rFonts w:hint="eastAsia" w:ascii="宋体" w:hAnsi="宋体" w:eastAsia="宋体" w:cs="宋体"/>
          <w:lang w:eastAsia="zh-CN"/>
        </w:rPr>
        <w:t>运输</w:t>
      </w:r>
      <w:r>
        <w:rPr>
          <w:rFonts w:hint="eastAsia" w:ascii="宋体" w:hAnsi="宋体" w:eastAsia="宋体" w:cs="宋体"/>
        </w:rPr>
        <w:t>车</w:t>
      </w:r>
      <w:r>
        <w:rPr>
          <w:rFonts w:hint="eastAsia" w:ascii="宋体" w:hAnsi="宋体" w:eastAsia="宋体" w:cs="宋体"/>
          <w:lang w:eastAsia="zh-CN"/>
        </w:rPr>
        <w:t>辆</w:t>
      </w:r>
      <w:r>
        <w:rPr>
          <w:rFonts w:hint="eastAsia" w:ascii="宋体" w:hAnsi="宋体" w:eastAsia="宋体" w:cs="宋体"/>
        </w:rPr>
        <w:t>应与餐厨废弃油脂</w:t>
      </w:r>
      <w:r>
        <w:rPr>
          <w:rFonts w:hint="eastAsia" w:ascii="宋体" w:hAnsi="宋体" w:eastAsia="宋体" w:cs="宋体"/>
          <w:lang w:eastAsia="zh-CN"/>
        </w:rPr>
        <w:t>运输各环节</w:t>
      </w:r>
      <w:r>
        <w:rPr>
          <w:rFonts w:hint="eastAsia" w:ascii="宋体" w:hAnsi="宋体" w:eastAsia="宋体" w:cs="宋体"/>
        </w:rPr>
        <w:t>相匹配，装卸方便、快捷。</w:t>
      </w:r>
      <w:bookmarkEnd w:id="52"/>
    </w:p>
    <w:p>
      <w:pPr>
        <w:pStyle w:val="40"/>
        <w:rPr>
          <w:rFonts w:hint="eastAsia"/>
        </w:rPr>
      </w:pPr>
      <w:bookmarkStart w:id="53" w:name="_Toc182854541"/>
      <w:bookmarkStart w:id="54" w:name="_Toc182854555"/>
      <w:r>
        <w:rPr>
          <w:rFonts w:hint="eastAsia"/>
        </w:rPr>
        <w:t>智能监控</w:t>
      </w:r>
      <w:bookmarkEnd w:id="53"/>
      <w:bookmarkEnd w:id="54"/>
    </w:p>
    <w:p>
      <w:pPr>
        <w:pStyle w:val="37"/>
        <w:rPr>
          <w:rFonts w:hint="eastAsia" w:ascii="宋体" w:hAnsi="宋体" w:eastAsia="宋体" w:cs="宋体"/>
        </w:rPr>
      </w:pPr>
      <w:bookmarkStart w:id="55" w:name="_Toc182854542"/>
      <w:r>
        <w:rPr>
          <w:rFonts w:hint="eastAsia" w:ascii="宋体" w:hAnsi="宋体" w:eastAsia="宋体" w:cs="宋体"/>
        </w:rPr>
        <w:t>餐厨废弃油脂运输车辆应优先安装北斗车载终端，车载终端应支持主要数据采集方式，并具有传输功能，车载终端应符合JT/T 794和JT/T 808的要求。</w:t>
      </w:r>
      <w:bookmarkEnd w:id="55"/>
    </w:p>
    <w:p>
      <w:pPr>
        <w:pStyle w:val="37"/>
        <w:rPr>
          <w:rFonts w:hint="eastAsia" w:ascii="宋体" w:hAnsi="宋体" w:eastAsia="宋体" w:cs="宋体"/>
        </w:rPr>
      </w:pPr>
      <w:bookmarkStart w:id="56" w:name="_Toc182854543"/>
      <w:r>
        <w:rPr>
          <w:rFonts w:hint="eastAsia" w:ascii="宋体" w:hAnsi="宋体" w:eastAsia="宋体" w:cs="宋体"/>
        </w:rPr>
        <w:t>车载终端</w:t>
      </w:r>
      <w:r>
        <w:rPr>
          <w:rFonts w:hint="eastAsia" w:ascii="宋体" w:hAnsi="宋体" w:eastAsia="宋体" w:cs="宋体"/>
          <w:color w:val="auto"/>
        </w:rPr>
        <w:t>应</w:t>
      </w:r>
      <w:r>
        <w:rPr>
          <w:rFonts w:hint="eastAsia" w:ascii="宋体" w:hAnsi="宋体" w:eastAsia="宋体" w:cs="宋体"/>
        </w:rPr>
        <w:t>具备位置、车速、行驶路线、车辆启停状态、行驶方向、行驶里程监测，以及接收短信等功能。</w:t>
      </w:r>
      <w:bookmarkEnd w:id="56"/>
    </w:p>
    <w:p>
      <w:pPr>
        <w:pStyle w:val="37"/>
        <w:rPr>
          <w:rFonts w:ascii="宋体" w:hAnsi="宋体" w:eastAsia="宋体"/>
        </w:rPr>
      </w:pPr>
      <w:bookmarkStart w:id="57" w:name="_Toc182854544"/>
      <w:r>
        <w:rPr>
          <w:rFonts w:hint="eastAsia" w:ascii="宋体" w:hAnsi="宋体" w:eastAsia="宋体"/>
          <w:color w:val="auto"/>
          <w:lang w:eastAsia="zh-CN"/>
        </w:rPr>
        <w:t>厢式</w:t>
      </w:r>
      <w:r>
        <w:rPr>
          <w:rFonts w:hint="eastAsia" w:ascii="宋体" w:hAnsi="宋体" w:eastAsia="宋体"/>
        </w:rPr>
        <w:t>车</w:t>
      </w:r>
      <w:r>
        <w:rPr>
          <w:rFonts w:hint="eastAsia" w:ascii="宋体" w:hAnsi="宋体" w:eastAsia="宋体"/>
          <w:color w:val="auto"/>
        </w:rPr>
        <w:t>应</w:t>
      </w:r>
      <w:r>
        <w:rPr>
          <w:rFonts w:hint="eastAsia" w:ascii="宋体" w:hAnsi="宋体" w:eastAsia="宋体"/>
        </w:rPr>
        <w:t>安装车载监控摄像机，车载监控摄像机应具备视频监控和拍照功能，监控图像应</w:t>
      </w:r>
      <w:r>
        <w:rPr>
          <w:rFonts w:hint="eastAsia" w:ascii="宋体" w:hAnsi="宋体" w:eastAsia="宋体"/>
          <w:color w:val="auto"/>
          <w:lang w:eastAsia="zh-CN"/>
        </w:rPr>
        <w:t>能够完整覆盖车厢内区域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lang w:eastAsia="zh-CN"/>
        </w:rPr>
        <w:t>图像</w:t>
      </w:r>
      <w:r>
        <w:rPr>
          <w:rFonts w:hint="eastAsia" w:ascii="宋体" w:hAnsi="宋体" w:eastAsia="宋体"/>
        </w:rPr>
        <w:t>分辨率应≥720P</w:t>
      </w:r>
      <w:r>
        <w:rPr>
          <w:rFonts w:hint="eastAsia" w:ascii="宋体" w:hAnsi="宋体" w:eastAsia="宋体"/>
          <w:lang w:eastAsia="zh-CN"/>
        </w:rPr>
        <w:t>并具有夜视功能</w:t>
      </w:r>
      <w:r>
        <w:rPr>
          <w:rFonts w:hint="eastAsia" w:ascii="宋体" w:hAnsi="宋体" w:eastAsia="宋体"/>
        </w:rPr>
        <w:t>。监控数据应符合JT/T 1078的要求。</w:t>
      </w:r>
      <w:bookmarkEnd w:id="57"/>
    </w:p>
    <w:p>
      <w:pPr>
        <w:pStyle w:val="37"/>
        <w:rPr>
          <w:rFonts w:hint="eastAsia" w:ascii="宋体" w:hAnsi="宋体" w:eastAsia="宋体" w:cs="宋体"/>
        </w:rPr>
      </w:pPr>
      <w:bookmarkStart w:id="58" w:name="_Toc182854545"/>
      <w:r>
        <w:rPr>
          <w:rFonts w:hint="eastAsia" w:ascii="宋体" w:hAnsi="宋体" w:eastAsia="宋体" w:cs="宋体"/>
        </w:rPr>
        <w:t>车载终端和车载监控摄像机的数据传输</w:t>
      </w:r>
      <w:r>
        <w:rPr>
          <w:rFonts w:hint="eastAsia" w:ascii="宋体" w:hAnsi="宋体" w:eastAsia="宋体" w:cs="宋体"/>
          <w:color w:val="auto"/>
        </w:rPr>
        <w:t>应</w:t>
      </w:r>
      <w:r>
        <w:rPr>
          <w:rFonts w:hint="eastAsia" w:ascii="宋体" w:hAnsi="宋体" w:eastAsia="宋体" w:cs="宋体"/>
        </w:rPr>
        <w:t>与相关管理部门的监管平台相匹配，并符合相关管理部门的技术要求，监控数据应能实时更新和在线上传。</w:t>
      </w:r>
      <w:bookmarkEnd w:id="58"/>
    </w:p>
    <w:p>
      <w:pPr>
        <w:pStyle w:val="37"/>
        <w:rPr>
          <w:szCs w:val="21"/>
        </w:rPr>
      </w:pPr>
      <w:bookmarkStart w:id="59" w:name="_Toc182854546"/>
      <w:r>
        <w:rPr>
          <w:rFonts w:hint="eastAsia" w:ascii="宋体" w:hAnsi="宋体" w:eastAsia="宋体" w:cs="宋体"/>
        </w:rPr>
        <w:t>车载终端和车载监控摄像机</w:t>
      </w:r>
      <w:r>
        <w:rPr>
          <w:rFonts w:hint="eastAsia" w:ascii="宋体" w:hAnsi="宋体" w:eastAsia="宋体" w:cs="宋体"/>
          <w:color w:val="auto"/>
        </w:rPr>
        <w:t>应</w:t>
      </w:r>
      <w:r>
        <w:rPr>
          <w:rFonts w:hint="eastAsia" w:ascii="宋体" w:hAnsi="宋体" w:eastAsia="宋体" w:cs="宋体"/>
        </w:rPr>
        <w:t>能自动记录并保存运输过程中的相关数据，存储时间不少于30天。</w:t>
      </w:r>
      <w:bookmarkEnd w:id="59"/>
    </w:p>
    <w:p>
      <w:pPr>
        <w:pStyle w:val="124"/>
        <w:rPr>
          <w:rFonts w:hint="eastAsia"/>
        </w:rPr>
      </w:pPr>
      <w:r>
        <w:t>_________________________________</w:t>
      </w:r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t>DBXX/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3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1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47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2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16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6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4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59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93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4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4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5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5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49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57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81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7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5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52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548E2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6D9F"/>
    <w:rsid w:val="001F3A19"/>
    <w:rsid w:val="002071CF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229"/>
    <w:rsid w:val="002E02A6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37F72"/>
    <w:rsid w:val="00343F73"/>
    <w:rsid w:val="00345060"/>
    <w:rsid w:val="003472E0"/>
    <w:rsid w:val="0035323B"/>
    <w:rsid w:val="003609D2"/>
    <w:rsid w:val="00363F22"/>
    <w:rsid w:val="00375564"/>
    <w:rsid w:val="00383191"/>
    <w:rsid w:val="00386DED"/>
    <w:rsid w:val="003912E7"/>
    <w:rsid w:val="00393947"/>
    <w:rsid w:val="0039601F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2FD4"/>
    <w:rsid w:val="003E5729"/>
    <w:rsid w:val="003F4EE0"/>
    <w:rsid w:val="00402153"/>
    <w:rsid w:val="00402FC1"/>
    <w:rsid w:val="00425082"/>
    <w:rsid w:val="00431DEB"/>
    <w:rsid w:val="00446B29"/>
    <w:rsid w:val="00453F9A"/>
    <w:rsid w:val="00471E91"/>
    <w:rsid w:val="00474675"/>
    <w:rsid w:val="0047470C"/>
    <w:rsid w:val="004A35F9"/>
    <w:rsid w:val="004B24C1"/>
    <w:rsid w:val="004C292F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93B48"/>
    <w:rsid w:val="005A01CB"/>
    <w:rsid w:val="005A58FF"/>
    <w:rsid w:val="005A5EAF"/>
    <w:rsid w:val="005A64C0"/>
    <w:rsid w:val="005B3C11"/>
    <w:rsid w:val="005C1C28"/>
    <w:rsid w:val="005C6DB5"/>
    <w:rsid w:val="005E19E7"/>
    <w:rsid w:val="005F0D35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82CAE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6CF4"/>
    <w:rsid w:val="006E3675"/>
    <w:rsid w:val="006E4A7F"/>
    <w:rsid w:val="00704DF6"/>
    <w:rsid w:val="0070651C"/>
    <w:rsid w:val="007132A3"/>
    <w:rsid w:val="00716421"/>
    <w:rsid w:val="00724EFB"/>
    <w:rsid w:val="00737881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7198C"/>
    <w:rsid w:val="00872C1F"/>
    <w:rsid w:val="00873B42"/>
    <w:rsid w:val="0087573C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11CA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0B75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CE44FA"/>
    <w:rsid w:val="00D0337B"/>
    <w:rsid w:val="00D079B2"/>
    <w:rsid w:val="00D114E9"/>
    <w:rsid w:val="00D25F87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A54FE"/>
    <w:rsid w:val="00DB0990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B38"/>
    <w:rsid w:val="00FC6358"/>
    <w:rsid w:val="00FD01CF"/>
    <w:rsid w:val="00FD320D"/>
    <w:rsid w:val="00FE23DE"/>
    <w:rsid w:val="0CFB76E3"/>
    <w:rsid w:val="173BBD28"/>
    <w:rsid w:val="17FE7ECF"/>
    <w:rsid w:val="1BF74D3E"/>
    <w:rsid w:val="1DBEB1B3"/>
    <w:rsid w:val="1FF33953"/>
    <w:rsid w:val="2D53E530"/>
    <w:rsid w:val="2EEE2C74"/>
    <w:rsid w:val="2FBF96B9"/>
    <w:rsid w:val="34671EB3"/>
    <w:rsid w:val="35FA99E3"/>
    <w:rsid w:val="37BF4D9F"/>
    <w:rsid w:val="37FB8075"/>
    <w:rsid w:val="37FFC739"/>
    <w:rsid w:val="3BF71B46"/>
    <w:rsid w:val="3CBFCE04"/>
    <w:rsid w:val="3D3BC497"/>
    <w:rsid w:val="3DFF3797"/>
    <w:rsid w:val="3EFE1B8F"/>
    <w:rsid w:val="3F3F0332"/>
    <w:rsid w:val="3F7F6748"/>
    <w:rsid w:val="3FB291F3"/>
    <w:rsid w:val="3FD7C420"/>
    <w:rsid w:val="3FFDEBF0"/>
    <w:rsid w:val="3FFE3091"/>
    <w:rsid w:val="474F5A18"/>
    <w:rsid w:val="47FFAA09"/>
    <w:rsid w:val="56FF0FDB"/>
    <w:rsid w:val="577B6A8E"/>
    <w:rsid w:val="5D5F9A01"/>
    <w:rsid w:val="5EBFE3B7"/>
    <w:rsid w:val="5EFFF3EE"/>
    <w:rsid w:val="5F9C9650"/>
    <w:rsid w:val="69BF14A3"/>
    <w:rsid w:val="6E7D9832"/>
    <w:rsid w:val="6EBCBDEF"/>
    <w:rsid w:val="6FFB2072"/>
    <w:rsid w:val="6FFB3883"/>
    <w:rsid w:val="6FFB8FF7"/>
    <w:rsid w:val="71E6BCD5"/>
    <w:rsid w:val="735B21F9"/>
    <w:rsid w:val="756DF113"/>
    <w:rsid w:val="76FDCD87"/>
    <w:rsid w:val="777DE6DB"/>
    <w:rsid w:val="777FEF40"/>
    <w:rsid w:val="77FB3DC4"/>
    <w:rsid w:val="77FE2AC9"/>
    <w:rsid w:val="79FF9537"/>
    <w:rsid w:val="7B7E0C9E"/>
    <w:rsid w:val="7BFD3AB9"/>
    <w:rsid w:val="7BFFBF4C"/>
    <w:rsid w:val="7C2FB6AF"/>
    <w:rsid w:val="7C7FD9F1"/>
    <w:rsid w:val="7D67EA61"/>
    <w:rsid w:val="7DAB1CBB"/>
    <w:rsid w:val="7E5FFDC4"/>
    <w:rsid w:val="7EBC6CF7"/>
    <w:rsid w:val="7F7E2FB4"/>
    <w:rsid w:val="7F7F19FE"/>
    <w:rsid w:val="7F815B47"/>
    <w:rsid w:val="7FBFFF8A"/>
    <w:rsid w:val="7FEFAAEC"/>
    <w:rsid w:val="7FFA21DD"/>
    <w:rsid w:val="7FFCC4DD"/>
    <w:rsid w:val="7FFE88A3"/>
    <w:rsid w:val="8FBF98D2"/>
    <w:rsid w:val="8FE3DE57"/>
    <w:rsid w:val="972BDDAF"/>
    <w:rsid w:val="9D778E0D"/>
    <w:rsid w:val="9D7F5AC0"/>
    <w:rsid w:val="9E5D4A77"/>
    <w:rsid w:val="AF5D2945"/>
    <w:rsid w:val="B3B3FBA5"/>
    <w:rsid w:val="B7FF985A"/>
    <w:rsid w:val="BA7B23C6"/>
    <w:rsid w:val="BAF32FFD"/>
    <w:rsid w:val="BF37EB75"/>
    <w:rsid w:val="C6FFCE2D"/>
    <w:rsid w:val="CBEB50B4"/>
    <w:rsid w:val="CBFF0DD0"/>
    <w:rsid w:val="CCFFC4E1"/>
    <w:rsid w:val="CDAF301C"/>
    <w:rsid w:val="D3F7A837"/>
    <w:rsid w:val="D7EDC1F7"/>
    <w:rsid w:val="DDCA4F9F"/>
    <w:rsid w:val="DE6439C7"/>
    <w:rsid w:val="DE7FD1DE"/>
    <w:rsid w:val="DF2B27AC"/>
    <w:rsid w:val="DF7F51A9"/>
    <w:rsid w:val="DFE75736"/>
    <w:rsid w:val="E8F6050F"/>
    <w:rsid w:val="ED1DAD02"/>
    <w:rsid w:val="ED47FCE8"/>
    <w:rsid w:val="ED7E2CCF"/>
    <w:rsid w:val="EF3B72F8"/>
    <w:rsid w:val="EF4F850B"/>
    <w:rsid w:val="EF7754D8"/>
    <w:rsid w:val="EF7D6243"/>
    <w:rsid w:val="EFEF336E"/>
    <w:rsid w:val="EFFA00BA"/>
    <w:rsid w:val="EFFB0B3B"/>
    <w:rsid w:val="F1FAF5E3"/>
    <w:rsid w:val="F3DD96C2"/>
    <w:rsid w:val="F3FFA761"/>
    <w:rsid w:val="F6FEE175"/>
    <w:rsid w:val="F77EF24D"/>
    <w:rsid w:val="F79F46A1"/>
    <w:rsid w:val="F7BF8C5D"/>
    <w:rsid w:val="F7DA9311"/>
    <w:rsid w:val="F7DD4494"/>
    <w:rsid w:val="F7E5BED3"/>
    <w:rsid w:val="F7FF6374"/>
    <w:rsid w:val="FB7614AB"/>
    <w:rsid w:val="FBBF9E24"/>
    <w:rsid w:val="FDBD415E"/>
    <w:rsid w:val="FDC40BD3"/>
    <w:rsid w:val="FDD738F3"/>
    <w:rsid w:val="FDEF7781"/>
    <w:rsid w:val="FF176AEC"/>
    <w:rsid w:val="FFBA4699"/>
    <w:rsid w:val="FFF1917D"/>
    <w:rsid w:val="FFFBEDE1"/>
    <w:rsid w:val="FFFDCC7F"/>
    <w:rsid w:val="FFFF73ED"/>
    <w:rsid w:val="FFFFD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5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17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8">
    <w:name w:val="index heading"/>
    <w:basedOn w:val="1"/>
    <w:next w:val="19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9">
    <w:name w:val="index 1"/>
    <w:basedOn w:val="1"/>
    <w:next w:val="20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0">
    <w:name w:val="段"/>
    <w:link w:val="3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5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6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9">
    <w:name w:val="Table Grid"/>
    <w:basedOn w:val="28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semiHidden/>
    <w:qFormat/>
    <w:uiPriority w:val="0"/>
    <w:rPr>
      <w:vertAlign w:val="superscript"/>
    </w:rPr>
  </w:style>
  <w:style w:type="character" w:styleId="32">
    <w:name w:val="page number"/>
    <w:qFormat/>
    <w:uiPriority w:val="0"/>
    <w:rPr>
      <w:rFonts w:ascii="Times New Roman" w:hAnsi="Times New Roman" w:eastAsia="宋体"/>
      <w:sz w:val="18"/>
    </w:rPr>
  </w:style>
  <w:style w:type="character" w:styleId="33">
    <w:name w:val="FollowedHyperlink"/>
    <w:qFormat/>
    <w:uiPriority w:val="0"/>
    <w:rPr>
      <w:color w:val="800080"/>
      <w:u w:val="single"/>
    </w:rPr>
  </w:style>
  <w:style w:type="character" w:styleId="34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35">
    <w:name w:val="footnote reference"/>
    <w:semiHidden/>
    <w:qFormat/>
    <w:uiPriority w:val="0"/>
    <w:rPr>
      <w:vertAlign w:val="superscript"/>
    </w:rPr>
  </w:style>
  <w:style w:type="character" w:customStyle="1" w:styleId="36">
    <w:name w:val="段 Char"/>
    <w:link w:val="20"/>
    <w:qFormat/>
    <w:uiPriority w:val="0"/>
    <w:rPr>
      <w:rFonts w:ascii="宋体"/>
      <w:sz w:val="21"/>
      <w:lang w:val="en-US" w:eastAsia="zh-CN" w:bidi="ar-SA"/>
    </w:rPr>
  </w:style>
  <w:style w:type="paragraph" w:customStyle="1" w:styleId="37">
    <w:name w:val="一级条标题"/>
    <w:next w:val="20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9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章标题"/>
    <w:next w:val="20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二级条标题"/>
    <w:basedOn w:val="37"/>
    <w:next w:val="20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42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3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目次、标准名称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6">
    <w:name w:val="三级条标题"/>
    <w:basedOn w:val="41"/>
    <w:next w:val="20"/>
    <w:qFormat/>
    <w:uiPriority w:val="0"/>
    <w:pPr>
      <w:numPr>
        <w:ilvl w:val="0"/>
        <w:numId w:val="0"/>
      </w:numPr>
      <w:outlineLvl w:val="4"/>
    </w:pPr>
  </w:style>
  <w:style w:type="paragraph" w:customStyle="1" w:styleId="47">
    <w:name w:val="示例"/>
    <w:next w:val="48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8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四级条标题"/>
    <w:basedOn w:val="46"/>
    <w:next w:val="20"/>
    <w:qFormat/>
    <w:uiPriority w:val="0"/>
    <w:pPr>
      <w:numPr>
        <w:ilvl w:val="4"/>
        <w:numId w:val="2"/>
      </w:numPr>
      <w:outlineLvl w:val="5"/>
    </w:pPr>
  </w:style>
  <w:style w:type="paragraph" w:customStyle="1" w:styleId="51">
    <w:name w:val="五级条标题"/>
    <w:basedOn w:val="50"/>
    <w:next w:val="20"/>
    <w:qFormat/>
    <w:uiPriority w:val="0"/>
    <w:pPr>
      <w:numPr>
        <w:ilvl w:val="5"/>
        <w:numId w:val="2"/>
      </w:numPr>
      <w:outlineLvl w:val="6"/>
    </w:pPr>
  </w:style>
  <w:style w:type="paragraph" w:customStyle="1" w:styleId="52">
    <w:name w:val="注："/>
    <w:next w:val="20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6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示例×："/>
    <w:basedOn w:val="40"/>
    <w:qFormat/>
    <w:uiPriority w:val="0"/>
    <w:pPr>
      <w:numPr>
        <w:ilvl w:val="0"/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58">
    <w:name w:val="二级无"/>
    <w:basedOn w:val="41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59">
    <w:name w:val="注：（正文）"/>
    <w:basedOn w:val="52"/>
    <w:next w:val="20"/>
    <w:qFormat/>
    <w:uiPriority w:val="0"/>
    <w:pPr>
      <w:numPr>
        <w:ilvl w:val="0"/>
        <w:numId w:val="9"/>
      </w:numPr>
    </w:pPr>
  </w:style>
  <w:style w:type="paragraph" w:customStyle="1" w:styleId="60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标准书眉_偶数页"/>
    <w:basedOn w:val="39"/>
    <w:next w:val="1"/>
    <w:qFormat/>
    <w:uiPriority w:val="0"/>
    <w:pPr>
      <w:jc w:val="left"/>
    </w:pPr>
    <w:rPr>
      <w:rFonts w:ascii="黑体" w:eastAsia="黑体"/>
    </w:rPr>
  </w:style>
  <w:style w:type="paragraph" w:customStyle="1" w:styleId="6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6">
    <w:name w:val="参考文献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7">
    <w:name w:val="参考文献、索引标题"/>
    <w:basedOn w:val="1"/>
    <w:next w:val="20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8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69">
    <w:name w:val="发布部门"/>
    <w:next w:val="20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0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4">
    <w:name w:val="封面标准英文名称"/>
    <w:basedOn w:val="73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5">
    <w:name w:val="封面一致性程度标识"/>
    <w:basedOn w:val="74"/>
    <w:qFormat/>
    <w:uiPriority w:val="0"/>
    <w:pPr>
      <w:spacing w:before="440"/>
    </w:pPr>
    <w:rPr>
      <w:rFonts w:ascii="宋体" w:eastAsia="宋体"/>
    </w:rPr>
  </w:style>
  <w:style w:type="paragraph" w:customStyle="1" w:styleId="76">
    <w:name w:val="封面标准文稿类别"/>
    <w:basedOn w:val="75"/>
    <w:qFormat/>
    <w:uiPriority w:val="0"/>
    <w:pPr>
      <w:spacing w:after="160" w:line="240" w:lineRule="auto"/>
    </w:pPr>
    <w:rPr>
      <w:sz w:val="24"/>
    </w:rPr>
  </w:style>
  <w:style w:type="paragraph" w:customStyle="1" w:styleId="77">
    <w:name w:val="封面标准文稿编辑信息"/>
    <w:basedOn w:val="76"/>
    <w:qFormat/>
    <w:uiPriority w:val="0"/>
    <w:pPr>
      <w:spacing w:before="180" w:line="180" w:lineRule="exact"/>
    </w:pPr>
    <w:rPr>
      <w:sz w:val="21"/>
    </w:rPr>
  </w:style>
  <w:style w:type="paragraph" w:customStyle="1" w:styleId="7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9">
    <w:name w:val="附录标识"/>
    <w:basedOn w:val="1"/>
    <w:next w:val="20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0">
    <w:name w:val="附录标题"/>
    <w:basedOn w:val="20"/>
    <w:next w:val="20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1">
    <w:name w:val="附录表标号"/>
    <w:basedOn w:val="1"/>
    <w:next w:val="20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2">
    <w:name w:val="附录表标题"/>
    <w:basedOn w:val="1"/>
    <w:next w:val="20"/>
    <w:qFormat/>
    <w:uiPriority w:val="0"/>
    <w:pPr>
      <w:numPr>
        <w:ilvl w:val="1"/>
        <w:numId w:val="12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3">
    <w:name w:val="附录二级条标题"/>
    <w:basedOn w:val="1"/>
    <w:next w:val="20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4">
    <w:name w:val="附录二级无"/>
    <w:basedOn w:val="8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5">
    <w:name w:val="附录公式"/>
    <w:basedOn w:val="20"/>
    <w:next w:val="20"/>
    <w:link w:val="86"/>
    <w:qFormat/>
    <w:uiPriority w:val="0"/>
  </w:style>
  <w:style w:type="character" w:customStyle="1" w:styleId="86">
    <w:name w:val="附录公式 Char"/>
    <w:basedOn w:val="36"/>
    <w:link w:val="85"/>
    <w:qFormat/>
    <w:uiPriority w:val="0"/>
  </w:style>
  <w:style w:type="paragraph" w:customStyle="1" w:styleId="87">
    <w:name w:val="附录公式编号制表符"/>
    <w:basedOn w:val="1"/>
    <w:next w:val="2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8">
    <w:name w:val="附录三级条标题"/>
    <w:basedOn w:val="83"/>
    <w:next w:val="20"/>
    <w:qFormat/>
    <w:uiPriority w:val="0"/>
    <w:pPr>
      <w:numPr>
        <w:ilvl w:val="4"/>
        <w:numId w:val="11"/>
      </w:numPr>
      <w:outlineLvl w:val="4"/>
    </w:pPr>
  </w:style>
  <w:style w:type="paragraph" w:customStyle="1" w:styleId="89">
    <w:name w:val="附录三级无"/>
    <w:basedOn w:val="8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0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附录四级条标题"/>
    <w:basedOn w:val="88"/>
    <w:next w:val="20"/>
    <w:qFormat/>
    <w:uiPriority w:val="0"/>
    <w:pPr>
      <w:numPr>
        <w:ilvl w:val="5"/>
        <w:numId w:val="11"/>
      </w:numPr>
      <w:outlineLvl w:val="5"/>
    </w:pPr>
  </w:style>
  <w:style w:type="paragraph" w:customStyle="1" w:styleId="92">
    <w:name w:val="附录四级无"/>
    <w:basedOn w:val="9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3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4">
    <w:name w:val="附录图标题"/>
    <w:basedOn w:val="1"/>
    <w:next w:val="20"/>
    <w:qFormat/>
    <w:uiPriority w:val="0"/>
    <w:pPr>
      <w:numPr>
        <w:ilvl w:val="1"/>
        <w:numId w:val="14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5">
    <w:name w:val="附录五级条标题"/>
    <w:basedOn w:val="91"/>
    <w:next w:val="20"/>
    <w:qFormat/>
    <w:uiPriority w:val="0"/>
    <w:pPr>
      <w:numPr>
        <w:ilvl w:val="6"/>
        <w:numId w:val="11"/>
      </w:numPr>
      <w:outlineLvl w:val="6"/>
    </w:pPr>
  </w:style>
  <w:style w:type="paragraph" w:customStyle="1" w:styleId="96">
    <w:name w:val="附录五级无"/>
    <w:basedOn w:val="95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7">
    <w:name w:val="附录章标题"/>
    <w:next w:val="20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8">
    <w:name w:val="附录一级条标题"/>
    <w:basedOn w:val="97"/>
    <w:next w:val="20"/>
    <w:qFormat/>
    <w:uiPriority w:val="0"/>
    <w:pPr>
      <w:numPr>
        <w:ilvl w:val="2"/>
        <w:numId w:val="11"/>
      </w:numPr>
      <w:autoSpaceDN w:val="0"/>
      <w:spacing w:before="50" w:beforeLines="50" w:after="50" w:afterLines="50"/>
      <w:outlineLvl w:val="2"/>
    </w:pPr>
  </w:style>
  <w:style w:type="paragraph" w:customStyle="1" w:styleId="99">
    <w:name w:val="附录一级无"/>
    <w:basedOn w:val="9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00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2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其他标准标志"/>
    <w:basedOn w:val="61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5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6">
    <w:name w:val="其他发布部门"/>
    <w:basedOn w:val="69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7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三级无"/>
    <w:basedOn w:val="4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9">
    <w:name w:val="实施日期"/>
    <w:basedOn w:val="70"/>
    <w:qFormat/>
    <w:uiPriority w:val="0"/>
    <w:pPr>
      <w:framePr w:vAnchor="page" w:hAnchor="page"/>
      <w:jc w:val="right"/>
    </w:pPr>
  </w:style>
  <w:style w:type="paragraph" w:customStyle="1" w:styleId="110">
    <w:name w:val="示例后文字"/>
    <w:basedOn w:val="20"/>
    <w:next w:val="20"/>
    <w:qFormat/>
    <w:uiPriority w:val="0"/>
    <w:pPr>
      <w:ind w:firstLine="360"/>
    </w:pPr>
    <w:rPr>
      <w:sz w:val="18"/>
    </w:rPr>
  </w:style>
  <w:style w:type="paragraph" w:customStyle="1" w:styleId="111">
    <w:name w:val="首示例"/>
    <w:next w:val="20"/>
    <w:link w:val="112"/>
    <w:qFormat/>
    <w:uiPriority w:val="0"/>
    <w:pPr>
      <w:numPr>
        <w:ilvl w:val="0"/>
        <w:numId w:val="15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2">
    <w:name w:val="首示例 Char"/>
    <w:link w:val="111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13">
    <w:name w:val="四级无"/>
    <w:basedOn w:val="50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4">
    <w:name w:val="条文脚注"/>
    <w:basedOn w:val="21"/>
    <w:qFormat/>
    <w:uiPriority w:val="0"/>
    <w:pPr>
      <w:numPr>
        <w:ilvl w:val="0"/>
        <w:numId w:val="0"/>
      </w:numPr>
      <w:tabs>
        <w:tab w:val="clear" w:pos="0"/>
      </w:tabs>
      <w:jc w:val="both"/>
    </w:pPr>
    <w:rPr>
      <w:rFonts w:ascii="宋体"/>
    </w:rPr>
  </w:style>
  <w:style w:type="paragraph" w:customStyle="1" w:styleId="115">
    <w:name w:val="图标脚注说明"/>
    <w:basedOn w:val="20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6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17">
    <w:name w:val="图的脚注"/>
    <w:next w:val="20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8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9">
    <w:name w:val="五级无"/>
    <w:basedOn w:val="5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0">
    <w:name w:val="一级无"/>
    <w:basedOn w:val="3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1">
    <w:name w:val="正文表标题"/>
    <w:next w:val="20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正文公式编号制表符"/>
    <w:basedOn w:val="20"/>
    <w:next w:val="20"/>
    <w:qFormat/>
    <w:uiPriority w:val="0"/>
    <w:pPr>
      <w:ind w:firstLine="0" w:firstLineChars="0"/>
    </w:pPr>
  </w:style>
  <w:style w:type="paragraph" w:customStyle="1" w:styleId="123">
    <w:name w:val="正文图标题"/>
    <w:next w:val="20"/>
    <w:qFormat/>
    <w:uiPriority w:val="0"/>
    <w:pPr>
      <w:numPr>
        <w:ilvl w:val="0"/>
        <w:numId w:val="18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5">
    <w:name w:val="其他发布日期"/>
    <w:basedOn w:val="70"/>
    <w:qFormat/>
    <w:uiPriority w:val="0"/>
    <w:pPr>
      <w:framePr w:vAnchor="page" w:hAnchor="page" w:x="1419"/>
    </w:pPr>
  </w:style>
  <w:style w:type="paragraph" w:customStyle="1" w:styleId="126">
    <w:name w:val="其他实施日期"/>
    <w:basedOn w:val="109"/>
    <w:qFormat/>
    <w:uiPriority w:val="0"/>
  </w:style>
  <w:style w:type="paragraph" w:customStyle="1" w:styleId="127">
    <w:name w:val="封面标准名称2"/>
    <w:basedOn w:val="73"/>
    <w:qFormat/>
    <w:uiPriority w:val="0"/>
    <w:pPr>
      <w:framePr w:y="4469"/>
      <w:spacing w:before="630" w:beforeLines="630"/>
    </w:pPr>
  </w:style>
  <w:style w:type="paragraph" w:customStyle="1" w:styleId="128">
    <w:name w:val="封面标准英文名称2"/>
    <w:basedOn w:val="74"/>
    <w:qFormat/>
    <w:uiPriority w:val="0"/>
    <w:pPr>
      <w:framePr w:y="4469"/>
    </w:pPr>
  </w:style>
  <w:style w:type="paragraph" w:customStyle="1" w:styleId="129">
    <w:name w:val="封面一致性程度标识2"/>
    <w:basedOn w:val="75"/>
    <w:qFormat/>
    <w:uiPriority w:val="0"/>
    <w:pPr>
      <w:framePr w:y="4469"/>
    </w:pPr>
  </w:style>
  <w:style w:type="paragraph" w:customStyle="1" w:styleId="130">
    <w:name w:val="封面标准文稿类别2"/>
    <w:basedOn w:val="76"/>
    <w:qFormat/>
    <w:uiPriority w:val="0"/>
    <w:pPr>
      <w:framePr w:y="4469"/>
    </w:pPr>
  </w:style>
  <w:style w:type="paragraph" w:customStyle="1" w:styleId="131">
    <w:name w:val="封面标准文稿编辑信息2"/>
    <w:basedOn w:val="77"/>
    <w:qFormat/>
    <w:uiPriority w:val="0"/>
    <w:pPr>
      <w:framePr w:y="4469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8</Pages>
  <Words>2172</Words>
  <Characters>2672</Characters>
  <Lines>178</Lines>
  <Paragraphs>201</Paragraphs>
  <TotalTime>401</TotalTime>
  <ScaleCrop>false</ScaleCrop>
  <LinksUpToDate>false</LinksUpToDate>
  <CharactersWithSpaces>4643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2010-02-04T14:47:00Z</dcterms:created>
  <dc:creator>CNIS</dc:creator>
  <cp:lastModifiedBy>uos</cp:lastModifiedBy>
  <dcterms:modified xsi:type="dcterms:W3CDTF">2025-05-22T10:05:33Z</dcterms:modified>
  <dc:title>标准名称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