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E6176">
      <w:pPr>
        <w:pStyle w:val="286"/>
      </w:pPr>
      <w:bookmarkStart w:id="0" w:name="标准封面"/>
      <w:bookmarkEnd w:id="0"/>
      <w:r>
        <mc:AlternateContent>
          <mc:Choice Requires="wps">
            <w:drawing>
              <wp:anchor distT="0" distB="0" distL="114300" distR="114300" simplePos="0" relativeHeight="251660288" behindDoc="0" locked="0" layoutInCell="1" allowOverlap="1">
                <wp:simplePos x="0" y="0"/>
                <wp:positionH relativeFrom="page">
                  <wp:posOffset>2737485</wp:posOffset>
                </wp:positionH>
                <wp:positionV relativeFrom="page">
                  <wp:posOffset>467995</wp:posOffset>
                </wp:positionV>
                <wp:extent cx="3960495" cy="914400"/>
                <wp:effectExtent l="0" t="0" r="1905"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7C09936">
                            <w:pPr>
                              <w:pStyle w:val="343"/>
                            </w:pPr>
                            <w:r>
                              <w:rPr>
                                <w:rFonts w:hint="eastAsia"/>
                              </w:rPr>
                              <w:t>DB11</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15.5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Nn3X22wAAAAsBAAAPAAAAAAAAAAEAIAAAACIAAABkcnMvZG93bnJldi54bWxQSwECFAAUAAAA&#10;CACHTuJAFmmnPV0CAACLBAAADgAAAAAAAAABACAAAAAqAQAAZHJzL2Uyb0RvYy54bWxQSwUGAAAA&#10;AAYABgBZAQAA+QUAAAAA&#10;">
                <v:fill on="t" focussize="0,0"/>
                <v:stroke on="f" weight="0.5pt"/>
                <v:imagedata o:title=""/>
                <o:lock v:ext="edit" aspectratio="f"/>
                <v:textbox inset="0mm,0mm,2.54mm,0mm">
                  <w:txbxContent>
                    <w:p w14:paraId="17C09936">
                      <w:pPr>
                        <w:pStyle w:val="343"/>
                      </w:pPr>
                      <w:r>
                        <w:rPr>
                          <w:rFonts w:hint="eastAsia"/>
                        </w:rPr>
                        <w:t>DB11</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08BF377">
                            <w:pPr>
                              <w:pStyle w:val="333"/>
                            </w:pPr>
                            <w:r>
                              <w:rPr>
                                <w:rFonts w:hint="eastAsia"/>
                              </w:rPr>
                              <w:t>ICS 29.140.40</w:t>
                            </w:r>
                          </w:p>
                          <w:p w14:paraId="4E95F26D">
                            <w:pPr>
                              <w:pStyle w:val="333"/>
                            </w:pPr>
                            <w:r>
                              <w:rPr>
                                <w:rFonts w:hint="eastAsia"/>
                              </w:rPr>
                              <w:t>CCS K 70</w:t>
                            </w:r>
                          </w:p>
                          <w:p w14:paraId="08EBA282">
                            <w:pPr>
                              <w:pStyle w:val="333"/>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Su&#10;iCHZAAAACgEAAA8AAAAAAAAAAQAgAAAAIgAAAGRycy9kb3ducmV2LnhtbFBLAQIUABQAAAAIAIdO&#10;4kDH6/xBWwIAAIsEAAAOAAAAAAAAAAEAIAAAACgBAABkcnMvZTJvRG9jLnhtbFBLBQYAAAAABgAG&#10;AFkBAAD1BQAAAAA=&#10;">
                <v:fill on="t" focussize="0,0"/>
                <v:stroke on="f" weight="0.5pt"/>
                <v:imagedata o:title=""/>
                <o:lock v:ext="edit" aspectratio="f"/>
                <v:textbox inset="0mm,0mm,2.54mm,0mm">
                  <w:txbxContent>
                    <w:p w14:paraId="408BF377">
                      <w:pPr>
                        <w:pStyle w:val="333"/>
                      </w:pPr>
                      <w:r>
                        <w:rPr>
                          <w:rFonts w:hint="eastAsia"/>
                        </w:rPr>
                        <w:t>ICS 29.140.40</w:t>
                      </w:r>
                    </w:p>
                    <w:p w14:paraId="4E95F26D">
                      <w:pPr>
                        <w:pStyle w:val="333"/>
                      </w:pPr>
                      <w:r>
                        <w:rPr>
                          <w:rFonts w:hint="eastAsia"/>
                        </w:rPr>
                        <w:t>CCS K 70</w:t>
                      </w:r>
                    </w:p>
                    <w:p w14:paraId="08EBA282">
                      <w:pPr>
                        <w:pStyle w:val="333"/>
                      </w:pPr>
                    </w:p>
                  </w:txbxContent>
                </v:textbox>
              </v:shape>
            </w:pict>
          </mc:Fallback>
        </mc:AlternateContent>
      </w:r>
    </w:p>
    <w:p w14:paraId="05511010">
      <w:pPr>
        <w:pStyle w:val="258"/>
        <w:ind w:firstLine="420"/>
      </w:pPr>
      <w: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4"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6D0D058">
                            <w:pPr>
                              <w:pStyle w:val="336"/>
                              <w:bidi w:val="0"/>
                              <w:rPr>
                                <w:rFonts w:hint="default" w:ascii="黑体" w:hAnsi="宋体" w:eastAsia="黑体" w:cs="Times New Roman"/>
                                <w:b w:val="0"/>
                                <w:bCs w:val="0"/>
                                <w:w w:val="100"/>
                                <w:sz w:val="48"/>
                                <w:szCs w:val="48"/>
                                <w:lang w:val="en-US" w:eastAsia="zh-CN" w:bidi="ar-SA"/>
                              </w:rPr>
                            </w:pPr>
                            <w:r>
                              <w:rPr>
                                <w:rFonts w:hint="eastAsia" w:ascii="黑体" w:hAnsi="宋体" w:eastAsia="黑体" w:cs="Times New Roman"/>
                                <w:b w:val="0"/>
                                <w:bCs w:val="0"/>
                                <w:w w:val="100"/>
                                <w:sz w:val="48"/>
                                <w:szCs w:val="48"/>
                                <w:lang w:val="en-US" w:eastAsia="zh-CN" w:bidi="ar-SA"/>
                              </w:rPr>
                              <w:t>北京市地方标准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ad/U2wAAAAwBAAAPAAAAAAAAAAEAIAAAACIAAABkcnMvZG93bnJldi54bWxQSwECFAAUAAAA&#10;CACHTuJAaTXVXV0CAACLBAAADgAAAAAAAAABACAAAAAqAQAAZHJzL2Uyb0RvYy54bWxQSwUGAAAA&#10;AAYABgBZAQAA+QUAAAAA&#10;">
                <v:fill on="t" focussize="0,0"/>
                <v:stroke on="f" weight="0.5pt"/>
                <v:imagedata o:title=""/>
                <o:lock v:ext="edit" aspectratio="f"/>
                <v:textbox inset="0mm,0mm,2.54mm,0mm">
                  <w:txbxContent>
                    <w:p w14:paraId="16D0D058">
                      <w:pPr>
                        <w:pStyle w:val="336"/>
                        <w:bidi w:val="0"/>
                        <w:rPr>
                          <w:rFonts w:hint="default" w:ascii="黑体" w:hAnsi="宋体" w:eastAsia="黑体" w:cs="Times New Roman"/>
                          <w:b w:val="0"/>
                          <w:bCs w:val="0"/>
                          <w:w w:val="100"/>
                          <w:sz w:val="48"/>
                          <w:szCs w:val="48"/>
                          <w:lang w:val="en-US" w:eastAsia="zh-CN" w:bidi="ar-SA"/>
                        </w:rPr>
                      </w:pPr>
                      <w:r>
                        <w:rPr>
                          <w:rFonts w:hint="eastAsia" w:ascii="黑体" w:hAnsi="宋体" w:eastAsia="黑体" w:cs="Times New Roman"/>
                          <w:b w:val="0"/>
                          <w:bCs w:val="0"/>
                          <w:w w:val="100"/>
                          <w:sz w:val="48"/>
                          <w:szCs w:val="48"/>
                          <w:lang w:val="en-US" w:eastAsia="zh-CN" w:bidi="ar-SA"/>
                        </w:rPr>
                        <w:t>北京市地方标准</w:t>
                      </w:r>
                    </w:p>
                  </w:txbxContent>
                </v:textbox>
              </v:shape>
            </w:pict>
          </mc:Fallback>
        </mc:AlternateContent>
      </w:r>
    </w:p>
    <w:p w14:paraId="345BAF0D">
      <w:pPr>
        <w:pStyle w:val="258"/>
        <w:ind w:firstLine="420"/>
      </w:pPr>
    </w:p>
    <w:p w14:paraId="132E730A">
      <w:pPr>
        <w:pStyle w:val="258"/>
        <w:ind w:firstLine="420"/>
        <w:sectPr>
          <w:headerReference r:id="rId5" w:type="first"/>
          <w:footerReference r:id="rId8" w:type="first"/>
          <w:headerReference r:id="rId3" w:type="default"/>
          <w:footerReference r:id="rId6" w:type="default"/>
          <w:headerReference r:id="rId4" w:type="even"/>
          <w:footerReference r:id="rId7" w:type="even"/>
          <w:pgSz w:w="11907" w:h="16839"/>
          <w:pgMar w:top="284" w:right="851" w:bottom="1134" w:left="1418" w:header="284" w:footer="1134" w:gutter="0"/>
          <w:pgNumType w:fmt="upperRoman" w:start="1"/>
          <w:cols w:space="425" w:num="1"/>
          <w:titlePg/>
          <w:docGrid w:linePitch="312" w:charSpace="0"/>
        </w:sectPr>
      </w:pPr>
      <w:r>
        <mc:AlternateContent>
          <mc:Choice Requires="wps">
            <w:drawing>
              <wp:anchor distT="0" distB="0" distL="114300" distR="114300" simplePos="0" relativeHeight="251669504" behindDoc="0" locked="0" layoutInCell="1" allowOverlap="1">
                <wp:simplePos x="0" y="0"/>
                <wp:positionH relativeFrom="page">
                  <wp:posOffset>4615815</wp:posOffset>
                </wp:positionH>
                <wp:positionV relativeFrom="page">
                  <wp:posOffset>9763760</wp:posOffset>
                </wp:positionV>
                <wp:extent cx="810895" cy="184150"/>
                <wp:effectExtent l="0" t="0" r="8255" b="6350"/>
                <wp:wrapNone/>
                <wp:docPr id="12"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787F2D4">
                            <w:pPr>
                              <w:pStyle w:val="499"/>
                            </w:pPr>
                            <w:r>
                              <w:rPr>
                                <w:rFonts w:hint="eastAsia"/>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63.45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pta7Tc&#10;AAAADQEAAA8AAAAAAAAAAQAgAAAAIgAAAGRycy9kb3ducmV2LnhtbFBLAQIUABQAAAAIAIdO4kAy&#10;GC+lVQIAAIcEAAAOAAAAAAAAAAEAIAAAACsBAABkcnMvZTJvRG9jLnhtbFBLBQYAAAAABgAGAFkB&#10;AADyBQAAAAA=&#10;">
                <v:fill on="t" focussize="0,0"/>
                <v:stroke on="f" weight="0.5pt"/>
                <v:imagedata o:title=""/>
                <o:lock v:ext="edit" aspectratio="f"/>
                <v:textbox inset="0mm,0mm,0mm,0mm">
                  <w:txbxContent>
                    <w:p w14:paraId="4787F2D4">
                      <w:pPr>
                        <w:pStyle w:val="499"/>
                      </w:pPr>
                      <w:r>
                        <w:rPr>
                          <w:rFonts w:hint="eastAsia"/>
                        </w:rPr>
                        <w:t>发 布</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2314575</wp:posOffset>
                </wp:positionH>
                <wp:positionV relativeFrom="page">
                  <wp:posOffset>9738360</wp:posOffset>
                </wp:positionV>
                <wp:extent cx="2301240" cy="234950"/>
                <wp:effectExtent l="0" t="0" r="3810" b="12700"/>
                <wp:wrapNone/>
                <wp:docPr id="11" name="首页自画框图11"/>
                <wp:cNvGraphicFramePr/>
                <a:graphic xmlns:a="http://schemas.openxmlformats.org/drawingml/2006/main">
                  <a:graphicData uri="http://schemas.microsoft.com/office/word/2010/wordprocessingShape">
                    <wps:wsp>
                      <wps:cNvSpPr txBox="1"/>
                      <wps:spPr>
                        <a:xfrm>
                          <a:off x="0" y="0"/>
                          <a:ext cx="228600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FE1BD4A">
                            <w:pPr>
                              <w:pStyle w:val="341"/>
                              <w:bidi w:val="0"/>
                              <w:rPr>
                                <w:rFonts w:hint="default" w:ascii="黑体" w:hAnsi="黑体" w:eastAsia="黑体" w:cs="黑体"/>
                                <w:b w:val="0"/>
                                <w:lang w:eastAsia="zh-CN"/>
                              </w:rPr>
                            </w:pPr>
                            <w:r>
                              <w:rPr>
                                <w:rFonts w:hint="eastAsia" w:ascii="黑体" w:hAnsi="黑体" w:eastAsia="黑体" w:cs="黑体"/>
                                <w:b w:val="0"/>
                                <w:lang w:eastAsia="zh-CN"/>
                              </w:rPr>
                              <w:t>北京市市场监督管理局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82.25pt;margin-top:766.8pt;height:18.5pt;width:181.2pt;mso-position-horizontal-relative:page;mso-position-vertical-relative:page;mso-wrap-style:none;z-index:251668480;mso-width-relative:page;mso-height-relative:page;" fillcolor="#FFFFFF [3201]" filled="t" stroked="f" coordsize="21600,21600" o:gfxdata="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yyTz/2wAA&#10;AA0BAAAPAAAAAAAAAAEAIAAAACIAAABkcnMvZG93bnJldi54bWxQSwECFAAUAAAACACHTuJAniyB&#10;WFQCAACHBAAADgAAAAAAAAABACAAAAAqAQAAZHJzL2Uyb0RvYy54bWxQSwUGAAAAAAYABgBZAQAA&#10;8AUAAAAA&#10;">
                <v:fill on="t" focussize="0,0"/>
                <v:stroke on="f" weight="0.5pt"/>
                <v:imagedata o:title=""/>
                <o:lock v:ext="edit" aspectratio="f"/>
                <v:textbox inset="0mm,0mm,0mm,0mm">
                  <w:txbxContent>
                    <w:p w14:paraId="3FE1BD4A">
                      <w:pPr>
                        <w:pStyle w:val="341"/>
                        <w:bidi w:val="0"/>
                        <w:rPr>
                          <w:rFonts w:hint="default" w:ascii="黑体" w:hAnsi="黑体" w:eastAsia="黑体" w:cs="黑体"/>
                          <w:b w:val="0"/>
                          <w:lang w:eastAsia="zh-CN"/>
                        </w:rPr>
                      </w:pPr>
                      <w:r>
                        <w:rPr>
                          <w:rFonts w:hint="eastAsia" w:ascii="黑体" w:hAnsi="黑体" w:eastAsia="黑体" w:cs="黑体"/>
                          <w:b w:val="0"/>
                          <w:lang w:eastAsia="zh-CN"/>
                        </w:rPr>
                        <w:t>北京市市场监督管理局</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6350" r="0" b="6350"/>
                <wp:wrapNone/>
                <wp:docPr id="10"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jh&#10;euXYAAAADAEAAA8AAAAAAAAAAQAgAAAAIgAAAGRycy9kb3ducmV2LnhtbFBLAQIUABQAAAAIAIdO&#10;4kB6+omc6gEAALYDAAAOAAAAAAAAAAEAIAAAACcBAABkcnMvZTJvRG9jLnhtbFBLBQYAAAAABgAG&#10;AFkBAACDBQAAAAA=&#10;">
                <v:fill on="f" focussize="0,0"/>
                <v:stroke weight="1pt" color="#000000 [3204]"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15240" b="1905"/>
                <wp:wrapNone/>
                <wp:docPr id="9"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B1F56AF">
                            <w:pPr>
                              <w:pStyle w:val="291"/>
                            </w:pPr>
                            <w:r>
                              <w:rPr>
                                <w:rFonts w:hint="eastAsia"/>
                              </w:rPr>
                              <w:t>202X-XX-XX实施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2GwmbbAAAADgEAAA8AAAAAAAAAAQAgAAAAIgAAAGRycy9kb3ducmV2LnhtbFBLAQIUABQAAAAI&#10;AIdO4kBzdPgLXAIAAIsEAAAOAAAAAAAAAAEAIAAAACoBAABkcnMvZTJvRG9jLnhtbFBLBQYAAAAA&#10;BgAGAFkBAAD4BQAAAAA=&#10;">
                <v:fill on="t" focussize="0,0"/>
                <v:stroke on="f" weight="0.5pt"/>
                <v:imagedata o:title=""/>
                <o:lock v:ext="edit" aspectratio="f"/>
                <v:textbox inset="0mm,0mm,2.54mm,0mm">
                  <w:txbxContent>
                    <w:p w14:paraId="3B1F56AF">
                      <w:pPr>
                        <w:pStyle w:val="291"/>
                      </w:pPr>
                      <w:r>
                        <w:rPr>
                          <w:rFonts w:hint="eastAsia"/>
                        </w:rPr>
                        <w:t>202X-XX-XX实施</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15240" b="1905"/>
                <wp:wrapNone/>
                <wp:docPr id="8"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150D2E5">
                            <w:pPr>
                              <w:pStyle w:val="264"/>
                            </w:pPr>
                            <w:r>
                              <w:rPr>
                                <w:rFonts w:hint="eastAsia"/>
                              </w:rPr>
                              <w:t>202X-XX-XX发布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ht&#10;yPnZAAAADQEAAA8AAAAAAAAAAQAgAAAAIgAAAGRycy9kb3ducmV2LnhtbFBLAQIUABQAAAAIAIdO&#10;4kD4mL9sWwIAAIsEAAAOAAAAAAAAAAEAIAAAACgBAABkcnMvZTJvRG9jLnhtbFBLBQYAAAAABgAG&#10;AFkBAAD1BQAAAAA=&#10;">
                <v:fill on="t" focussize="0,0"/>
                <v:stroke on="f" weight="0.5pt"/>
                <v:imagedata o:title=""/>
                <o:lock v:ext="edit" aspectratio="f"/>
                <v:textbox inset="0mm,0mm,2.54mm,0mm">
                  <w:txbxContent>
                    <w:p w14:paraId="0150D2E5">
                      <w:pPr>
                        <w:pStyle w:val="264"/>
                      </w:pPr>
                      <w:r>
                        <w:rPr>
                          <w:rFonts w:hint="eastAsia"/>
                        </w:rPr>
                        <w:t>202X-XX-XX发布</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13335" b="3810"/>
                <wp:wrapNone/>
                <wp:docPr id="7"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2CE5EAB">
                            <w:pPr>
                              <w:pStyle w:val="268"/>
                            </w:pPr>
                            <w:r>
                              <w:rPr>
                                <w:rFonts w:hint="eastAsia"/>
                              </w:rPr>
                              <w:t>城市景观照明技术规范</w:t>
                            </w:r>
                            <w:r>
                              <w:rPr>
                                <w:rFonts w:hint="eastAsia"/>
                              </w:rPr>
                              <w:br w:type="textWrapping"/>
                            </w:r>
                            <w:r>
                              <w:rPr>
                                <w:rFonts w:hint="eastAsia"/>
                              </w:rPr>
                              <w:t>第6部分：供配电与控制</w:t>
                            </w:r>
                          </w:p>
                          <w:p w14:paraId="4A27DFBD">
                            <w:pPr>
                              <w:pStyle w:val="271"/>
                            </w:pPr>
                            <w:r>
                              <w:rPr>
                                <w:rFonts w:hint="eastAsia"/>
                              </w:rPr>
                              <w:t>Technical specification of urban landscape lighting-</w:t>
                            </w:r>
                            <w:r>
                              <w:rPr>
                                <w:rFonts w:hint="eastAsia"/>
                              </w:rPr>
                              <w:br w:type="textWrapping"/>
                            </w:r>
                            <w:r>
                              <w:rPr>
                                <w:rFonts w:hint="eastAsia"/>
                              </w:rPr>
                              <w:t>Part 6: Power supply and control</w:t>
                            </w:r>
                          </w:p>
                          <w:p w14:paraId="71B55211">
                            <w:pPr>
                              <w:pStyle w:val="272"/>
                            </w:pPr>
                          </w:p>
                          <w:p w14:paraId="7B9F4CFE">
                            <w:pPr>
                              <w:pStyle w:val="272"/>
                            </w:pPr>
                            <w:r>
                              <w:rPr>
                                <w:rFonts w:hint="eastAsia"/>
                              </w:rPr>
                              <w:t>（征求意见稿）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xO9dDcAAAADQEAAA8AAAAAAAAAAQAgAAAAIgAAAGRycy9kb3ducmV2LnhtbFBLAQIU&#10;ABQAAAAIAIdO4kAbQnB+YQIAAIwEAAAOAAAAAAAAAAEAIAAAACsBAABkcnMvZTJvRG9jLnhtbFBL&#10;BQYAAAAABgAGAFkBAAD+BQAAAAA=&#10;">
                <v:fill on="t" focussize="0,0"/>
                <v:stroke on="f" weight="0.5pt"/>
                <v:imagedata o:title=""/>
                <o:lock v:ext="edit" aspectratio="f"/>
                <v:textbox inset="0mm,0mm,2.54mm,0mm">
                  <w:txbxContent>
                    <w:p w14:paraId="12CE5EAB">
                      <w:pPr>
                        <w:pStyle w:val="268"/>
                      </w:pPr>
                      <w:r>
                        <w:rPr>
                          <w:rFonts w:hint="eastAsia"/>
                        </w:rPr>
                        <w:t>城市景观照明技术规范</w:t>
                      </w:r>
                      <w:r>
                        <w:rPr>
                          <w:rFonts w:hint="eastAsia"/>
                        </w:rPr>
                        <w:br w:type="textWrapping"/>
                      </w:r>
                      <w:r>
                        <w:rPr>
                          <w:rFonts w:hint="eastAsia"/>
                        </w:rPr>
                        <w:t>第6部分：供配电与控制</w:t>
                      </w:r>
                    </w:p>
                    <w:p w14:paraId="4A27DFBD">
                      <w:pPr>
                        <w:pStyle w:val="271"/>
                      </w:pPr>
                      <w:r>
                        <w:rPr>
                          <w:rFonts w:hint="eastAsia"/>
                        </w:rPr>
                        <w:t>Technical specification of urban landscape lighting-</w:t>
                      </w:r>
                      <w:r>
                        <w:rPr>
                          <w:rFonts w:hint="eastAsia"/>
                        </w:rPr>
                        <w:br w:type="textWrapping"/>
                      </w:r>
                      <w:r>
                        <w:rPr>
                          <w:rFonts w:hint="eastAsia"/>
                        </w:rPr>
                        <w:t>Part 6: Power supply and control</w:t>
                      </w:r>
                    </w:p>
                    <w:p w14:paraId="71B55211">
                      <w:pPr>
                        <w:pStyle w:val="272"/>
                      </w:pPr>
                    </w:p>
                    <w:p w14:paraId="7B9F4CFE">
                      <w:pPr>
                        <w:pStyle w:val="272"/>
                      </w:pPr>
                      <w:r>
                        <w:rPr>
                          <w:rFonts w:hint="eastAsia"/>
                        </w:rPr>
                        <w:t>（征求意见稿）</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6350" r="0" b="6350"/>
                <wp:wrapNone/>
                <wp:docPr id="6"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Cih42AAAAAoBAAAPAAAAAAAAAAEAIAAAACIAAABkcnMvZG93bnJldi54bWxQSwECFAAUAAAACACH&#10;TuJA29XVresBAAC0AwAADgAAAAAAAAABACAAAAAnAQAAZHJzL2Uyb0RvYy54bWxQSwUGAAAAAAYA&#10;BgBZAQAAhAUAAAAA&#10;">
                <v:fill on="f" focussize="0,0"/>
                <v:stroke weight="1pt" color="#000000 [3204]"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5"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A93C51E">
                            <w:pPr>
                              <w:pStyle w:val="265"/>
                            </w:pPr>
                            <w:r>
                              <w:rPr>
                                <w:rFonts w:hint="eastAsia"/>
                              </w:rPr>
                              <w:t>DB11/T 388.6-202X</w:t>
                            </w:r>
                          </w:p>
                          <w:p w14:paraId="3DFC2DE0">
                            <w:pPr>
                              <w:pStyle w:val="267"/>
                            </w:pPr>
                            <w:r>
                              <w:rPr>
                                <w:rFonts w:hint="eastAsia"/>
                              </w:rPr>
                              <w:t>代替 DB11/T 388.6-2015</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Uzsr7cAAAADAEAAA8AAAAAAAAAAQAgAAAAIgAAAGRycy9kb3ducmV2LnhtbFBLAQIUABQA&#10;AAAIAIdO4kDd/prVXgIAAIsEAAAOAAAAAAAAAAEAIAAAACsBAABkcnMvZTJvRG9jLnhtbFBLBQYA&#10;AAAABgAGAFkBAAD7BQAAAAA=&#10;">
                <v:fill on="t" focussize="0,0"/>
                <v:stroke on="f" weight="0.5pt"/>
                <v:imagedata o:title=""/>
                <o:lock v:ext="edit" aspectratio="f"/>
                <v:textbox inset="0mm,0mm,2.54mm,0mm">
                  <w:txbxContent>
                    <w:p w14:paraId="1A93C51E">
                      <w:pPr>
                        <w:pStyle w:val="265"/>
                      </w:pPr>
                      <w:r>
                        <w:rPr>
                          <w:rFonts w:hint="eastAsia"/>
                        </w:rPr>
                        <w:t>DB11/T 388.6-202X</w:t>
                      </w:r>
                    </w:p>
                    <w:p w14:paraId="3DFC2DE0">
                      <w:pPr>
                        <w:pStyle w:val="267"/>
                      </w:pPr>
                      <w:r>
                        <w:rPr>
                          <w:rFonts w:hint="eastAsia"/>
                        </w:rPr>
                        <w:t>代替 DB11/T 388.6-2015</w:t>
                      </w:r>
                    </w:p>
                  </w:txbxContent>
                </v:textbox>
              </v:shape>
            </w:pict>
          </mc:Fallback>
        </mc:AlternateContent>
      </w:r>
    </w:p>
    <w:p w14:paraId="0E4774A2">
      <w:pPr>
        <w:pStyle w:val="286"/>
      </w:pPr>
      <w:bookmarkStart w:id="1" w:name="标准目次"/>
      <w:bookmarkEnd w:id="1"/>
      <w:bookmarkStart w:id="2" w:name="标准目次内容"/>
      <w:r>
        <w:rPr>
          <w:rFonts w:hint="eastAsia"/>
        </w:rPr>
        <w:t>目    次</w:t>
      </w:r>
    </w:p>
    <w:p w14:paraId="68EDB21A">
      <w:pPr>
        <w:pStyle w:val="19"/>
        <w:tabs>
          <w:tab w:val="right" w:leader="dot" w:pos="9345"/>
        </w:tabs>
        <w:spacing w:before="78" w:after="78"/>
        <w:rPr>
          <w:rFonts w:asciiTheme="minorHAnsi" w:hAnsiTheme="minorHAnsi" w:eastAsiaTheme="minorEastAsia" w:cstheme="minorBidi"/>
          <w:kern w:val="2"/>
          <w:szCs w:val="22"/>
        </w:rPr>
      </w:pPr>
      <w:r>
        <w:rPr>
          <w:rFonts w:hint="eastAsia" w:hAnsi="宋体" w:cs="宋体"/>
        </w:rPr>
        <w:fldChar w:fldCharType="begin"/>
      </w:r>
      <w:r>
        <w:rPr>
          <w:rFonts w:hint="eastAsia" w:hAnsi="宋体" w:cs="宋体"/>
        </w:rPr>
        <w:instrText xml:space="preserve">TOC \o "1-2" \h \u </w:instrText>
      </w:r>
      <w:r>
        <w:rPr>
          <w:rFonts w:hint="eastAsia" w:hAnsi="宋体" w:cs="宋体"/>
        </w:rPr>
        <w:fldChar w:fldCharType="separate"/>
      </w:r>
      <w:r>
        <w:fldChar w:fldCharType="begin"/>
      </w:r>
      <w:r>
        <w:instrText xml:space="preserve"> HYPERLINK \l "_Toc193650178" </w:instrText>
      </w:r>
      <w:r>
        <w:fldChar w:fldCharType="separate"/>
      </w:r>
      <w:r>
        <w:rPr>
          <w:rStyle w:val="242"/>
        </w:rPr>
        <w:t>前    言</w:t>
      </w:r>
      <w:r>
        <w:tab/>
      </w:r>
      <w:r>
        <w:fldChar w:fldCharType="begin"/>
      </w:r>
      <w:r>
        <w:instrText xml:space="preserve"> PAGEREF _Toc193650178 \h </w:instrText>
      </w:r>
      <w:r>
        <w:fldChar w:fldCharType="separate"/>
      </w:r>
      <w:r>
        <w:t>II</w:t>
      </w:r>
      <w:r>
        <w:fldChar w:fldCharType="end"/>
      </w:r>
      <w:r>
        <w:fldChar w:fldCharType="end"/>
      </w:r>
    </w:p>
    <w:p w14:paraId="68BE768E">
      <w:pPr>
        <w:pStyle w:val="18"/>
        <w:tabs>
          <w:tab w:val="right" w:leader="dot" w:pos="9345"/>
        </w:tabs>
        <w:spacing w:before="78" w:after="78"/>
        <w:rPr>
          <w:rFonts w:asciiTheme="minorHAnsi" w:hAnsiTheme="minorHAnsi" w:eastAsiaTheme="minorEastAsia" w:cstheme="minorBidi"/>
          <w:kern w:val="2"/>
          <w:szCs w:val="22"/>
        </w:rPr>
      </w:pPr>
      <w:r>
        <w:fldChar w:fldCharType="begin"/>
      </w:r>
      <w:r>
        <w:instrText xml:space="preserve"> HYPERLINK \l "_Toc193650179" </w:instrText>
      </w:r>
      <w:r>
        <w:fldChar w:fldCharType="separate"/>
      </w:r>
      <w:r>
        <w:rPr>
          <w:rStyle w:val="242"/>
          <w:rFonts w:hint="eastAsia" w:ascii="宋体" w:hAnsi="宋体" w:eastAsia="宋体" w:cs="宋体"/>
        </w:rPr>
        <w:t>1</w:t>
      </w:r>
      <w:r>
        <w:rPr>
          <w:rStyle w:val="242"/>
        </w:rPr>
        <w:t xml:space="preserve"> 范围</w:t>
      </w:r>
      <w:r>
        <w:tab/>
      </w:r>
      <w:r>
        <w:fldChar w:fldCharType="begin"/>
      </w:r>
      <w:r>
        <w:instrText xml:space="preserve"> PAGEREF _Toc193650179 \h </w:instrText>
      </w:r>
      <w:r>
        <w:fldChar w:fldCharType="separate"/>
      </w:r>
      <w:r>
        <w:t>1</w:t>
      </w:r>
      <w:r>
        <w:fldChar w:fldCharType="end"/>
      </w:r>
      <w:r>
        <w:fldChar w:fldCharType="end"/>
      </w:r>
    </w:p>
    <w:p w14:paraId="5356A49B">
      <w:pPr>
        <w:pStyle w:val="18"/>
        <w:tabs>
          <w:tab w:val="right" w:leader="dot" w:pos="9345"/>
        </w:tabs>
        <w:spacing w:before="78" w:after="78"/>
        <w:rPr>
          <w:rFonts w:asciiTheme="minorHAnsi" w:hAnsiTheme="minorHAnsi" w:eastAsiaTheme="minorEastAsia" w:cstheme="minorBidi"/>
          <w:kern w:val="2"/>
          <w:szCs w:val="22"/>
        </w:rPr>
      </w:pPr>
      <w:r>
        <w:fldChar w:fldCharType="begin"/>
      </w:r>
      <w:r>
        <w:instrText xml:space="preserve"> HYPERLINK \l "_Toc193650180" </w:instrText>
      </w:r>
      <w:r>
        <w:fldChar w:fldCharType="separate"/>
      </w:r>
      <w:r>
        <w:rPr>
          <w:rStyle w:val="242"/>
          <w:rFonts w:hint="eastAsia" w:ascii="宋体" w:hAnsi="宋体" w:eastAsia="宋体" w:cs="宋体"/>
        </w:rPr>
        <w:t xml:space="preserve">2 </w:t>
      </w:r>
      <w:r>
        <w:rPr>
          <w:rStyle w:val="242"/>
        </w:rPr>
        <w:t>规范性引用文件</w:t>
      </w:r>
      <w:r>
        <w:tab/>
      </w:r>
      <w:r>
        <w:fldChar w:fldCharType="begin"/>
      </w:r>
      <w:r>
        <w:instrText xml:space="preserve"> PAGEREF _Toc193650180 \h </w:instrText>
      </w:r>
      <w:r>
        <w:fldChar w:fldCharType="separate"/>
      </w:r>
      <w:r>
        <w:t>1</w:t>
      </w:r>
      <w:r>
        <w:fldChar w:fldCharType="end"/>
      </w:r>
      <w:r>
        <w:fldChar w:fldCharType="end"/>
      </w:r>
    </w:p>
    <w:p w14:paraId="6ABB6EDC">
      <w:pPr>
        <w:pStyle w:val="18"/>
        <w:tabs>
          <w:tab w:val="right" w:leader="dot" w:pos="9345"/>
        </w:tabs>
        <w:spacing w:before="78" w:after="78"/>
        <w:rPr>
          <w:rFonts w:asciiTheme="minorHAnsi" w:hAnsiTheme="minorHAnsi" w:eastAsiaTheme="minorEastAsia" w:cstheme="minorBidi"/>
          <w:kern w:val="2"/>
          <w:szCs w:val="22"/>
        </w:rPr>
      </w:pPr>
      <w:r>
        <w:fldChar w:fldCharType="begin"/>
      </w:r>
      <w:r>
        <w:instrText xml:space="preserve"> HYPERLINK \l "_Toc193650181" </w:instrText>
      </w:r>
      <w:r>
        <w:fldChar w:fldCharType="separate"/>
      </w:r>
      <w:r>
        <w:rPr>
          <w:rStyle w:val="242"/>
          <w:rFonts w:hint="eastAsia" w:ascii="宋体" w:hAnsi="宋体" w:eastAsia="宋体" w:cs="宋体"/>
        </w:rPr>
        <w:t xml:space="preserve">3 </w:t>
      </w:r>
      <w:r>
        <w:rPr>
          <w:rStyle w:val="242"/>
        </w:rPr>
        <w:t>术语和定义</w:t>
      </w:r>
      <w:r>
        <w:tab/>
      </w:r>
      <w:r>
        <w:fldChar w:fldCharType="begin"/>
      </w:r>
      <w:r>
        <w:instrText xml:space="preserve"> PAGEREF _Toc193650181 \h </w:instrText>
      </w:r>
      <w:r>
        <w:fldChar w:fldCharType="separate"/>
      </w:r>
      <w:r>
        <w:t>1</w:t>
      </w:r>
      <w:r>
        <w:fldChar w:fldCharType="end"/>
      </w:r>
      <w:r>
        <w:fldChar w:fldCharType="end"/>
      </w:r>
    </w:p>
    <w:p w14:paraId="5179F42F">
      <w:pPr>
        <w:pStyle w:val="18"/>
        <w:tabs>
          <w:tab w:val="right" w:leader="dot" w:pos="9345"/>
        </w:tabs>
        <w:spacing w:before="78" w:after="78"/>
        <w:rPr>
          <w:rFonts w:asciiTheme="minorHAnsi" w:hAnsiTheme="minorHAnsi" w:eastAsiaTheme="minorEastAsia" w:cstheme="minorBidi"/>
          <w:kern w:val="2"/>
          <w:szCs w:val="22"/>
        </w:rPr>
      </w:pPr>
      <w:r>
        <w:fldChar w:fldCharType="begin"/>
      </w:r>
      <w:r>
        <w:instrText xml:space="preserve"> HYPERLINK \l "_Toc193650182" </w:instrText>
      </w:r>
      <w:r>
        <w:fldChar w:fldCharType="separate"/>
      </w:r>
      <w:r>
        <w:rPr>
          <w:rStyle w:val="242"/>
          <w:rFonts w:hint="eastAsia" w:ascii="宋体" w:hAnsi="宋体" w:eastAsia="宋体" w:cs="宋体"/>
        </w:rPr>
        <w:t xml:space="preserve">4 </w:t>
      </w:r>
      <w:r>
        <w:rPr>
          <w:rStyle w:val="242"/>
        </w:rPr>
        <w:t>供配电系统</w:t>
      </w:r>
      <w:r>
        <w:tab/>
      </w:r>
      <w:r>
        <w:fldChar w:fldCharType="begin"/>
      </w:r>
      <w:r>
        <w:instrText xml:space="preserve"> PAGEREF _Toc193650182 \h </w:instrText>
      </w:r>
      <w:r>
        <w:fldChar w:fldCharType="separate"/>
      </w:r>
      <w:r>
        <w:t>2</w:t>
      </w:r>
      <w:r>
        <w:fldChar w:fldCharType="end"/>
      </w:r>
      <w:r>
        <w:fldChar w:fldCharType="end"/>
      </w:r>
    </w:p>
    <w:p w14:paraId="706C061F">
      <w:pPr>
        <w:pStyle w:val="18"/>
        <w:tabs>
          <w:tab w:val="right" w:leader="dot" w:pos="9345"/>
        </w:tabs>
        <w:spacing w:before="78" w:after="78"/>
        <w:rPr>
          <w:rFonts w:asciiTheme="minorHAnsi" w:hAnsiTheme="minorHAnsi" w:eastAsiaTheme="minorEastAsia" w:cstheme="minorBidi"/>
          <w:kern w:val="2"/>
          <w:szCs w:val="22"/>
        </w:rPr>
      </w:pPr>
      <w:r>
        <w:fldChar w:fldCharType="begin"/>
      </w:r>
      <w:r>
        <w:instrText xml:space="preserve"> HYPERLINK \l "_Toc193650183" </w:instrText>
      </w:r>
      <w:r>
        <w:fldChar w:fldCharType="separate"/>
      </w:r>
      <w:r>
        <w:rPr>
          <w:rStyle w:val="242"/>
          <w:rFonts w:hint="eastAsia" w:ascii="宋体" w:hAnsi="宋体" w:eastAsia="宋体" w:cs="宋体"/>
        </w:rPr>
        <w:t xml:space="preserve">5 </w:t>
      </w:r>
      <w:r>
        <w:rPr>
          <w:rStyle w:val="242"/>
        </w:rPr>
        <w:t>控制系统</w:t>
      </w:r>
      <w:r>
        <w:tab/>
      </w:r>
      <w:r>
        <w:fldChar w:fldCharType="begin"/>
      </w:r>
      <w:r>
        <w:instrText xml:space="preserve"> PAGEREF _Toc193650183 \h </w:instrText>
      </w:r>
      <w:r>
        <w:fldChar w:fldCharType="separate"/>
      </w:r>
      <w:r>
        <w:t>2</w:t>
      </w:r>
      <w:r>
        <w:fldChar w:fldCharType="end"/>
      </w:r>
      <w:r>
        <w:fldChar w:fldCharType="end"/>
      </w:r>
    </w:p>
    <w:p w14:paraId="1CFB6291">
      <w:pPr>
        <w:pStyle w:val="258"/>
        <w:ind w:firstLine="420"/>
        <w:rPr>
          <w:rFonts w:hAnsi="宋体" w:cs="宋体"/>
        </w:rPr>
      </w:pPr>
      <w:r>
        <w:rPr>
          <w:rFonts w:hint="eastAsia" w:hAnsi="宋体" w:cs="宋体"/>
        </w:rPr>
        <w:fldChar w:fldCharType="end"/>
      </w:r>
    </w:p>
    <w:bookmarkEnd w:id="2"/>
    <w:p w14:paraId="6EFDE52A">
      <w:pPr>
        <w:pStyle w:val="258"/>
        <w:ind w:firstLine="420"/>
        <w:sectPr>
          <w:headerReference r:id="rId10" w:type="first"/>
          <w:footerReference r:id="rId12" w:type="first"/>
          <w:headerReference r:id="rId9" w:type="default"/>
          <w:footerReference r:id="rId11" w:type="default"/>
          <w:pgSz w:w="11907" w:h="16839"/>
          <w:pgMar w:top="1418" w:right="1134" w:bottom="1134" w:left="1418" w:header="1418" w:footer="1134" w:gutter="0"/>
          <w:pgNumType w:fmt="upperRoman" w:start="1"/>
          <w:cols w:space="425" w:num="1"/>
          <w:docGrid w:type="lines" w:linePitch="312" w:charSpace="0"/>
        </w:sectPr>
      </w:pPr>
    </w:p>
    <w:p w14:paraId="2D681B0C">
      <w:pPr>
        <w:pStyle w:val="256"/>
      </w:pPr>
      <w:bookmarkStart w:id="3" w:name="标准前言"/>
      <w:bookmarkEnd w:id="3"/>
      <w:bookmarkStart w:id="4" w:name="_Toc193650178"/>
      <w:r>
        <w:rPr>
          <w:rFonts w:hint="eastAsia"/>
        </w:rPr>
        <w:t>前    言</w:t>
      </w:r>
      <w:bookmarkEnd w:id="4"/>
    </w:p>
    <w:p w14:paraId="1C06AEA1">
      <w:pPr>
        <w:pStyle w:val="258"/>
        <w:ind w:firstLine="420"/>
      </w:pPr>
      <w:r>
        <w:rPr>
          <w:rFonts w:hint="eastAsia"/>
        </w:rPr>
        <w:t>本文件按照GB/T 1.1—2020《标准化工作导则  第1部分：标准化文件的结构和起草规则》的规定起草。</w:t>
      </w:r>
    </w:p>
    <w:p w14:paraId="71D04B0C">
      <w:pPr>
        <w:pStyle w:val="258"/>
        <w:ind w:firstLine="420"/>
      </w:pPr>
      <w:r>
        <w:rPr>
          <w:rFonts w:hint="eastAsia" w:hAnsi="宋体"/>
        </w:rPr>
        <w:t>DB11/T 388《城市景观照明技术规范》分为8个部分:</w:t>
      </w:r>
    </w:p>
    <w:p w14:paraId="5622DBE2">
      <w:pPr>
        <w:pStyle w:val="285"/>
      </w:pPr>
      <w:r>
        <w:rPr>
          <w:rFonts w:hint="eastAsia"/>
        </w:rPr>
        <w:t>第1部分：总则；</w:t>
      </w:r>
    </w:p>
    <w:p w14:paraId="3030274C">
      <w:pPr>
        <w:pStyle w:val="285"/>
      </w:pPr>
      <w:r>
        <w:rPr>
          <w:rFonts w:hint="eastAsia"/>
        </w:rPr>
        <w:t>第2部分：设计要求；</w:t>
      </w:r>
    </w:p>
    <w:p w14:paraId="2C3E0F19">
      <w:pPr>
        <w:pStyle w:val="285"/>
      </w:pPr>
      <w:r>
        <w:rPr>
          <w:rFonts w:hint="eastAsia"/>
        </w:rPr>
        <w:t>第3部分：干扰光限制；</w:t>
      </w:r>
    </w:p>
    <w:p w14:paraId="76D293DA">
      <w:pPr>
        <w:pStyle w:val="285"/>
      </w:pPr>
      <w:r>
        <w:rPr>
          <w:rFonts w:hint="eastAsia"/>
        </w:rPr>
        <w:t>第4部分：节能要求；</w:t>
      </w:r>
    </w:p>
    <w:p w14:paraId="7C1DC80E">
      <w:pPr>
        <w:pStyle w:val="285"/>
      </w:pPr>
      <w:r>
        <w:rPr>
          <w:rFonts w:hint="eastAsia"/>
        </w:rPr>
        <w:t>第5部分：安全要求；</w:t>
      </w:r>
    </w:p>
    <w:p w14:paraId="67B983F3">
      <w:pPr>
        <w:pStyle w:val="285"/>
      </w:pPr>
      <w:r>
        <w:rPr>
          <w:rFonts w:hint="eastAsia"/>
        </w:rPr>
        <w:t>第6部分：供配电与控制；</w:t>
      </w:r>
    </w:p>
    <w:p w14:paraId="1A7D89AB">
      <w:pPr>
        <w:pStyle w:val="285"/>
      </w:pPr>
      <w:r>
        <w:rPr>
          <w:rFonts w:hint="eastAsia"/>
        </w:rPr>
        <w:t>第7部分：施工与验收；</w:t>
      </w:r>
    </w:p>
    <w:p w14:paraId="039EDEDE">
      <w:pPr>
        <w:pStyle w:val="285"/>
      </w:pPr>
      <w:r>
        <w:rPr>
          <w:rFonts w:hint="eastAsia"/>
        </w:rPr>
        <w:t>第8部分：管理与维护</w:t>
      </w:r>
      <w:r>
        <w:rPr>
          <w:rFonts w:hint="eastAsia"/>
          <w:lang w:eastAsia="zh-CN"/>
        </w:rPr>
        <w:t>。</w:t>
      </w:r>
    </w:p>
    <w:p w14:paraId="2CA891CF">
      <w:pPr>
        <w:pStyle w:val="285"/>
        <w:numPr>
          <w:ilvl w:val="0"/>
          <w:numId w:val="0"/>
        </w:numPr>
        <w:ind w:left="420"/>
        <w:rPr>
          <w:rFonts w:hAnsi="宋体"/>
        </w:rPr>
      </w:pPr>
      <w:r>
        <w:rPr>
          <w:rFonts w:hint="eastAsia" w:hAnsi="宋体"/>
        </w:rPr>
        <w:t>本文件是DB11/T 388《城市景观照明技术规范》的第6部分。</w:t>
      </w:r>
    </w:p>
    <w:p w14:paraId="74231982">
      <w:pPr>
        <w:pStyle w:val="285"/>
        <w:numPr>
          <w:ilvl w:val="0"/>
          <w:numId w:val="0"/>
        </w:numPr>
        <w:ind w:left="420"/>
        <w:rPr>
          <w:rFonts w:hAnsi="宋体"/>
        </w:rPr>
      </w:pPr>
      <w:r>
        <w:rPr>
          <w:rFonts w:hint="eastAsia" w:hAnsi="宋体"/>
        </w:rPr>
        <w:t>本文件代替DB11/T 388.6</w:t>
      </w:r>
      <w:r>
        <w:rPr>
          <w:rFonts w:hint="eastAsia"/>
        </w:rPr>
        <w:t>—</w:t>
      </w:r>
      <w:r>
        <w:rPr>
          <w:rFonts w:hint="eastAsia" w:hAnsi="宋体"/>
        </w:rPr>
        <w:t>20</w:t>
      </w:r>
      <w:r>
        <w:rPr>
          <w:rFonts w:hAnsi="宋体"/>
        </w:rPr>
        <w:t>15</w:t>
      </w:r>
      <w:r>
        <w:rPr>
          <w:rFonts w:hint="eastAsia" w:hAnsi="宋体"/>
        </w:rPr>
        <w:t>《城市夜景照明技术规范 第6部分：供配电与控制》，</w:t>
      </w:r>
      <w:r>
        <w:rPr>
          <w:rFonts w:hint="eastAsia" w:hAnsi="宋体"/>
          <w:szCs w:val="21"/>
        </w:rPr>
        <w:t>与</w:t>
      </w:r>
      <w:r>
        <w:rPr>
          <w:rFonts w:hint="eastAsia" w:hAnsi="宋体"/>
        </w:rPr>
        <w:t xml:space="preserve">DB11/ T </w:t>
      </w:r>
    </w:p>
    <w:p w14:paraId="04400026">
      <w:pPr>
        <w:pStyle w:val="285"/>
        <w:numPr>
          <w:ilvl w:val="0"/>
          <w:numId w:val="0"/>
        </w:numPr>
        <w:rPr>
          <w:rFonts w:hAnsi="宋体"/>
        </w:rPr>
      </w:pPr>
      <w:r>
        <w:rPr>
          <w:rFonts w:hint="eastAsia" w:hAnsi="宋体"/>
        </w:rPr>
        <w:t>388.6</w:t>
      </w:r>
      <w:r>
        <w:rPr>
          <w:rFonts w:hint="eastAsia"/>
        </w:rPr>
        <w:t>—</w:t>
      </w:r>
      <w:r>
        <w:rPr>
          <w:rFonts w:hint="eastAsia" w:hAnsi="宋体"/>
        </w:rPr>
        <w:t>2015</w:t>
      </w:r>
      <w:r>
        <w:rPr>
          <w:rFonts w:hint="eastAsia" w:hAnsi="宋体"/>
          <w:szCs w:val="21"/>
        </w:rPr>
        <w:t>相比，</w:t>
      </w:r>
      <w:r>
        <w:rPr>
          <w:rFonts w:hint="eastAsia" w:hAnsi="宋体"/>
        </w:rPr>
        <w:t>除编辑性改动外，主要技术变化如下：</w:t>
      </w:r>
    </w:p>
    <w:p w14:paraId="1EAA1013">
      <w:pPr>
        <w:pStyle w:val="285"/>
      </w:pPr>
      <w:r>
        <w:rPr>
          <w:rFonts w:hint="eastAsia"/>
        </w:rPr>
        <w:t>增加了术语和定义（见3.1～3.5）；</w:t>
      </w:r>
    </w:p>
    <w:p w14:paraId="15BAC164">
      <w:pPr>
        <w:pStyle w:val="285"/>
      </w:pPr>
      <w:r>
        <w:rPr>
          <w:rFonts w:hint="eastAsia"/>
        </w:rPr>
        <w:t>删除了一般要求（见2015年</w:t>
      </w:r>
      <w:r>
        <w:rPr>
          <w:rFonts w:hint="eastAsia" w:hAnsi="宋体"/>
        </w:rPr>
        <w:t>版4）；</w:t>
      </w:r>
    </w:p>
    <w:p w14:paraId="03BF7669">
      <w:pPr>
        <w:pStyle w:val="285"/>
      </w:pPr>
      <w:r>
        <w:rPr>
          <w:rFonts w:hint="eastAsia" w:hAnsi="宋体"/>
        </w:rPr>
        <w:t>增加了供配电通用要求（见</w:t>
      </w:r>
      <w:r>
        <w:rPr>
          <w:rFonts w:hAnsi="宋体"/>
        </w:rPr>
        <w:t>4</w:t>
      </w:r>
      <w:r>
        <w:rPr>
          <w:rFonts w:hint="eastAsia" w:hAnsi="宋体"/>
        </w:rPr>
        <w:t>.</w:t>
      </w:r>
      <w:r>
        <w:rPr>
          <w:rFonts w:hAnsi="宋体"/>
        </w:rPr>
        <w:t>1</w:t>
      </w:r>
      <w:r>
        <w:rPr>
          <w:rFonts w:hint="eastAsia" w:hAnsi="宋体"/>
        </w:rPr>
        <w:t>、4</w:t>
      </w:r>
      <w:r>
        <w:rPr>
          <w:rFonts w:hAnsi="宋体"/>
        </w:rPr>
        <w:t>.2</w:t>
      </w:r>
      <w:r>
        <w:rPr>
          <w:rFonts w:hint="eastAsia" w:hAnsi="宋体"/>
        </w:rPr>
        <w:t>）；</w:t>
      </w:r>
    </w:p>
    <w:p w14:paraId="0B47596B">
      <w:pPr>
        <w:pStyle w:val="285"/>
      </w:pPr>
      <w:r>
        <w:rPr>
          <w:rFonts w:hint="eastAsia" w:hAnsi="宋体"/>
          <w:szCs w:val="21"/>
        </w:rPr>
        <w:t>修改了供配电系统（见</w:t>
      </w:r>
      <w:r>
        <w:rPr>
          <w:rFonts w:hint="eastAsia" w:hAnsi="宋体"/>
        </w:rPr>
        <w:t>4.3～4.</w:t>
      </w:r>
      <w:r>
        <w:rPr>
          <w:rFonts w:hAnsi="宋体"/>
        </w:rPr>
        <w:t>6</w:t>
      </w:r>
      <w:r>
        <w:rPr>
          <w:rFonts w:hint="eastAsia" w:hAnsi="宋体"/>
        </w:rPr>
        <w:t>、4.9～4.15，见2015</w:t>
      </w:r>
      <w:r>
        <w:rPr>
          <w:rFonts w:hint="eastAsia" w:hAnsi="宋体"/>
          <w:szCs w:val="21"/>
        </w:rPr>
        <w:t>年版</w:t>
      </w:r>
      <w:r>
        <w:rPr>
          <w:rFonts w:hint="eastAsia" w:hAnsi="宋体"/>
        </w:rPr>
        <w:t>5</w:t>
      </w:r>
      <w:r>
        <w:rPr>
          <w:rFonts w:hint="eastAsia" w:hAnsi="宋体"/>
          <w:szCs w:val="21"/>
        </w:rPr>
        <w:t>）；</w:t>
      </w:r>
    </w:p>
    <w:p w14:paraId="3186B04B">
      <w:pPr>
        <w:pStyle w:val="285"/>
      </w:pPr>
      <w:r>
        <w:rPr>
          <w:rFonts w:hint="eastAsia" w:hAnsi="宋体"/>
        </w:rPr>
        <w:t>增加了连接灯具个数要求（见</w:t>
      </w:r>
      <w:r>
        <w:rPr>
          <w:rFonts w:hAnsi="宋体"/>
        </w:rPr>
        <w:t>4</w:t>
      </w:r>
      <w:r>
        <w:rPr>
          <w:rFonts w:hint="eastAsia" w:hAnsi="宋体"/>
        </w:rPr>
        <w:t>.</w:t>
      </w:r>
      <w:r>
        <w:rPr>
          <w:rFonts w:hAnsi="宋体"/>
        </w:rPr>
        <w:t>9</w:t>
      </w:r>
      <w:r>
        <w:rPr>
          <w:rFonts w:hint="eastAsia" w:hAnsi="宋体"/>
        </w:rPr>
        <w:t>）；</w:t>
      </w:r>
    </w:p>
    <w:p w14:paraId="069C074E">
      <w:pPr>
        <w:pStyle w:val="285"/>
      </w:pPr>
      <w:r>
        <w:rPr>
          <w:rFonts w:hint="eastAsia" w:ascii="Arial" w:hAnsi="Arial" w:cs="Arial"/>
          <w:sz w:val="20"/>
        </w:rPr>
        <w:t>删除了负荷计算需用系数</w:t>
      </w:r>
      <w:r>
        <w:rPr>
          <w:rFonts w:hint="eastAsia" w:hAnsi="宋体"/>
        </w:rPr>
        <w:t>（</w:t>
      </w:r>
      <w:r>
        <w:rPr>
          <w:rFonts w:hint="eastAsia" w:hAnsi="宋体"/>
          <w:szCs w:val="21"/>
        </w:rPr>
        <w:t>见</w:t>
      </w:r>
      <w:r>
        <w:rPr>
          <w:rFonts w:hint="eastAsia" w:hAnsi="宋体"/>
        </w:rPr>
        <w:t>2015年版5.3）；</w:t>
      </w:r>
    </w:p>
    <w:p w14:paraId="34468C89">
      <w:pPr>
        <w:pStyle w:val="285"/>
      </w:pPr>
      <w:r>
        <w:rPr>
          <w:rFonts w:hint="eastAsia" w:hAnsi="宋体"/>
          <w:szCs w:val="21"/>
        </w:rPr>
        <w:t>增加了智能控制的系列要求（见</w:t>
      </w:r>
      <w:r>
        <w:rPr>
          <w:rFonts w:hint="eastAsia" w:hAnsi="宋体"/>
        </w:rPr>
        <w:t>5.7～5.11</w:t>
      </w:r>
      <w:r>
        <w:rPr>
          <w:rFonts w:hint="eastAsia" w:hAnsi="宋体"/>
          <w:szCs w:val="21"/>
        </w:rPr>
        <w:t>）。</w:t>
      </w:r>
    </w:p>
    <w:p w14:paraId="6885AE7D">
      <w:pPr>
        <w:pStyle w:val="258"/>
        <w:ind w:firstLine="420"/>
      </w:pPr>
      <w:r>
        <w:rPr>
          <w:rFonts w:hint="eastAsia"/>
        </w:rPr>
        <w:t>本文件由</w:t>
      </w:r>
      <w:r>
        <w:rPr>
          <w:rFonts w:hint="eastAsia" w:hAnsi="宋体"/>
          <w:szCs w:val="21"/>
        </w:rPr>
        <w:t>北京市城市管理委员会</w:t>
      </w:r>
      <w:r>
        <w:rPr>
          <w:rFonts w:hint="eastAsia"/>
        </w:rPr>
        <w:t>提出并归口。</w:t>
      </w:r>
    </w:p>
    <w:p w14:paraId="448B179B">
      <w:pPr>
        <w:pStyle w:val="258"/>
        <w:ind w:firstLine="420"/>
      </w:pPr>
      <w:r>
        <w:rPr>
          <w:rFonts w:hint="eastAsia"/>
        </w:rPr>
        <w:t>本文件由</w:t>
      </w:r>
      <w:r>
        <w:rPr>
          <w:rFonts w:hint="eastAsia" w:hAnsi="宋体"/>
          <w:szCs w:val="21"/>
        </w:rPr>
        <w:t>北京市城市管理委员会组织实施</w:t>
      </w:r>
      <w:r>
        <w:rPr>
          <w:rFonts w:hint="eastAsia"/>
        </w:rPr>
        <w:t>。</w:t>
      </w:r>
    </w:p>
    <w:p w14:paraId="77CF985F">
      <w:pPr>
        <w:pStyle w:val="258"/>
        <w:ind w:firstLine="420"/>
      </w:pPr>
      <w:r>
        <w:rPr>
          <w:rFonts w:hint="eastAsia"/>
        </w:rPr>
        <w:t>本文件起草单位：北京照明学会</w:t>
      </w:r>
    </w:p>
    <w:p w14:paraId="2787EE64">
      <w:pPr>
        <w:pStyle w:val="258"/>
        <w:ind w:firstLine="420"/>
      </w:pPr>
      <w:r>
        <w:rPr>
          <w:rFonts w:hint="eastAsia"/>
        </w:rPr>
        <w:t>本文件主要起草人：</w:t>
      </w:r>
    </w:p>
    <w:p w14:paraId="665A5CA9">
      <w:pPr>
        <w:pStyle w:val="258"/>
        <w:ind w:firstLine="420"/>
      </w:pPr>
      <w:r>
        <w:rPr>
          <w:rFonts w:hint="eastAsia"/>
        </w:rPr>
        <w:t>本文件及其所代替文件的历次版本发布情况为：</w:t>
      </w:r>
    </w:p>
    <w:p w14:paraId="780224D9">
      <w:pPr>
        <w:pStyle w:val="285"/>
      </w:pPr>
      <w:r>
        <w:rPr>
          <w:rFonts w:hint="eastAsia" w:hAnsi="宋体"/>
        </w:rPr>
        <w:t>2006年首次发布为DB11/T 388.5</w:t>
      </w:r>
      <w:r>
        <w:rPr>
          <w:rFonts w:hint="eastAsia"/>
        </w:rPr>
        <w:t>—</w:t>
      </w:r>
      <w:r>
        <w:rPr>
          <w:rFonts w:hint="eastAsia" w:hAnsi="宋体"/>
        </w:rPr>
        <w:t>2006；2015年第一次修订；</w:t>
      </w:r>
    </w:p>
    <w:p w14:paraId="6E3E4DD2">
      <w:pPr>
        <w:pStyle w:val="285"/>
        <w:sectPr>
          <w:pgSz w:w="11907" w:h="16839"/>
          <w:pgMar w:top="1418" w:right="1134" w:bottom="1134" w:left="1418" w:header="1418" w:footer="1134" w:gutter="0"/>
          <w:pgNumType w:fmt="upperRoman"/>
          <w:cols w:space="425" w:num="1"/>
          <w:docGrid w:type="lines" w:linePitch="312" w:charSpace="0"/>
        </w:sectPr>
      </w:pPr>
      <w:r>
        <w:rPr>
          <w:rFonts w:hint="eastAsia" w:hAnsi="宋体"/>
        </w:rPr>
        <w:t>本次为第二次修订。</w:t>
      </w:r>
    </w:p>
    <w:p w14:paraId="193390A3">
      <w:pPr>
        <w:pStyle w:val="315"/>
      </w:pPr>
      <w:bookmarkStart w:id="5" w:name="标准内容"/>
      <w:bookmarkEnd w:id="5"/>
      <w:r>
        <w:rPr>
          <w:rFonts w:hint="eastAsia"/>
        </w:rPr>
        <w:t>城市景观照明技术规范</w:t>
      </w:r>
      <w:r>
        <w:rPr>
          <w:rFonts w:hint="eastAsia"/>
        </w:rPr>
        <w:br w:type="textWrapping"/>
      </w:r>
      <w:r>
        <w:rPr>
          <w:rFonts w:hint="eastAsia"/>
        </w:rPr>
        <w:t>第6部分：供配电与控制</w:t>
      </w:r>
    </w:p>
    <w:p w14:paraId="35961081">
      <w:pPr>
        <w:pStyle w:val="259"/>
      </w:pPr>
      <w:bookmarkStart w:id="6" w:name="_Toc193650179"/>
      <w:r>
        <w:rPr>
          <w:rFonts w:hint="eastAsia"/>
        </w:rPr>
        <w:t>范围</w:t>
      </w:r>
      <w:bookmarkEnd w:id="6"/>
    </w:p>
    <w:p w14:paraId="115921D1">
      <w:pPr>
        <w:pStyle w:val="258"/>
        <w:ind w:firstLine="420"/>
      </w:pPr>
      <w:r>
        <w:rPr>
          <w:rFonts w:hint="eastAsia"/>
        </w:rPr>
        <w:t>本文件规定了城市景观照明的供配电与控制系统要求。</w:t>
      </w:r>
    </w:p>
    <w:p w14:paraId="55B01602">
      <w:pPr>
        <w:pStyle w:val="258"/>
        <w:ind w:firstLine="420"/>
      </w:pPr>
      <w:r>
        <w:rPr>
          <w:rFonts w:hint="eastAsia"/>
        </w:rPr>
        <w:t>本文件适用于建筑物、构筑物、街区、广场、桥梁、公园、风景名胜区等为载体的景观照明的供配电与控制系统。</w:t>
      </w:r>
    </w:p>
    <w:p w14:paraId="35C8E0F8">
      <w:pPr>
        <w:pStyle w:val="259"/>
      </w:pPr>
      <w:bookmarkStart w:id="7" w:name="_Toc26718931"/>
      <w:bookmarkStart w:id="8" w:name="_Toc26986531"/>
      <w:bookmarkStart w:id="9" w:name="_Toc26986772"/>
      <w:bookmarkStart w:id="10" w:name="_Toc193650180"/>
      <w:r>
        <w:rPr>
          <w:rFonts w:hint="eastAsia"/>
        </w:rPr>
        <w:t>规范性引用文件</w:t>
      </w:r>
      <w:bookmarkEnd w:id="7"/>
      <w:bookmarkEnd w:id="8"/>
      <w:bookmarkEnd w:id="9"/>
      <w:bookmarkEnd w:id="10"/>
    </w:p>
    <w:p w14:paraId="21ACE6F5">
      <w:pPr>
        <w:pStyle w:val="258"/>
        <w:ind w:firstLine="420"/>
      </w:pPr>
      <w:sdt>
        <w:sdtPr>
          <w:rPr>
            <w:rFonts w:hint="eastAsia"/>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tab/>
      </w:r>
    </w:p>
    <w:p w14:paraId="41189486">
      <w:pPr>
        <w:pStyle w:val="258"/>
        <w:tabs>
          <w:tab w:val="center" w:pos="4201"/>
          <w:tab w:val="right" w:leader="dot" w:pos="9298"/>
        </w:tabs>
        <w:ind w:firstLine="420"/>
      </w:pPr>
      <w:r>
        <w:rPr>
          <w:rFonts w:hint="eastAsia"/>
        </w:rPr>
        <w:t>GB 13955</w:t>
      </w:r>
      <w:r>
        <w:rPr>
          <w:rFonts w:hint="eastAsia"/>
          <w:lang w:val="en-US" w:eastAsia="zh-CN"/>
        </w:rPr>
        <w:t xml:space="preserve">  </w:t>
      </w:r>
      <w:r>
        <w:rPr>
          <w:rFonts w:hint="eastAsia"/>
        </w:rPr>
        <w:t>剩余电流动作保护装置安装和运行</w:t>
      </w:r>
    </w:p>
    <w:p w14:paraId="5B98C50F">
      <w:pPr>
        <w:pStyle w:val="258"/>
        <w:tabs>
          <w:tab w:val="center" w:pos="4201"/>
          <w:tab w:val="right" w:leader="dot" w:pos="9298"/>
        </w:tabs>
        <w:ind w:firstLine="420"/>
      </w:pPr>
      <w:r>
        <w:rPr>
          <w:rFonts w:hint="eastAsia"/>
        </w:rPr>
        <w:t>GB 17625.1</w:t>
      </w:r>
      <w:r>
        <w:rPr>
          <w:rFonts w:hint="eastAsia"/>
          <w:lang w:val="en-US" w:eastAsia="zh-CN"/>
        </w:rPr>
        <w:t xml:space="preserve">  </w:t>
      </w:r>
      <w:r>
        <w:rPr>
          <w:rFonts w:hint="eastAsia"/>
        </w:rPr>
        <w:t>电磁兼容 限值 谐波电流发射限值（设备每相输入电流≤16A）</w:t>
      </w:r>
    </w:p>
    <w:p w14:paraId="0FD96D79">
      <w:pPr>
        <w:pStyle w:val="258"/>
        <w:tabs>
          <w:tab w:val="center" w:pos="4201"/>
          <w:tab w:val="right" w:leader="dot" w:pos="9298"/>
        </w:tabs>
        <w:ind w:firstLine="420"/>
      </w:pPr>
      <w:r>
        <w:rPr>
          <w:rFonts w:hint="eastAsia"/>
        </w:rPr>
        <w:t>GB 17743</w:t>
      </w:r>
      <w:r>
        <w:rPr>
          <w:rFonts w:hint="eastAsia"/>
          <w:lang w:val="en-US" w:eastAsia="zh-CN"/>
        </w:rPr>
        <w:t xml:space="preserve">  </w:t>
      </w:r>
      <w:r>
        <w:rPr>
          <w:rFonts w:hint="eastAsia"/>
        </w:rPr>
        <w:t>电气照明和类似设备的无线电骚扰特性的限值和测量方法</w:t>
      </w:r>
    </w:p>
    <w:p w14:paraId="2F6264CE">
      <w:pPr>
        <w:pStyle w:val="258"/>
        <w:tabs>
          <w:tab w:val="center" w:pos="4201"/>
          <w:tab w:val="right" w:leader="dot" w:pos="9298"/>
        </w:tabs>
        <w:ind w:firstLine="420"/>
        <w:rPr>
          <w:rFonts w:hAnsi="宋体"/>
        </w:rPr>
      </w:pPr>
      <w:r>
        <w:rPr>
          <w:rFonts w:hint="eastAsia" w:hAnsi="宋体"/>
        </w:rPr>
        <w:t>GB 50052</w:t>
      </w:r>
      <w:r>
        <w:rPr>
          <w:rFonts w:hint="eastAsia" w:hAnsi="宋体"/>
          <w:lang w:val="en-US" w:eastAsia="zh-CN"/>
        </w:rPr>
        <w:t xml:space="preserve">  </w:t>
      </w:r>
      <w:r>
        <w:rPr>
          <w:rFonts w:hint="eastAsia" w:hAnsi="宋体"/>
        </w:rPr>
        <w:t>供配电系统设计规范</w:t>
      </w:r>
    </w:p>
    <w:p w14:paraId="7B56A0AD">
      <w:pPr>
        <w:pStyle w:val="258"/>
        <w:tabs>
          <w:tab w:val="center" w:pos="4201"/>
          <w:tab w:val="right" w:leader="dot" w:pos="9298"/>
        </w:tabs>
        <w:ind w:firstLine="420"/>
      </w:pPr>
      <w:r>
        <w:rPr>
          <w:rFonts w:hint="eastAsia"/>
        </w:rPr>
        <w:t>GB 50054</w:t>
      </w:r>
      <w:r>
        <w:rPr>
          <w:rFonts w:hint="eastAsia"/>
          <w:lang w:val="en-US" w:eastAsia="zh-CN"/>
        </w:rPr>
        <w:t xml:space="preserve">  </w:t>
      </w:r>
      <w:r>
        <w:rPr>
          <w:rFonts w:hint="eastAsia"/>
        </w:rPr>
        <w:t>低压配电设</w:t>
      </w:r>
      <w:bookmarkStart w:id="32" w:name="_GoBack"/>
      <w:bookmarkEnd w:id="32"/>
      <w:r>
        <w:rPr>
          <w:rFonts w:hint="eastAsia"/>
        </w:rPr>
        <w:t>计规范</w:t>
      </w:r>
    </w:p>
    <w:p w14:paraId="19D3FCC1">
      <w:pPr>
        <w:pStyle w:val="258"/>
        <w:tabs>
          <w:tab w:val="center" w:pos="4201"/>
          <w:tab w:val="right" w:leader="dot" w:pos="9298"/>
        </w:tabs>
        <w:ind w:firstLine="420"/>
        <w:rPr>
          <w:rFonts w:hAnsi="宋体"/>
        </w:rPr>
      </w:pPr>
      <w:r>
        <w:rPr>
          <w:rFonts w:hAnsi="宋体"/>
        </w:rPr>
        <w:t>GB 55024</w:t>
      </w:r>
      <w:r>
        <w:rPr>
          <w:rFonts w:hint="eastAsia" w:hAnsi="宋体"/>
          <w:lang w:val="en-US" w:eastAsia="zh-CN"/>
        </w:rPr>
        <w:t xml:space="preserve">  </w:t>
      </w:r>
      <w:r>
        <w:rPr>
          <w:rFonts w:hint="eastAsia" w:hAnsi="宋体"/>
        </w:rPr>
        <w:t>建筑电气与智能化通用规范</w:t>
      </w:r>
    </w:p>
    <w:p w14:paraId="63C3FCF2">
      <w:pPr>
        <w:pStyle w:val="258"/>
        <w:ind w:firstLine="420"/>
      </w:pPr>
      <w:r>
        <w:rPr>
          <w:rFonts w:hint="eastAsia"/>
        </w:rPr>
        <w:t>DB11/T 388.1</w:t>
      </w:r>
      <w:r>
        <w:rPr>
          <w:rFonts w:hint="eastAsia"/>
          <w:lang w:val="en-US" w:eastAsia="zh-CN"/>
        </w:rPr>
        <w:t xml:space="preserve">  </w:t>
      </w:r>
      <w:r>
        <w:rPr>
          <w:rFonts w:hint="eastAsia"/>
        </w:rPr>
        <w:t>城市景观照明技术规范 第1部分： 总则</w:t>
      </w:r>
    </w:p>
    <w:p w14:paraId="6E7F3F0D">
      <w:pPr>
        <w:pStyle w:val="259"/>
      </w:pPr>
      <w:bookmarkStart w:id="11" w:name="_Toc193650181"/>
      <w:r>
        <w:rPr>
          <w:rFonts w:hint="eastAsia"/>
        </w:rPr>
        <w:t>术语和定义</w:t>
      </w:r>
      <w:bookmarkEnd w:id="11"/>
    </w:p>
    <w:sdt>
      <w:sdt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C660A16">
          <w:pPr>
            <w:pStyle w:val="258"/>
            <w:ind w:firstLine="420"/>
          </w:pPr>
          <w:bookmarkStart w:id="12" w:name="_Toc26986532"/>
          <w:bookmarkEnd w:id="12"/>
          <w:r>
            <w:rPr>
              <w:rFonts w:hint="eastAsia"/>
            </w:rPr>
            <w:t xml:space="preserve">DB11/T 388.1 </w:t>
          </w:r>
          <w:r>
            <w:t>界定的以及下列术语和定义适用于本文件。</w:t>
          </w:r>
        </w:p>
      </w:sdtContent>
    </w:sdt>
    <w:p w14:paraId="5141F74F">
      <w:pPr>
        <w:pStyle w:val="260"/>
      </w:pPr>
    </w:p>
    <w:p w14:paraId="19A669CE">
      <w:pPr>
        <w:pStyle w:val="258"/>
        <w:ind w:firstLine="420"/>
        <w:rPr>
          <w:rFonts w:ascii="黑体" w:eastAsia="黑体"/>
        </w:rPr>
      </w:pPr>
      <w:r>
        <w:rPr>
          <w:rFonts w:hint="eastAsia" w:ascii="黑体" w:eastAsia="黑体"/>
        </w:rPr>
        <w:t>智能照明控制系统 intelligent lighting control system</w:t>
      </w:r>
    </w:p>
    <w:p w14:paraId="4C3C98E1">
      <w:pPr>
        <w:pStyle w:val="258"/>
        <w:ind w:firstLine="420"/>
      </w:pPr>
      <w:r>
        <w:rPr>
          <w:rFonts w:hint="eastAsia"/>
        </w:rPr>
        <w:t>利用计算机、网络通信、自动控制等技术，通过对环境信息和用户需求进行分析和处理，实施特定的控制策略，对照明系统进行整体控制和管理，以达到预期照明效果的控制系统。</w:t>
      </w:r>
    </w:p>
    <w:p w14:paraId="094C5519">
      <w:pPr>
        <w:pStyle w:val="260"/>
      </w:pPr>
    </w:p>
    <w:p w14:paraId="48634EB4">
      <w:pPr>
        <w:pStyle w:val="258"/>
        <w:ind w:firstLine="420"/>
        <w:rPr>
          <w:rFonts w:ascii="黑体" w:eastAsia="黑体"/>
        </w:rPr>
      </w:pPr>
      <w:r>
        <w:rPr>
          <w:rFonts w:hint="eastAsia" w:ascii="黑体" w:eastAsia="黑体"/>
        </w:rPr>
        <w:t xml:space="preserve">供电电压  </w:t>
      </w:r>
      <w:r>
        <w:rPr>
          <w:rFonts w:ascii="黑体" w:eastAsia="黑体"/>
        </w:rPr>
        <w:t>supply voltage</w:t>
      </w:r>
    </w:p>
    <w:p w14:paraId="04DDF711">
      <w:pPr>
        <w:pStyle w:val="258"/>
        <w:ind w:firstLine="420"/>
      </w:pPr>
      <w:r>
        <w:rPr>
          <w:rFonts w:hint="eastAsia"/>
        </w:rPr>
        <w:t>供电点处的线电压或相电压。</w:t>
      </w:r>
    </w:p>
    <w:p w14:paraId="76DE7063">
      <w:pPr>
        <w:pStyle w:val="260"/>
      </w:pPr>
    </w:p>
    <w:p w14:paraId="52E838A4">
      <w:pPr>
        <w:pStyle w:val="258"/>
        <w:ind w:firstLine="420"/>
        <w:rPr>
          <w:rFonts w:ascii="黑体" w:eastAsia="黑体"/>
        </w:rPr>
      </w:pPr>
      <w:r>
        <w:rPr>
          <w:rFonts w:hint="eastAsia" w:ascii="黑体" w:eastAsia="黑体"/>
        </w:rPr>
        <w:t xml:space="preserve">系统标称电压 </w:t>
      </w:r>
      <w:r>
        <w:rPr>
          <w:rFonts w:ascii="黑体" w:eastAsia="黑体"/>
        </w:rPr>
        <w:t>nominal system voltage</w:t>
      </w:r>
    </w:p>
    <w:p w14:paraId="57175AA4">
      <w:pPr>
        <w:pStyle w:val="258"/>
        <w:ind w:firstLine="420"/>
      </w:pPr>
      <w:r>
        <w:rPr>
          <w:rFonts w:hint="eastAsia"/>
        </w:rPr>
        <w:t>用以标志或识别系统电压的给定值。</w:t>
      </w:r>
    </w:p>
    <w:p w14:paraId="7158CC92">
      <w:pPr>
        <w:pStyle w:val="260"/>
      </w:pPr>
    </w:p>
    <w:p w14:paraId="08ADA9ED">
      <w:pPr>
        <w:pStyle w:val="258"/>
        <w:ind w:firstLine="420"/>
        <w:rPr>
          <w:rFonts w:ascii="黑体" w:eastAsia="黑体"/>
        </w:rPr>
      </w:pPr>
      <w:r>
        <w:rPr>
          <w:rFonts w:hint="eastAsia" w:ascii="黑体" w:eastAsia="黑体"/>
        </w:rPr>
        <w:t xml:space="preserve">电压偏差 </w:t>
      </w:r>
      <w:r>
        <w:rPr>
          <w:rFonts w:ascii="黑体" w:eastAsia="黑体"/>
        </w:rPr>
        <w:t>voltage deviation</w:t>
      </w:r>
    </w:p>
    <w:p w14:paraId="7AC64440">
      <w:pPr>
        <w:pStyle w:val="258"/>
        <w:ind w:firstLine="420"/>
      </w:pPr>
      <w:r>
        <w:rPr>
          <w:rFonts w:hint="eastAsia"/>
        </w:rPr>
        <w:t>实际运行电压对系统标称电压的偏差相对值，以百分数表示。</w:t>
      </w:r>
    </w:p>
    <w:p w14:paraId="268E4492">
      <w:pPr>
        <w:pStyle w:val="260"/>
      </w:pPr>
    </w:p>
    <w:p w14:paraId="1F517F81">
      <w:pPr>
        <w:pStyle w:val="258"/>
        <w:ind w:firstLine="420"/>
        <w:rPr>
          <w:rFonts w:ascii="黑体" w:eastAsia="黑体"/>
        </w:rPr>
      </w:pPr>
      <w:r>
        <w:rPr>
          <w:rFonts w:hint="eastAsia" w:ascii="黑体" w:eastAsia="黑体"/>
        </w:rPr>
        <w:t xml:space="preserve">（设备的）额定电压 </w:t>
      </w:r>
      <w:r>
        <w:rPr>
          <w:rFonts w:ascii="黑体" w:eastAsia="黑体"/>
        </w:rPr>
        <w:t>rated voltage(of equipment)</w:t>
      </w:r>
    </w:p>
    <w:p w14:paraId="11C64BE8">
      <w:pPr>
        <w:pStyle w:val="258"/>
        <w:ind w:firstLine="420"/>
      </w:pPr>
      <w:r>
        <w:rPr>
          <w:rFonts w:hint="eastAsia"/>
        </w:rPr>
        <w:t>通常由制造厂</w:t>
      </w:r>
      <w:r>
        <w:rPr>
          <w:rFonts w:hint="eastAsia"/>
          <w:lang w:val="en-US" w:eastAsia="zh-CN"/>
        </w:rPr>
        <w:t>家</w:t>
      </w:r>
      <w:r>
        <w:rPr>
          <w:rFonts w:hint="eastAsia"/>
        </w:rPr>
        <w:t>确定，用以规定原件、期间或设备的额定工作条件的电压。</w:t>
      </w:r>
    </w:p>
    <w:p w14:paraId="3E0D6DC3">
      <w:pPr>
        <w:pStyle w:val="259"/>
      </w:pPr>
      <w:bookmarkStart w:id="13" w:name="_Toc165650026"/>
      <w:bookmarkStart w:id="14" w:name="_Toc193650182"/>
      <w:bookmarkStart w:id="15" w:name="_Toc32564"/>
      <w:bookmarkStart w:id="16" w:name="_Toc13276"/>
      <w:bookmarkStart w:id="17" w:name="_Toc17866"/>
      <w:bookmarkStart w:id="18" w:name="_Toc397083087"/>
      <w:bookmarkStart w:id="19" w:name="_Toc28715"/>
      <w:r>
        <w:rPr>
          <w:rFonts w:hint="eastAsia"/>
        </w:rPr>
        <w:t>供配电系统</w:t>
      </w:r>
      <w:bookmarkEnd w:id="13"/>
      <w:bookmarkEnd w:id="14"/>
      <w:bookmarkEnd w:id="15"/>
      <w:bookmarkEnd w:id="16"/>
      <w:bookmarkEnd w:id="17"/>
      <w:bookmarkEnd w:id="18"/>
      <w:bookmarkEnd w:id="19"/>
    </w:p>
    <w:p w14:paraId="444A29DF">
      <w:pPr>
        <w:pStyle w:val="330"/>
      </w:pPr>
      <w:r>
        <w:rPr>
          <w:rFonts w:hint="eastAsia" w:ascii="宋体" w:hAnsi="宋体" w:eastAsia="宋体"/>
        </w:rPr>
        <w:t>负荷等级的划分应符合GB 55024 、GB 50052的要求。</w:t>
      </w:r>
    </w:p>
    <w:p w14:paraId="7F83CAE1">
      <w:pPr>
        <w:pStyle w:val="330"/>
      </w:pPr>
      <w:r>
        <w:rPr>
          <w:rFonts w:hint="eastAsia" w:ascii="宋体" w:hAnsi="宋体" w:eastAsia="宋体"/>
        </w:rPr>
        <w:t>配电线路的保护应符合GB 55024 、GB 50054的要求。</w:t>
      </w:r>
    </w:p>
    <w:p w14:paraId="7326D1D0">
      <w:pPr>
        <w:pStyle w:val="330"/>
      </w:pPr>
      <w:r>
        <w:rPr>
          <w:rFonts w:hint="eastAsia" w:ascii="宋体" w:hAnsi="宋体" w:eastAsia="宋体"/>
        </w:rPr>
        <w:t>应根据照明负荷中断供电造成的影响及损失，合理地确定负荷等级，举办重要国际会议、国家重大庆典活动的景观照明用电负荷不应低于一级负荷，具有重大社会影响的景观照明用电负荷不应低于二级负荷，其余为三级负荷。</w:t>
      </w:r>
    </w:p>
    <w:p w14:paraId="1360395E">
      <w:pPr>
        <w:pStyle w:val="330"/>
      </w:pPr>
      <w:r>
        <w:rPr>
          <w:rFonts w:hint="eastAsia"/>
        </w:rPr>
        <w:t>景观照明交流供电电压宜为 220V/380V，供电半径不宜超过 0.5km。三相</w:t>
      </w:r>
      <w:r>
        <w:rPr>
          <w:rFonts w:hint="eastAsia" w:ascii="宋体" w:hAnsi="宋体" w:eastAsia="宋体"/>
        </w:rPr>
        <w:t>供电的电压偏差宜为标称电压的±</w:t>
      </w:r>
      <w:r>
        <w:rPr>
          <w:rFonts w:ascii="宋体" w:hAnsi="宋体" w:eastAsia="宋体"/>
        </w:rPr>
        <w:t>7</w:t>
      </w:r>
      <w:r>
        <w:rPr>
          <w:rFonts w:hint="eastAsia" w:ascii="宋体" w:hAnsi="宋体" w:eastAsia="宋体"/>
        </w:rPr>
        <w:t>%，</w:t>
      </w:r>
      <w:r>
        <w:rPr>
          <w:rFonts w:hint="eastAsia"/>
        </w:rPr>
        <w:t>2</w:t>
      </w:r>
      <w:r>
        <w:t>20V</w:t>
      </w:r>
      <w:r>
        <w:rPr>
          <w:rFonts w:hint="eastAsia"/>
        </w:rPr>
        <w:t>单相</w:t>
      </w:r>
      <w:r>
        <w:rPr>
          <w:rFonts w:hint="eastAsia" w:ascii="宋体" w:hAnsi="宋体" w:eastAsia="宋体"/>
        </w:rPr>
        <w:t>供电的电压偏差宜为标称电压的</w:t>
      </w:r>
      <w:r>
        <w:rPr>
          <w:rFonts w:hint="eastAsia"/>
        </w:rPr>
        <w:t>+5</w:t>
      </w:r>
      <w:r>
        <w:t>%</w:t>
      </w:r>
      <w:r>
        <w:rPr>
          <w:rFonts w:hint="eastAsia"/>
        </w:rPr>
        <w:t>，-</w:t>
      </w:r>
      <w:r>
        <w:t>1</w:t>
      </w:r>
      <w:r>
        <w:rPr>
          <w:rFonts w:hint="eastAsia"/>
        </w:rPr>
        <w:t>0%。</w:t>
      </w:r>
    </w:p>
    <w:p w14:paraId="611C1DAB">
      <w:pPr>
        <w:pStyle w:val="330"/>
      </w:pPr>
      <w:r>
        <w:rPr>
          <w:rFonts w:hint="eastAsia"/>
        </w:rPr>
        <w:t>交流供电时，照明灯具端电压不宜高于灯具额定电压的</w:t>
      </w:r>
      <w:bookmarkStart w:id="20" w:name="OLE_LINK4"/>
      <w:bookmarkStart w:id="21" w:name="OLE_LINK3"/>
      <w:r>
        <w:rPr>
          <w:rFonts w:hint="eastAsia"/>
        </w:rPr>
        <w:t>+5</w:t>
      </w:r>
      <w:r>
        <w:t>%</w:t>
      </w:r>
      <w:r>
        <w:rPr>
          <w:rFonts w:hint="eastAsia"/>
        </w:rPr>
        <w:t>，不宜低于灯具额定电压的-</w:t>
      </w:r>
      <w:r>
        <w:t>1</w:t>
      </w:r>
      <w:r>
        <w:rPr>
          <w:rFonts w:hint="eastAsia"/>
        </w:rPr>
        <w:t>0%</w:t>
      </w:r>
      <w:bookmarkEnd w:id="20"/>
      <w:bookmarkEnd w:id="21"/>
      <w:r>
        <w:rPr>
          <w:rFonts w:hint="eastAsia"/>
        </w:rPr>
        <w:t>。</w:t>
      </w:r>
    </w:p>
    <w:p w14:paraId="4902FE08">
      <w:pPr>
        <w:pStyle w:val="330"/>
      </w:pPr>
      <w:r>
        <w:rPr>
          <w:rFonts w:hint="eastAsia" w:ascii="宋体" w:hAnsi="宋体" w:eastAsia="宋体"/>
        </w:rPr>
        <w:t>景观照明直流供电电压宜为 48V、220（±110）V、375V，人员能触及照明设备的直流供电电压宜为 48V；直流</w:t>
      </w:r>
      <w:bookmarkStart w:id="22" w:name="OLE_LINK1"/>
      <w:bookmarkStart w:id="23" w:name="OLE_LINK2"/>
      <w:r>
        <w:rPr>
          <w:rFonts w:hint="eastAsia" w:ascii="宋体" w:hAnsi="宋体" w:eastAsia="宋体"/>
        </w:rPr>
        <w:t>供电的电压偏差为标称电压的</w:t>
      </w:r>
      <w:r>
        <w:rPr>
          <w:rFonts w:ascii="宋体" w:hAnsi="宋体" w:eastAsia="宋体"/>
        </w:rPr>
        <w:t>+5%</w:t>
      </w:r>
      <w:r>
        <w:rPr>
          <w:rFonts w:hint="eastAsia" w:ascii="宋体" w:hAnsi="宋体" w:eastAsia="宋体"/>
        </w:rPr>
        <w:t>，-</w:t>
      </w:r>
      <w:r>
        <w:rPr>
          <w:rFonts w:ascii="宋体" w:hAnsi="宋体" w:eastAsia="宋体"/>
        </w:rPr>
        <w:t>20%</w:t>
      </w:r>
      <w:r>
        <w:rPr>
          <w:rFonts w:hint="eastAsia" w:ascii="宋体" w:hAnsi="宋体" w:eastAsia="宋体"/>
        </w:rPr>
        <w:t>。</w:t>
      </w:r>
      <w:bookmarkEnd w:id="22"/>
      <w:bookmarkEnd w:id="23"/>
    </w:p>
    <w:p w14:paraId="7FBF3126">
      <w:pPr>
        <w:pStyle w:val="330"/>
      </w:pPr>
      <w:r>
        <w:rPr>
          <w:rFonts w:hint="eastAsia" w:ascii="宋体" w:hAnsi="宋体" w:eastAsia="宋体"/>
        </w:rPr>
        <w:t>照明配电系统宜采用树干式和放射式相结合的配电方式。</w:t>
      </w:r>
    </w:p>
    <w:p w14:paraId="35665D17">
      <w:pPr>
        <w:pStyle w:val="330"/>
      </w:pPr>
      <w:r>
        <w:rPr>
          <w:rFonts w:hint="eastAsia" w:ascii="宋体" w:hAnsi="宋体" w:eastAsia="宋体"/>
        </w:rPr>
        <w:t>配电回路应装设短路保护、过负荷保护和接地故障保护。</w:t>
      </w:r>
    </w:p>
    <w:p w14:paraId="7DC3D85C">
      <w:pPr>
        <w:pStyle w:val="330"/>
      </w:pPr>
      <w:r>
        <w:rPr>
          <w:rFonts w:hint="eastAsia" w:ascii="宋体" w:hAnsi="宋体" w:eastAsia="宋体"/>
        </w:rPr>
        <w:t>除采用LED光源外，建筑物轮廓灯每一单相回路不宜超过100个。</w:t>
      </w:r>
    </w:p>
    <w:p w14:paraId="4DCA2AF0">
      <w:pPr>
        <w:pStyle w:val="330"/>
      </w:pPr>
      <w:r>
        <w:rPr>
          <w:rFonts w:hint="eastAsia" w:ascii="宋体" w:hAnsi="宋体" w:eastAsia="宋体"/>
        </w:rPr>
        <w:t>景观照明总配电箱（柜）的受电端应装设具有隔离功能的电器。</w:t>
      </w:r>
    </w:p>
    <w:p w14:paraId="383071CF">
      <w:pPr>
        <w:pStyle w:val="330"/>
      </w:pPr>
      <w:r>
        <w:rPr>
          <w:rFonts w:hint="eastAsia" w:ascii="宋体" w:hAnsi="宋体" w:eastAsia="宋体"/>
        </w:rPr>
        <w:t>配电箱、驱动电源箱、信号放大器箱宜安装在配电竖井、建筑物屋面、避难层等便于操作、维护的场所。</w:t>
      </w:r>
    </w:p>
    <w:p w14:paraId="2D2A0CA5">
      <w:pPr>
        <w:pStyle w:val="330"/>
      </w:pPr>
      <w:r>
        <w:rPr>
          <w:rFonts w:hint="eastAsia" w:ascii="宋体" w:hAnsi="宋体" w:eastAsia="宋体"/>
        </w:rPr>
        <w:t>广场、绿地场所特低电压灯具的驱动电源、信号放大器等控制设备宜分区域集中设置。</w:t>
      </w:r>
    </w:p>
    <w:p w14:paraId="204CEA9B">
      <w:pPr>
        <w:pStyle w:val="330"/>
      </w:pPr>
      <w:r>
        <w:rPr>
          <w:rFonts w:hint="eastAsia" w:ascii="宋体" w:hAnsi="宋体" w:eastAsia="宋体"/>
        </w:rPr>
        <w:t>景观照明宜采用独立的配电系统，且宜单独计量；其负荷统计应包括相关电器附件的损耗。</w:t>
      </w:r>
    </w:p>
    <w:p w14:paraId="7630697D">
      <w:pPr>
        <w:pStyle w:val="330"/>
      </w:pPr>
      <w:r>
        <w:rPr>
          <w:rFonts w:hint="eastAsia" w:ascii="宋体" w:hAnsi="宋体" w:eastAsia="宋体"/>
        </w:rPr>
        <w:t>变压器及配电箱的位置宜设在照明负荷中心，景观照明由专用变压器供电时，变压器应采用Dyn11联结方式。</w:t>
      </w:r>
    </w:p>
    <w:p w14:paraId="47F83292">
      <w:pPr>
        <w:pStyle w:val="330"/>
      </w:pPr>
      <w:r>
        <w:rPr>
          <w:rFonts w:hint="eastAsia" w:ascii="宋体" w:hAnsi="宋体" w:eastAsia="宋体"/>
        </w:rPr>
        <w:t>供配电系统的谐波应综合治理，照明设备的谐波电流发射限值应符合GB 17625.1的要求、无线电骚扰特性的限值应符合GB 17743的要求。</w:t>
      </w:r>
    </w:p>
    <w:p w14:paraId="092FE152">
      <w:pPr>
        <w:pStyle w:val="330"/>
      </w:pPr>
      <w:r>
        <w:rPr>
          <w:rFonts w:hint="eastAsia" w:ascii="宋体" w:hAnsi="宋体" w:eastAsia="宋体"/>
        </w:rPr>
        <w:t>三相配电干线的各相负荷宜分配平衡，最大相负荷不宜超过三相负荷平均值的115%，最小相负荷不宜低于三相负荷平均值的85%。照明单相终端回路电流值不宜超过</w:t>
      </w:r>
      <w:r>
        <w:rPr>
          <w:rFonts w:ascii="宋体" w:hAnsi="宋体" w:eastAsia="宋体"/>
        </w:rPr>
        <w:t>25</w:t>
      </w:r>
      <w:r>
        <w:rPr>
          <w:rFonts w:hint="eastAsia" w:ascii="宋体" w:hAnsi="宋体" w:eastAsia="宋体"/>
        </w:rPr>
        <w:t>A。</w:t>
      </w:r>
    </w:p>
    <w:p w14:paraId="3ABC46EC">
      <w:pPr>
        <w:pStyle w:val="330"/>
      </w:pPr>
      <w:r>
        <w:rPr>
          <w:rFonts w:hint="eastAsia"/>
        </w:rPr>
        <w:t>除安全特低电压外，室外埋地敷设的电力线缆、控制线缆和智能化线缆应采用护套线、电缆或光缆，并应采取相应的保护措施。</w:t>
      </w:r>
    </w:p>
    <w:p w14:paraId="7DE9D766">
      <w:pPr>
        <w:pStyle w:val="330"/>
      </w:pPr>
      <w:r>
        <w:rPr>
          <w:rFonts w:hint="eastAsia" w:ascii="宋体" w:hAnsi="宋体" w:eastAsia="宋体"/>
        </w:rPr>
        <w:t>三相四线配电，中性线截面积不应小于相线截面积并应考虑谐波电流的效应；室外照明线路宜采用双重绝缘铜芯导线，照明终端回路导线截面积不应小于 2.5 ㎜</w:t>
      </w:r>
      <w:r>
        <w:rPr>
          <w:rFonts w:hint="eastAsia" w:ascii="宋体" w:hAnsi="宋体" w:eastAsia="宋体"/>
          <w:vertAlign w:val="superscript"/>
        </w:rPr>
        <w:t>2</w:t>
      </w:r>
      <w:r>
        <w:rPr>
          <w:rFonts w:hint="eastAsia" w:ascii="宋体" w:hAnsi="宋体" w:eastAsia="宋体"/>
        </w:rPr>
        <w:t>。</w:t>
      </w:r>
    </w:p>
    <w:p w14:paraId="08BBE337">
      <w:pPr>
        <w:pStyle w:val="330"/>
      </w:pPr>
      <w:r>
        <w:rPr>
          <w:rFonts w:hint="eastAsia" w:ascii="宋体" w:hAnsi="宋体" w:eastAsia="宋体"/>
        </w:rPr>
        <w:t>有集会或其他公共活动的场所应预留备用电源和接口。</w:t>
      </w:r>
    </w:p>
    <w:p w14:paraId="23A484AF">
      <w:pPr>
        <w:pStyle w:val="259"/>
      </w:pPr>
      <w:bookmarkStart w:id="24" w:name="_Toc165650027"/>
      <w:bookmarkStart w:id="25" w:name="_Toc23939"/>
      <w:bookmarkStart w:id="26" w:name="_Toc14192"/>
      <w:bookmarkStart w:id="27" w:name="_Toc193650183"/>
      <w:bookmarkStart w:id="28" w:name="_Toc24116"/>
      <w:bookmarkStart w:id="29" w:name="_Toc30857"/>
      <w:bookmarkStart w:id="30" w:name="_Toc397083088"/>
      <w:r>
        <w:rPr>
          <w:rFonts w:hint="eastAsia"/>
        </w:rPr>
        <w:t>控制系统</w:t>
      </w:r>
      <w:bookmarkEnd w:id="24"/>
      <w:bookmarkEnd w:id="25"/>
      <w:bookmarkEnd w:id="26"/>
      <w:bookmarkEnd w:id="27"/>
      <w:bookmarkEnd w:id="28"/>
      <w:bookmarkEnd w:id="29"/>
      <w:bookmarkEnd w:id="30"/>
    </w:p>
    <w:p w14:paraId="18C60965">
      <w:pPr>
        <w:pStyle w:val="330"/>
      </w:pPr>
      <w:r>
        <w:rPr>
          <w:rFonts w:hint="eastAsia" w:eastAsia="宋体"/>
        </w:rPr>
        <w:t>总控制箱宜设在值班室内或便于操作处，设在室外的控制箱应采取相应的防护措施。</w:t>
      </w:r>
    </w:p>
    <w:p w14:paraId="2F96B1A9">
      <w:pPr>
        <w:pStyle w:val="330"/>
      </w:pPr>
      <w:r>
        <w:rPr>
          <w:rFonts w:hint="eastAsia" w:eastAsia="宋体"/>
        </w:rPr>
        <w:t>应具备平日、一般节假日和重大节日的照明控制模式。</w:t>
      </w:r>
    </w:p>
    <w:p w14:paraId="563646FA">
      <w:pPr>
        <w:pStyle w:val="330"/>
      </w:pPr>
      <w:r>
        <w:rPr>
          <w:rFonts w:hint="eastAsia" w:ascii="宋体" w:hAnsi="宋体" w:eastAsia="宋体"/>
        </w:rPr>
        <w:t>景观照明宜采取智能照明控制系统。</w:t>
      </w:r>
    </w:p>
    <w:p w14:paraId="1AC7AA62">
      <w:pPr>
        <w:pStyle w:val="330"/>
      </w:pPr>
      <w:r>
        <w:rPr>
          <w:rFonts w:hint="eastAsia" w:eastAsia="宋体"/>
        </w:rPr>
        <w:t>景观照明采用智能照明控制系统时，应满足下列要求：</w:t>
      </w:r>
    </w:p>
    <w:p w14:paraId="6702A082">
      <w:pPr>
        <w:pStyle w:val="305"/>
      </w:pPr>
      <w:r>
        <w:rPr>
          <w:rFonts w:hint="eastAsia"/>
        </w:rPr>
        <w:t>智能控制系统和设备应符合电气安全和电磁兼容相关标准要求；</w:t>
      </w:r>
    </w:p>
    <w:p w14:paraId="6997065C">
      <w:pPr>
        <w:pStyle w:val="305"/>
      </w:pPr>
      <w:r>
        <w:rPr>
          <w:rFonts w:hint="eastAsia"/>
        </w:rPr>
        <w:t>智能控制系统应具备可靠性、兼容性、开放性和可扩展性；</w:t>
      </w:r>
    </w:p>
    <w:p w14:paraId="24EAD0F8">
      <w:pPr>
        <w:pStyle w:val="305"/>
      </w:pPr>
      <w:r>
        <w:rPr>
          <w:rFonts w:hint="eastAsia"/>
        </w:rPr>
        <w:t>智能控制系统宜预留与楼宇控制系统、城市功能照明监控系统、智慧城市管理系统等其他相关系统的连接接口；</w:t>
      </w:r>
    </w:p>
    <w:p w14:paraId="71B4A748">
      <w:pPr>
        <w:pStyle w:val="305"/>
      </w:pPr>
      <w:r>
        <w:rPr>
          <w:rFonts w:hint="eastAsia"/>
        </w:rPr>
        <w:t>控制系统采用的控制模块应能独立运行，主控系统或通信线路发生故障时，各控制模块可在设定的模式下正常运行，某个控制模块发生故障时，不应影响其他控制模块的正常运行；</w:t>
      </w:r>
    </w:p>
    <w:p w14:paraId="6C35E36A">
      <w:pPr>
        <w:pStyle w:val="305"/>
      </w:pPr>
      <w:r>
        <w:rPr>
          <w:rFonts w:hint="eastAsia"/>
        </w:rPr>
        <w:t>控制系统采用的控制模块应满足室外环境运行的温、湿度条件及防护等级要求。</w:t>
      </w:r>
    </w:p>
    <w:p w14:paraId="2596775C">
      <w:pPr>
        <w:pStyle w:val="330"/>
      </w:pPr>
      <w:r>
        <w:rPr>
          <w:rFonts w:hint="eastAsia" w:eastAsia="宋体"/>
        </w:rPr>
        <w:t>应能对照明装置进行分路、分组或分区集中控制。</w:t>
      </w:r>
    </w:p>
    <w:p w14:paraId="27AB3094">
      <w:pPr>
        <w:pStyle w:val="330"/>
      </w:pPr>
      <w:r>
        <w:rPr>
          <w:rFonts w:hint="eastAsia" w:eastAsia="宋体"/>
        </w:rPr>
        <w:t>宜采用光控、时控、程控和智能等控制方式，并具备手动控制功能。</w:t>
      </w:r>
    </w:p>
    <w:p w14:paraId="62533AFF">
      <w:pPr>
        <w:pStyle w:val="330"/>
      </w:pPr>
      <w:r>
        <w:rPr>
          <w:rFonts w:hint="eastAsia" w:eastAsia="宋体"/>
        </w:rPr>
        <w:t>系统实施不具备智能控制条件时，应预留联网监控、遥控的接口，能按联网控制要求投入运行。</w:t>
      </w:r>
    </w:p>
    <w:p w14:paraId="29050683">
      <w:pPr>
        <w:pStyle w:val="330"/>
      </w:pPr>
      <w:r>
        <w:rPr>
          <w:rFonts w:hint="eastAsia" w:eastAsia="宋体"/>
        </w:rPr>
        <w:t>照明控制系统应确保现场采集的数据和控制指令准确地传送。照明控制系统可采用有线通信方式或无线通信方式进行数据交换。</w:t>
      </w:r>
    </w:p>
    <w:p w14:paraId="383D55AF">
      <w:pPr>
        <w:pStyle w:val="330"/>
      </w:pPr>
      <w:r>
        <w:rPr>
          <w:rFonts w:hint="eastAsia" w:eastAsia="宋体"/>
        </w:rPr>
        <w:t>景观照明宜按区、市设置控制中心，对区级、市级景观照明进行集中监控和管理。区级控制中心宜按</w:t>
      </w:r>
      <w:r>
        <w:rPr>
          <w:rFonts w:hint="eastAsia" w:ascii="宋体" w:hAnsi="宋体" w:eastAsia="宋体" w:cs="宋体"/>
        </w:rPr>
        <w:t>C</w:t>
      </w:r>
      <w:r>
        <w:rPr>
          <w:rFonts w:hint="eastAsia" w:eastAsia="宋体"/>
        </w:rPr>
        <w:t>级数据中心建设，市级控制中心宜按不低于</w:t>
      </w:r>
      <w:r>
        <w:rPr>
          <w:rFonts w:hint="eastAsia" w:ascii="宋体" w:hAnsi="宋体" w:eastAsia="宋体" w:cs="宋体"/>
        </w:rPr>
        <w:t>B</w:t>
      </w:r>
      <w:r>
        <w:rPr>
          <w:rFonts w:hint="eastAsia" w:eastAsia="宋体"/>
        </w:rPr>
        <w:t>级数据中心建设。</w:t>
      </w:r>
    </w:p>
    <w:p w14:paraId="399589E0">
      <w:pPr>
        <w:pStyle w:val="330"/>
      </w:pPr>
      <w:r>
        <w:rPr>
          <w:rFonts w:hint="eastAsia" w:eastAsia="宋体"/>
        </w:rPr>
        <w:t>区级控制中心与市级控制中心应能进行数据交换，市级控制中心应能对区级重点区域的照明状态进行监视。</w:t>
      </w:r>
    </w:p>
    <w:p w14:paraId="66184011">
      <w:pPr>
        <w:pStyle w:val="330"/>
      </w:pPr>
      <w:r>
        <w:rPr>
          <w:rFonts w:hint="eastAsia" w:eastAsia="宋体"/>
        </w:rPr>
        <w:t>控制中心智能控制系统宜具有下列功能：</w:t>
      </w:r>
    </w:p>
    <w:p w14:paraId="0A138F2F">
      <w:pPr>
        <w:pStyle w:val="305"/>
        <w:numPr>
          <w:ilvl w:val="0"/>
          <w:numId w:val="31"/>
        </w:numPr>
      </w:pPr>
      <w:r>
        <w:rPr>
          <w:rFonts w:hint="eastAsia"/>
        </w:rPr>
        <w:t>具备远程或本地设置系统和设备参数的功能；</w:t>
      </w:r>
    </w:p>
    <w:p w14:paraId="1E606D8A">
      <w:pPr>
        <w:pStyle w:val="305"/>
        <w:numPr>
          <w:ilvl w:val="0"/>
          <w:numId w:val="31"/>
        </w:numPr>
      </w:pPr>
      <w:r>
        <w:rPr>
          <w:rFonts w:hint="eastAsia"/>
        </w:rPr>
        <w:t>具备开关控制、模式控制、场景控制等功能；</w:t>
      </w:r>
    </w:p>
    <w:p w14:paraId="30CD1FBB">
      <w:pPr>
        <w:pStyle w:val="305"/>
        <w:numPr>
          <w:ilvl w:val="0"/>
          <w:numId w:val="31"/>
        </w:numPr>
      </w:pPr>
      <w:r>
        <w:rPr>
          <w:rFonts w:hint="eastAsia"/>
        </w:rPr>
        <w:t>能通过分析环境数据和照明控制需求，实现自动预设模式运行；</w:t>
      </w:r>
    </w:p>
    <w:p w14:paraId="16CE61CC">
      <w:pPr>
        <w:pStyle w:val="305"/>
        <w:numPr>
          <w:ilvl w:val="0"/>
          <w:numId w:val="31"/>
        </w:numPr>
      </w:pPr>
      <w:r>
        <w:rPr>
          <w:rFonts w:hint="eastAsia"/>
        </w:rPr>
        <w:t>利用媒体立面照明方式时，支持远程下发并播放媒体信息，在媒体立面上进行展示；</w:t>
      </w:r>
    </w:p>
    <w:p w14:paraId="00B103AA">
      <w:pPr>
        <w:pStyle w:val="305"/>
        <w:numPr>
          <w:ilvl w:val="0"/>
          <w:numId w:val="31"/>
        </w:numPr>
      </w:pPr>
      <w:r>
        <w:rPr>
          <w:rFonts w:hint="eastAsia"/>
        </w:rPr>
        <w:t>能根据照明效果实现多建（构）筑物或多景物的照明联动控制；</w:t>
      </w:r>
    </w:p>
    <w:p w14:paraId="17EE7A99">
      <w:pPr>
        <w:pStyle w:val="305"/>
        <w:numPr>
          <w:ilvl w:val="0"/>
          <w:numId w:val="31"/>
        </w:numPr>
      </w:pPr>
      <w:r>
        <w:rPr>
          <w:rFonts w:hint="eastAsia"/>
        </w:rPr>
        <w:t>具备能耗信息采集及数据储存功能，并宜支持能耗数据自动分析和报表生成功能；</w:t>
      </w:r>
    </w:p>
    <w:p w14:paraId="077582AF">
      <w:pPr>
        <w:pStyle w:val="305"/>
        <w:numPr>
          <w:ilvl w:val="0"/>
          <w:numId w:val="31"/>
        </w:numPr>
      </w:pPr>
      <w:r>
        <w:rPr>
          <w:rFonts w:hint="eastAsia"/>
        </w:rPr>
        <w:t>具备运行状态实时监测、故障告警及反馈功能。</w:t>
      </w:r>
    </w:p>
    <w:p w14:paraId="2C4242BA">
      <w:pPr>
        <w:pStyle w:val="305"/>
        <w:numPr>
          <w:ilvl w:val="0"/>
          <w:numId w:val="0"/>
        </w:numPr>
        <w:ind w:left="420"/>
      </w:pPr>
    </w:p>
    <w:p w14:paraId="7ED3AAEC">
      <w:pPr>
        <w:pStyle w:val="305"/>
        <w:numPr>
          <w:ilvl w:val="0"/>
          <w:numId w:val="0"/>
        </w:numPr>
        <w:ind w:left="420"/>
      </w:pPr>
    </w:p>
    <w:p w14:paraId="7150858E">
      <w:pPr>
        <w:pStyle w:val="305"/>
        <w:numPr>
          <w:ilvl w:val="0"/>
          <w:numId w:val="0"/>
        </w:numPr>
        <w:ind w:left="420"/>
        <w:jc w:val="center"/>
        <w:rPr>
          <w:rFonts w:hAnsi="宋体" w:cs="宋体"/>
        </w:rPr>
      </w:pPr>
    </w:p>
    <w:p w14:paraId="53C38AA6">
      <w:pPr>
        <w:pStyle w:val="305"/>
        <w:numPr>
          <w:ilvl w:val="0"/>
          <w:numId w:val="0"/>
        </w:numPr>
        <w:ind w:left="420"/>
        <w:rPr>
          <w:rFonts w:hAnsi="宋体" w:cs="宋体"/>
        </w:rPr>
      </w:pPr>
    </w:p>
    <w:p w14:paraId="6B1A9127">
      <w:pPr>
        <w:pStyle w:val="258"/>
        <w:tabs>
          <w:tab w:val="center" w:pos="4201"/>
          <w:tab w:val="right" w:leader="dot" w:pos="9298"/>
        </w:tabs>
        <w:ind w:firstLine="420"/>
      </w:pPr>
    </w:p>
    <w:p w14:paraId="2B1470E9">
      <w:pPr>
        <w:pStyle w:val="528"/>
        <w:framePr w:wrap="around"/>
      </w:pPr>
      <w:r>
        <w:t>_________________________________</w:t>
      </w:r>
    </w:p>
    <w:p w14:paraId="224E9B70">
      <w:pPr>
        <w:pStyle w:val="305"/>
        <w:numPr>
          <w:ilvl w:val="0"/>
          <w:numId w:val="0"/>
        </w:numPr>
        <w:ind w:left="420"/>
        <w:jc w:val="center"/>
        <w:rPr>
          <w:rFonts w:hAnsi="宋体" w:cs="宋体"/>
        </w:rPr>
      </w:pPr>
    </w:p>
    <w:p w14:paraId="66D2AA4E">
      <w:pPr>
        <w:pStyle w:val="305"/>
        <w:numPr>
          <w:ilvl w:val="0"/>
          <w:numId w:val="0"/>
        </w:numPr>
        <w:ind w:left="420" w:firstLine="0" w:firstLineChars="0"/>
        <w:jc w:val="center"/>
        <w:rPr>
          <w:rFonts w:hint="eastAsia" w:ascii="黑体" w:hAnsi="黑体" w:eastAsia="黑体" w:cs="黑体"/>
          <w:b/>
          <w:sz w:val="21"/>
          <w:lang w:eastAsia="zh-CN"/>
        </w:rPr>
      </w:pPr>
      <w:bookmarkStart w:id="31" w:name="终结线"/>
      <w:bookmarkEnd w:id="31"/>
    </w:p>
    <w:sectPr>
      <w:headerReference r:id="rId13" w:type="first"/>
      <w:footerReference r:id="rId14" w:type="first"/>
      <w:pgSz w:w="11907" w:h="16839"/>
      <w:pgMar w:top="1418" w:right="1134" w:bottom="1134" w:left="1418" w:header="1418"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4ABAB">
    <w:pPr>
      <w:pStyle w:val="252"/>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28AD028B">
    <w:pPr>
      <w:pStyle w:val="252"/>
      <w:spacing w:before="0"/>
      <w:ind w:right="360" w:firstLine="360"/>
      <w:rPr>
        <w:rStyle w:val="234"/>
      </w:rPr>
    </w:pPr>
  </w:p>
  <w:p w14:paraId="2A8EA0AF">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16881">
    <w:pPr>
      <w:pStyle w:val="251"/>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2</w:t>
    </w:r>
    <w:r>
      <w:rPr>
        <w:rStyle w:val="234"/>
      </w:rPr>
      <w:fldChar w:fldCharType="end"/>
    </w:r>
  </w:p>
  <w:p w14:paraId="4951BF7E">
    <w:pPr>
      <w:pStyle w:val="251"/>
      <w:spacing w:before="0"/>
      <w:ind w:right="360" w:firstLine="360"/>
      <w:rPr>
        <w:rStyle w:val="234"/>
      </w:rPr>
    </w:pPr>
  </w:p>
  <w:p w14:paraId="620D02CD">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51104">
    <w:pPr>
      <w:pStyle w:val="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EAC16">
    <w:pPr>
      <w:pStyle w:val="252"/>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3</w:t>
    </w:r>
    <w:r>
      <w:rPr>
        <w:rStyle w:val="234"/>
      </w:rPr>
      <w:fldChar w:fldCharType="end"/>
    </w:r>
  </w:p>
  <w:p w14:paraId="6362A9D1">
    <w:pPr>
      <w:pStyle w:val="252"/>
      <w:spacing w:before="0"/>
      <w:ind w:right="360" w:firstLine="360"/>
      <w:rPr>
        <w:rStyle w:val="234"/>
      </w:rPr>
    </w:pPr>
  </w:p>
  <w:p w14:paraId="57AD034F">
    <w:pPr>
      <w:pStyle w:val="252"/>
      <w:spacing w:before="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C331B">
    <w:pPr>
      <w:pStyle w:val="59"/>
      <w:framePr w:wrap="around" w:vAnchor="text" w:hAnchor="margin" w:xAlign="outside" w:y="1"/>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404E2833">
    <w:pPr>
      <w:pStyle w:val="59"/>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84BCD">
    <w:pPr>
      <w:pStyle w:val="59"/>
      <w:framePr w:wrap="around" w:vAnchor="text" w:hAnchor="margin" w:xAlign="outside" w:y="1"/>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2B58DDBF">
    <w:pPr>
      <w:pStyle w:val="5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4AE57">
    <w:pPr>
      <w:pStyle w:val="253"/>
    </w:pPr>
    <w:r>
      <w:rPr>
        <w:rFonts w:hint="eastAsia"/>
      </w:rPr>
      <w:t>DB11/T 388.6-202X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FB276">
    <w:pPr>
      <w:pStyle w:val="254"/>
    </w:pPr>
    <w:r>
      <w:rPr>
        <w:rFonts w:hint="eastAsia"/>
      </w:rPr>
      <w:t>DB11/T 388.6-202X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B5118">
    <w:pPr>
      <w:pStyle w:val="25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39D5E">
    <w:pPr>
      <w:pStyle w:val="253"/>
    </w:pPr>
    <w:r>
      <w:rPr>
        <w:rFonts w:hint="eastAsia"/>
      </w:rPr>
      <w:t>DB11/T 388.6-202X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5AEB3">
    <w:pPr>
      <w:pStyle w:val="6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96304">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0">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95DD452"/>
    <w:multiLevelType w:val="multilevel"/>
    <w:tmpl w:val="595DD452"/>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4">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29">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25"/>
  </w:num>
  <w:num w:numId="13">
    <w:abstractNumId w:val="24"/>
  </w:num>
  <w:num w:numId="14">
    <w:abstractNumId w:val="16"/>
  </w:num>
  <w:num w:numId="15">
    <w:abstractNumId w:val="29"/>
  </w:num>
  <w:num w:numId="16">
    <w:abstractNumId w:val="13"/>
  </w:num>
  <w:num w:numId="17">
    <w:abstractNumId w:val="21"/>
  </w:num>
  <w:num w:numId="18">
    <w:abstractNumId w:val="23"/>
  </w:num>
  <w:num w:numId="19">
    <w:abstractNumId w:val="12"/>
  </w:num>
  <w:num w:numId="20">
    <w:abstractNumId w:val="20"/>
  </w:num>
  <w:num w:numId="21">
    <w:abstractNumId w:val="27"/>
  </w:num>
  <w:num w:numId="22">
    <w:abstractNumId w:val="10"/>
  </w:num>
  <w:num w:numId="23">
    <w:abstractNumId w:val="19"/>
  </w:num>
  <w:num w:numId="24">
    <w:abstractNumId w:val="28"/>
  </w:num>
  <w:num w:numId="25">
    <w:abstractNumId w:val="14"/>
  </w:num>
  <w:num w:numId="26">
    <w:abstractNumId w:val="18"/>
  </w:num>
  <w:num w:numId="27">
    <w:abstractNumId w:val="11"/>
  </w:num>
  <w:num w:numId="28">
    <w:abstractNumId w:val="26"/>
  </w:num>
  <w:num w:numId="29">
    <w:abstractNumId w:val="22"/>
  </w:num>
  <w:num w:numId="30">
    <w:abstractNumId w:val="17"/>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F0B0E"/>
    <w:rsid w:val="00006548"/>
    <w:rsid w:val="00027BD3"/>
    <w:rsid w:val="00031EEE"/>
    <w:rsid w:val="00036B39"/>
    <w:rsid w:val="000372EA"/>
    <w:rsid w:val="00040BBF"/>
    <w:rsid w:val="00043421"/>
    <w:rsid w:val="00050E91"/>
    <w:rsid w:val="00053FB5"/>
    <w:rsid w:val="00061CC3"/>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6CEC"/>
    <w:rsid w:val="0017737E"/>
    <w:rsid w:val="001830DE"/>
    <w:rsid w:val="001A5BF9"/>
    <w:rsid w:val="001B0DE6"/>
    <w:rsid w:val="001C2054"/>
    <w:rsid w:val="001D5AA4"/>
    <w:rsid w:val="001D71BA"/>
    <w:rsid w:val="001E30D1"/>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345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20F"/>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3513"/>
    <w:rsid w:val="00795E45"/>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029C"/>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66118"/>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35B43"/>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16DB1"/>
    <w:rsid w:val="00D20260"/>
    <w:rsid w:val="00D32102"/>
    <w:rsid w:val="00D431FE"/>
    <w:rsid w:val="00D57726"/>
    <w:rsid w:val="00D679FB"/>
    <w:rsid w:val="00D77681"/>
    <w:rsid w:val="00D8625B"/>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A494A"/>
    <w:rsid w:val="00EA4D78"/>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116D1859"/>
    <w:rsid w:val="14C032CC"/>
    <w:rsid w:val="1F6223A1"/>
    <w:rsid w:val="20D36B57"/>
    <w:rsid w:val="30477C33"/>
    <w:rsid w:val="3AB15919"/>
    <w:rsid w:val="54203E93"/>
    <w:rsid w:val="546A1869"/>
    <w:rsid w:val="55AF0B0E"/>
    <w:rsid w:val="5BD43976"/>
    <w:rsid w:val="62400EAD"/>
    <w:rsid w:val="6810747E"/>
    <w:rsid w:val="788A0850"/>
    <w:rsid w:val="795B1709"/>
    <w:rsid w:val="7CAA3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semiHidden/>
    <w:qFormat/>
    <w:uiPriority w:val="0"/>
    <w:pPr>
      <w:ind w:left="500" w:leftChars="500"/>
    </w:pPr>
  </w:style>
  <w:style w:type="paragraph" w:styleId="14">
    <w:name w:val="toc 6"/>
    <w:basedOn w:val="15"/>
    <w:semiHidden/>
    <w:qFormat/>
    <w:uiPriority w:val="0"/>
    <w:pPr>
      <w:ind w:left="400" w:leftChars="400"/>
    </w:pPr>
  </w:style>
  <w:style w:type="paragraph" w:styleId="15">
    <w:name w:val="toc 5"/>
    <w:basedOn w:val="16"/>
    <w:semiHidden/>
    <w:qFormat/>
    <w:uiPriority w:val="0"/>
    <w:pPr>
      <w:ind w:left="300" w:leftChars="300"/>
    </w:pPr>
  </w:style>
  <w:style w:type="paragraph" w:styleId="16">
    <w:name w:val="toc 4"/>
    <w:basedOn w:val="17"/>
    <w:semiHidden/>
    <w:qFormat/>
    <w:uiPriority w:val="0"/>
    <w:pPr>
      <w:ind w:left="200" w:leftChars="200"/>
    </w:pPr>
  </w:style>
  <w:style w:type="paragraph" w:styleId="17">
    <w:name w:val="toc 3"/>
    <w:basedOn w:val="18"/>
    <w:semiHidden/>
    <w:qFormat/>
    <w:uiPriority w:val="0"/>
    <w:pPr>
      <w:ind w:left="100" w:leftChars="100"/>
    </w:pPr>
  </w:style>
  <w:style w:type="paragraph" w:styleId="18">
    <w:name w:val="toc 2"/>
    <w:basedOn w:val="19"/>
    <w:qFormat/>
    <w:uiPriority w:val="39"/>
  </w:style>
  <w:style w:type="paragraph" w:styleId="19">
    <w:name w:val="toc 1"/>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0"/>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6"/>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2"/>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4"/>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字符"/>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52"/>
      <w:lang w:val="en-US" w:eastAsia="zh-CN" w:bidi="ar-SA"/>
    </w:rPr>
  </w:style>
  <w:style w:type="character" w:customStyle="1" w:styleId="337">
    <w:name w:val="标准称谓DB Char"/>
    <w:basedOn w:val="231"/>
    <w:link w:val="336"/>
    <w:qFormat/>
    <w:uiPriority w:val="0"/>
    <w:rPr>
      <w:rFonts w:hint="eastAsia" w:ascii="黑体" w:hAnsi="黑体" w:eastAsia="黑体" w:cs="黑体"/>
      <w:b/>
      <w:bCs/>
      <w:w w:val="135"/>
      <w:sz w:val="52"/>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qFormat/>
    <w:uiPriority w:val="0"/>
    <w:rPr>
      <w:rFonts w:eastAsia="黑体"/>
      <w:bCs/>
      <w:w w:val="135"/>
      <w:sz w:val="48"/>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hint="eastAsia" w:ascii="宋体" w:hAnsi="宋体" w:eastAsia="宋体" w:cs="宋体"/>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标题1"/>
    <w:basedOn w:val="3"/>
    <w:next w:val="1"/>
    <w:semiHidden/>
    <w:unhideWhenUsed/>
    <w:qFormat/>
    <w:uiPriority w:val="39"/>
    <w:pPr>
      <w:outlineLvl w:val="9"/>
    </w:pPr>
  </w:style>
  <w:style w:type="character" w:customStyle="1" w:styleId="352">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字符"/>
    <w:basedOn w:val="231"/>
    <w:link w:val="36"/>
    <w:semiHidden/>
    <w:qFormat/>
    <w:uiPriority w:val="99"/>
    <w:rPr>
      <w:kern w:val="2"/>
      <w:sz w:val="21"/>
      <w:szCs w:val="24"/>
    </w:rPr>
  </w:style>
  <w:style w:type="character" w:customStyle="1" w:styleId="355">
    <w:name w:val="纯文本 字符"/>
    <w:basedOn w:val="231"/>
    <w:link w:val="49"/>
    <w:semiHidden/>
    <w:qFormat/>
    <w:uiPriority w:val="99"/>
    <w:rPr>
      <w:rFonts w:ascii="宋体" w:hAnsi="Courier New" w:cs="Courier New"/>
      <w:kern w:val="2"/>
      <w:sz w:val="21"/>
      <w:szCs w:val="21"/>
    </w:rPr>
  </w:style>
  <w:style w:type="character" w:customStyle="1" w:styleId="356">
    <w:name w:val="电子邮件签名 字符"/>
    <w:basedOn w:val="231"/>
    <w:link w:val="25"/>
    <w:semiHidden/>
    <w:qFormat/>
    <w:uiPriority w:val="99"/>
    <w:rPr>
      <w:kern w:val="2"/>
      <w:sz w:val="21"/>
      <w:szCs w:val="24"/>
    </w:rPr>
  </w:style>
  <w:style w:type="character" w:customStyle="1" w:styleId="357">
    <w:name w:val="副标题 字符"/>
    <w:basedOn w:val="231"/>
    <w:link w:val="66"/>
    <w:qFormat/>
    <w:uiPriority w:val="11"/>
    <w:rPr>
      <w:rFonts w:asciiTheme="majorHAnsi" w:hAnsiTheme="majorHAnsi" w:cstheme="majorBidi"/>
      <w:b/>
      <w:bCs/>
      <w:kern w:val="28"/>
      <w:sz w:val="32"/>
      <w:szCs w:val="32"/>
    </w:rPr>
  </w:style>
  <w:style w:type="character" w:customStyle="1" w:styleId="358">
    <w:name w:val="宏文本 字符"/>
    <w:basedOn w:val="231"/>
    <w:link w:val="2"/>
    <w:semiHidden/>
    <w:qFormat/>
    <w:uiPriority w:val="99"/>
    <w:rPr>
      <w:rFonts w:ascii="Courier New" w:hAnsi="Courier New" w:cs="Courier New"/>
      <w:kern w:val="2"/>
      <w:sz w:val="24"/>
      <w:szCs w:val="24"/>
    </w:rPr>
  </w:style>
  <w:style w:type="character" w:customStyle="1" w:styleId="359">
    <w:name w:val="结束语 字符"/>
    <w:basedOn w:val="231"/>
    <w:link w:val="38"/>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2">
    <w:name w:val="明显强调1"/>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字符"/>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字符"/>
    <w:basedOn w:val="231"/>
    <w:link w:val="58"/>
    <w:semiHidden/>
    <w:qFormat/>
    <w:uiPriority w:val="99"/>
    <w:rPr>
      <w:kern w:val="2"/>
      <w:sz w:val="18"/>
      <w:szCs w:val="18"/>
    </w:rPr>
  </w:style>
  <w:style w:type="character" w:customStyle="1" w:styleId="366">
    <w:name w:val="批注文字 字符"/>
    <w:basedOn w:val="231"/>
    <w:link w:val="34"/>
    <w:semiHidden/>
    <w:qFormat/>
    <w:uiPriority w:val="99"/>
    <w:rPr>
      <w:kern w:val="2"/>
      <w:sz w:val="21"/>
      <w:szCs w:val="24"/>
    </w:rPr>
  </w:style>
  <w:style w:type="character" w:customStyle="1" w:styleId="367">
    <w:name w:val="批注主题 字符"/>
    <w:basedOn w:val="366"/>
    <w:link w:val="85"/>
    <w:semiHidden/>
    <w:qFormat/>
    <w:uiPriority w:val="99"/>
    <w:rPr>
      <w:b/>
      <w:bCs/>
      <w:kern w:val="2"/>
      <w:sz w:val="21"/>
      <w:szCs w:val="24"/>
    </w:rPr>
  </w:style>
  <w:style w:type="character" w:customStyle="1" w:styleId="368">
    <w:name w:val="签名 字符"/>
    <w:basedOn w:val="231"/>
    <w:link w:val="62"/>
    <w:semiHidden/>
    <w:qFormat/>
    <w:uiPriority w:val="99"/>
    <w:rPr>
      <w:kern w:val="2"/>
      <w:sz w:val="21"/>
      <w:szCs w:val="24"/>
    </w:rPr>
  </w:style>
  <w:style w:type="table" w:customStyle="1" w:styleId="369">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字符"/>
    <w:basedOn w:val="231"/>
    <w:link w:val="54"/>
    <w:semiHidden/>
    <w:qFormat/>
    <w:uiPriority w:val="99"/>
    <w:rPr>
      <w:kern w:val="2"/>
      <w:sz w:val="21"/>
      <w:szCs w:val="24"/>
    </w:rPr>
  </w:style>
  <w:style w:type="character" w:customStyle="1" w:styleId="419">
    <w:name w:val="书籍标题1"/>
    <w:basedOn w:val="231"/>
    <w:qFormat/>
    <w:uiPriority w:val="33"/>
    <w:rPr>
      <w:b/>
      <w:bCs/>
      <w:i/>
      <w:iCs/>
      <w:spacing w:val="5"/>
    </w:rPr>
  </w:style>
  <w:style w:type="paragraph" w:customStyle="1" w:styleId="420">
    <w:name w:val="书目1"/>
    <w:basedOn w:val="1"/>
    <w:next w:val="1"/>
    <w:semiHidden/>
    <w:unhideWhenUsed/>
    <w:qFormat/>
    <w:uiPriority w:val="37"/>
  </w:style>
  <w:style w:type="table" w:customStyle="1" w:styleId="421">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1">
    <w:name w:val="尾注文本 字符"/>
    <w:basedOn w:val="231"/>
    <w:link w:val="56"/>
    <w:semiHidden/>
    <w:qFormat/>
    <w:uiPriority w:val="99"/>
    <w:rPr>
      <w:kern w:val="2"/>
      <w:sz w:val="21"/>
      <w:szCs w:val="24"/>
    </w:rPr>
  </w:style>
  <w:style w:type="character" w:customStyle="1" w:styleId="472">
    <w:name w:val="文档结构图 字符"/>
    <w:basedOn w:val="231"/>
    <w:link w:val="32"/>
    <w:semiHidden/>
    <w:qFormat/>
    <w:uiPriority w:val="99"/>
    <w:rPr>
      <w:rFonts w:ascii="Microsoft YaHei UI" w:eastAsia="Microsoft YaHei UI"/>
      <w:kern w:val="2"/>
      <w:sz w:val="18"/>
      <w:szCs w:val="18"/>
    </w:rPr>
  </w:style>
  <w:style w:type="table" w:customStyle="1" w:styleId="473">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字符"/>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首行缩进 字符"/>
    <w:basedOn w:val="332"/>
    <w:link w:val="86"/>
    <w:semiHidden/>
    <w:qFormat/>
    <w:uiPriority w:val="99"/>
    <w:rPr>
      <w:kern w:val="2"/>
      <w:sz w:val="21"/>
      <w:szCs w:val="24"/>
    </w:rPr>
  </w:style>
  <w:style w:type="character" w:customStyle="1" w:styleId="484">
    <w:name w:val="正文文本缩进 字符"/>
    <w:basedOn w:val="231"/>
    <w:link w:val="41"/>
    <w:semiHidden/>
    <w:qFormat/>
    <w:uiPriority w:val="99"/>
    <w:rPr>
      <w:kern w:val="2"/>
      <w:sz w:val="21"/>
      <w:szCs w:val="24"/>
    </w:rPr>
  </w:style>
  <w:style w:type="character" w:customStyle="1" w:styleId="485">
    <w:name w:val="正文首行缩进 2 字符"/>
    <w:basedOn w:val="484"/>
    <w:link w:val="87"/>
    <w:semiHidden/>
    <w:qFormat/>
    <w:uiPriority w:val="99"/>
    <w:rPr>
      <w:kern w:val="2"/>
      <w:sz w:val="21"/>
      <w:szCs w:val="24"/>
    </w:rPr>
  </w:style>
  <w:style w:type="character" w:customStyle="1" w:styleId="486">
    <w:name w:val="正文文本 2 字符"/>
    <w:basedOn w:val="231"/>
    <w:link w:val="76"/>
    <w:semiHidden/>
    <w:qFormat/>
    <w:uiPriority w:val="99"/>
    <w:rPr>
      <w:kern w:val="2"/>
      <w:sz w:val="21"/>
      <w:szCs w:val="24"/>
    </w:rPr>
  </w:style>
  <w:style w:type="character" w:customStyle="1" w:styleId="487">
    <w:name w:val="正文文本 3 字符"/>
    <w:basedOn w:val="231"/>
    <w:link w:val="37"/>
    <w:semiHidden/>
    <w:qFormat/>
    <w:uiPriority w:val="99"/>
    <w:rPr>
      <w:kern w:val="2"/>
      <w:sz w:val="16"/>
      <w:szCs w:val="16"/>
    </w:rPr>
  </w:style>
  <w:style w:type="character" w:customStyle="1" w:styleId="488">
    <w:name w:val="正文文本缩进 2 字符"/>
    <w:basedOn w:val="231"/>
    <w:link w:val="55"/>
    <w:semiHidden/>
    <w:qFormat/>
    <w:uiPriority w:val="99"/>
    <w:rPr>
      <w:kern w:val="2"/>
      <w:sz w:val="21"/>
      <w:szCs w:val="24"/>
    </w:rPr>
  </w:style>
  <w:style w:type="character" w:customStyle="1" w:styleId="489">
    <w:name w:val="正文文本缩进 3 字符"/>
    <w:basedOn w:val="231"/>
    <w:link w:val="71"/>
    <w:semiHidden/>
    <w:qFormat/>
    <w:uiPriority w:val="99"/>
    <w:rPr>
      <w:kern w:val="2"/>
      <w:sz w:val="16"/>
      <w:szCs w:val="16"/>
    </w:rPr>
  </w:style>
  <w:style w:type="character" w:customStyle="1" w:styleId="490">
    <w:name w:val="注释标题 字符"/>
    <w:basedOn w:val="231"/>
    <w:link w:val="22"/>
    <w:semiHidden/>
    <w:qFormat/>
    <w:uiPriority w:val="99"/>
    <w:rPr>
      <w:kern w:val="2"/>
      <w:sz w:val="21"/>
      <w:szCs w:val="24"/>
    </w:rPr>
  </w:style>
  <w:style w:type="paragraph" w:customStyle="1" w:styleId="491">
    <w:name w:val="附录无标题章"/>
    <w:basedOn w:val="276"/>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ascii="宋体"/>
      <w:b/>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 w:type="paragraph" w:customStyle="1" w:styleId="521">
    <w:name w:val="前言标题"/>
    <w:next w:val="1"/>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29"/>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qFormat/>
    <w:uiPriority w:val="0"/>
    <w:pPr>
      <w:numPr>
        <w:ilvl w:val="0"/>
        <w:numId w:val="30"/>
      </w:numPr>
      <w:adjustRightInd w:val="0"/>
      <w:jc w:val="left"/>
    </w:pPr>
    <w:rPr>
      <w:rFonts w:hAnsi="宋体"/>
      <w:szCs w:val="21"/>
    </w:rPr>
  </w:style>
  <w:style w:type="paragraph" w:customStyle="1" w:styleId="528">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271;&#20140;&#29031;&#26126;&#23398;&#20250;\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14:paraId="5C0B953A">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465909"/>
    <w:rsid w:val="00516E6A"/>
    <w:rsid w:val="00730FF9"/>
    <w:rsid w:val="009F6678"/>
    <w:rsid w:val="00AA3EF7"/>
    <w:rsid w:val="00C766D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28E8159288E40C2AB02C9C3B73C50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4A9A24-CF9E-4248-B434-927EAE63B927}">
  <ds:schemaRefs/>
</ds:datastoreItem>
</file>

<file path=docProps/app.xml><?xml version="1.0" encoding="utf-8"?>
<Properties xmlns="http://schemas.openxmlformats.org/officeDocument/2006/extended-properties" xmlns:vt="http://schemas.openxmlformats.org/officeDocument/2006/docPropsVTypes">
  <Template>bzbx20.dotx</Template>
  <Pages>7</Pages>
  <Words>38</Words>
  <Characters>39</Characters>
  <Lines>26</Lines>
  <Paragraphs>7</Paragraphs>
  <TotalTime>0</TotalTime>
  <ScaleCrop>false</ScaleCrop>
  <LinksUpToDate>false</LinksUpToDate>
  <CharactersWithSpaces>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2025-03-22T03:10:00Z</dcterms:created>
  <dc:creator>清雅Alice</dc:creator>
  <cp:lastModifiedBy>清雅Alice</cp:lastModifiedBy>
  <dcterms:modified xsi:type="dcterms:W3CDTF">2025-05-15T03:00:12Z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211BA67CA9EE455B8E8EA2242914C83E_13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 29.140.40</vt:lpwstr>
  </property>
  <property fmtid="{D5CDD505-2E9C-101B-9397-08002B2CF9AE}" pid="7" name="CCS" linkTarget="CCS">
    <vt:lpwstr>CCS K 70</vt:lpwstr>
  </property>
  <property fmtid="{D5CDD505-2E9C-101B-9397-08002B2CF9AE}" pid="8" name="BAH" linkTarget="BAH">
    <vt:lpwstr/>
  </property>
  <property fmtid="{D5CDD505-2E9C-101B-9397-08002B2CF9AE}" pid="9" name="BT" linkTarget="BT">
    <vt:lpwstr>北京市地方标准</vt:lpwstr>
  </property>
  <property fmtid="{D5CDD505-2E9C-101B-9397-08002B2CF9AE}" pid="10" name="BZBH" linkTarget="BZBH">
    <vt:lpwstr>DB11/T 388.6-202X</vt:lpwstr>
  </property>
  <property fmtid="{D5CDD505-2E9C-101B-9397-08002B2CF9AE}" pid="11" name="TDBH" linkTarget="TDBH">
    <vt:lpwstr>代替 DB11/T 388.6-2015</vt:lpwstr>
  </property>
  <property fmtid="{D5CDD505-2E9C-101B-9397-08002B2CF9AE}" pid="12" name="BZMC" linkTarget="BZMC">
    <vt:lpwstr>城市景观照明技术规范_x000d_
第6部分：供配电与控制</vt:lpwstr>
  </property>
  <property fmtid="{D5CDD505-2E9C-101B-9397-08002B2CF9AE}" pid="13" name="YWMC" linkTarget="YWMC">
    <vt:lpwstr>Technical specification of urban landscape lighting-_x000d_
Part 6: Power supply and control</vt:lpwstr>
  </property>
  <property fmtid="{D5CDD505-2E9C-101B-9397-08002B2CF9AE}" pid="14" name="CBCD" linkTarget="CBCD">
    <vt:lpwstr/>
  </property>
  <property fmtid="{D5CDD505-2E9C-101B-9397-08002B2CF9AE}" pid="15" name="WGLB" linkTarget="WGLB">
    <vt:lpwstr>（征求意见稿）</vt:lpwstr>
  </property>
  <property fmtid="{D5CDD505-2E9C-101B-9397-08002B2CF9AE}" pid="16" name="FBRQ" linkTarget="FBRQ">
    <vt:lpwstr>202X-XX-XX</vt:lpwstr>
  </property>
  <property fmtid="{D5CDD505-2E9C-101B-9397-08002B2CF9AE}" pid="17" name="SSRQ" linkTarget="SSRQ">
    <vt:lpwstr>202X-XX-XX</vt:lpwstr>
  </property>
  <property fmtid="{D5CDD505-2E9C-101B-9397-08002B2CF9AE}" pid="18" name="BZLX" linkTarget="BZLX">
    <vt:lpwstr>DB11</vt:lpwstr>
  </property>
  <property fmtid="{D5CDD505-2E9C-101B-9397-08002B2CF9AE}" pid="19" name="标准类型" linkTarget="标准类型">
    <vt:lpwstr>DB</vt:lpwstr>
  </property>
  <property fmtid="{D5CDD505-2E9C-101B-9397-08002B2CF9AE}" pid="20" name="FBDW" linkTarget="FBDW">
    <vt:lpwstr>北京市市场监督管理局</vt:lpwstr>
  </property>
  <property fmtid="{D5CDD505-2E9C-101B-9397-08002B2CF9AE}" pid="21" name="IMAGE" linkTarget="IMAGE">
    <vt:lpwstr/>
  </property>
  <property fmtid="{D5CDD505-2E9C-101B-9397-08002B2CF9AE}" pid="22" name="KSOTemplateDocerSaveRecord">
    <vt:lpwstr>eyJoZGlkIjoiODdhNDQzMTI5MmExZGM5MTY3MTlkYzM1OGM3NzNhMTYiLCJ1c2VySWQiOiIyNjU5MzkwMTIifQ==</vt:lpwstr>
  </property>
  <property fmtid="{D5CDD505-2E9C-101B-9397-08002B2CF9AE}" pid="23" name="KSOProductBuildVer">
    <vt:lpwstr>2052-12.1.0.20784</vt:lpwstr>
  </property>
</Properties>
</file>