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16BD35">
      <w:pPr>
        <w:pStyle w:val="286"/>
        <w:bidi w:val="0"/>
        <w:rPr>
          <w:rFonts w:hint="eastAsia"/>
        </w:rPr>
      </w:pPr>
      <w:bookmarkStart w:id="0" w:name="标准封面"/>
      <w:bookmarkEnd w:id="0"/>
      <w:r>
        <w:rPr>
          <w:sz w:val="32"/>
        </w:rPr>
        <mc:AlternateContent>
          <mc:Choice Requires="wps">
            <w:drawing>
              <wp:anchor distT="0" distB="0" distL="114300" distR="114300" simplePos="0" relativeHeight="251660288" behindDoc="0" locked="0" layoutInCell="1" allowOverlap="1">
                <wp:simplePos x="0" y="0"/>
                <wp:positionH relativeFrom="page">
                  <wp:posOffset>2737485</wp:posOffset>
                </wp:positionH>
                <wp:positionV relativeFrom="page">
                  <wp:posOffset>467995</wp:posOffset>
                </wp:positionV>
                <wp:extent cx="3960495" cy="914400"/>
                <wp:effectExtent l="0" t="0" r="1905" b="0"/>
                <wp:wrapNone/>
                <wp:docPr id="2" name="首页自画框图3"/>
                <wp:cNvGraphicFramePr/>
                <a:graphic xmlns:a="http://schemas.openxmlformats.org/drawingml/2006/main">
                  <a:graphicData uri="http://schemas.microsoft.com/office/word/2010/wordprocessingShape">
                    <wps:wsp>
                      <wps:cNvSpPr txBox="1"/>
                      <wps:spPr>
                        <a:xfrm>
                          <a:off x="0" y="0"/>
                          <a:ext cx="3960495" cy="914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39503D8">
                            <w:pPr>
                              <w:pStyle w:val="343"/>
                              <w:bidi w:val="0"/>
                              <w:jc w:val="right"/>
                              <w:rPr>
                                <w:rFonts w:hint="eastAsia"/>
                                <w:lang w:eastAsia="zh-CN"/>
                              </w:rPr>
                            </w:pPr>
                            <w:r>
                              <w:rPr>
                                <w:rFonts w:hint="eastAsia"/>
                              </w:rPr>
                              <w:t>DB</w:t>
                            </w:r>
                            <w:r>
                              <w:rPr>
                                <w:rFonts w:hint="eastAsia"/>
                                <w:lang w:eastAsia="zh-CN"/>
                              </w:rPr>
                              <w:t>11</w:t>
                            </w:r>
                          </w:p>
                        </w:txbxContent>
                      </wps:txbx>
                      <wps:bodyPr rot="0" spcFirstLastPara="0" vertOverflow="overflow" horzOverflow="overflow" vert="horz" wrap="square" lIns="0" tIns="0" rIns="91440" bIns="0" numCol="1" spcCol="0" rtlCol="0" fromWordArt="0" anchor="t" anchorCtr="0" forceAA="0" compatLnSpc="1">
                        <a:noAutofit/>
                      </wps:bodyPr>
                    </wps:wsp>
                  </a:graphicData>
                </a:graphic>
              </wp:anchor>
            </w:drawing>
          </mc:Choice>
          <mc:Fallback>
            <w:pict>
              <v:shape id="首页自画框图3" o:spid="_x0000_s1026" o:spt="202" type="#_x0000_t202" style="position:absolute;left:0pt;margin-left:215.55pt;margin-top:36.85pt;height:72pt;width:311.85pt;mso-position-horizontal-relative:page;mso-position-vertical-relative:page;z-index:251660288;mso-width-relative:page;mso-height-relative:page;" fillcolor="#FFFFFF [3201]" filled="t" stroked="f" coordsize="21600,21600" o:gfxdata="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Nn3X22wAAAAsBAAAPAAAAAAAAAAEAIAAAACIAAABkcnMvZG93bnJldi54bWxQSwECFAAUAAAA&#10;CACHTuJAFmmnPV0CAACLBAAADgAAAAAAAAABACAAAAAqAQAAZHJzL2Uyb0RvYy54bWxQSwUGAAAA&#10;AAYABgBZAQAA+QUAAAAA&#10;">
                <v:fill on="t" focussize="0,0"/>
                <v:stroke on="f" weight="0.5pt"/>
                <v:imagedata o:title=""/>
                <o:lock v:ext="edit" aspectratio="f"/>
                <v:textbox inset="0mm,0mm,2.54mm,0mm">
                  <w:txbxContent>
                    <w:p w14:paraId="339503D8">
                      <w:pPr>
                        <w:pStyle w:val="343"/>
                        <w:bidi w:val="0"/>
                        <w:jc w:val="right"/>
                        <w:rPr>
                          <w:rFonts w:hint="eastAsia"/>
                          <w:lang w:eastAsia="zh-CN"/>
                        </w:rPr>
                      </w:pPr>
                      <w:r>
                        <w:rPr>
                          <w:rFonts w:hint="eastAsia"/>
                        </w:rPr>
                        <w:t>DB</w:t>
                      </w:r>
                      <w:r>
                        <w:rPr>
                          <w:rFonts w:hint="eastAsia"/>
                          <w:lang w:eastAsia="zh-CN"/>
                        </w:rPr>
                        <w:t>11</w:t>
                      </w:r>
                    </w:p>
                  </w:txbxContent>
                </v:textbox>
              </v:shape>
            </w:pict>
          </mc:Fallback>
        </mc:AlternateContent>
      </w:r>
      <w:r>
        <w:rPr>
          <w:sz w:val="32"/>
        </w:rPr>
        <mc:AlternateContent>
          <mc:Choice Requires="wps">
            <w:drawing>
              <wp:anchor distT="0" distB="0" distL="114300" distR="114300" simplePos="0" relativeHeight="251659264" behindDoc="0" locked="0" layoutInCell="1" allowOverlap="1">
                <wp:simplePos x="0" y="0"/>
                <wp:positionH relativeFrom="page">
                  <wp:posOffset>900430</wp:posOffset>
                </wp:positionH>
                <wp:positionV relativeFrom="page">
                  <wp:posOffset>360045</wp:posOffset>
                </wp:positionV>
                <wp:extent cx="1800225" cy="720090"/>
                <wp:effectExtent l="0" t="0" r="9525" b="3810"/>
                <wp:wrapNone/>
                <wp:docPr id="1" name="首页自画框图2"/>
                <wp:cNvGraphicFramePr/>
                <a:graphic xmlns:a="http://schemas.openxmlformats.org/drawingml/2006/main">
                  <a:graphicData uri="http://schemas.microsoft.com/office/word/2010/wordprocessingShape">
                    <wps:wsp>
                      <wps:cNvSpPr txBox="1"/>
                      <wps:spPr>
                        <a:xfrm>
                          <a:off x="0" y="0"/>
                          <a:ext cx="1800225" cy="7200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50AEB84">
                            <w:pPr>
                              <w:pStyle w:val="333"/>
                              <w:bidi w:val="0"/>
                              <w:rPr>
                                <w:rFonts w:hint="eastAsia"/>
                                <w:lang w:eastAsia="zh-CN"/>
                              </w:rPr>
                            </w:pPr>
                            <w:r>
                              <w:rPr>
                                <w:rFonts w:hint="eastAsia"/>
                                <w:lang w:eastAsia="zh-CN"/>
                              </w:rPr>
                              <w:t>ICS 29.140.40</w:t>
                            </w:r>
                          </w:p>
                          <w:p w14:paraId="55D614C0">
                            <w:pPr>
                              <w:pStyle w:val="333"/>
                              <w:bidi w:val="0"/>
                              <w:rPr>
                                <w:rFonts w:hint="eastAsia"/>
                                <w:lang w:eastAsia="zh-CN"/>
                              </w:rPr>
                            </w:pPr>
                            <w:r>
                              <w:rPr>
                                <w:rFonts w:hint="eastAsia"/>
                                <w:lang w:eastAsia="zh-CN"/>
                              </w:rPr>
                              <w:t>CCS K 70</w:t>
                            </w:r>
                          </w:p>
                          <w:p w14:paraId="0F0636B3">
                            <w:pPr>
                              <w:pStyle w:val="333"/>
                              <w:bidi w:val="0"/>
                              <w:rPr>
                                <w:rFonts w:hint="eastAsia"/>
                                <w:lang w:eastAsia="zh-CN"/>
                              </w:rPr>
                            </w:pPr>
                          </w:p>
                        </w:txbxContent>
                      </wps:txbx>
                      <wps:bodyPr rot="0" spcFirstLastPara="0" vertOverflow="overflow" horzOverflow="overflow" vert="horz" wrap="square" lIns="0" tIns="0" rIns="91440" bIns="0" numCol="1" spcCol="0" rtlCol="0" fromWordArt="0" anchor="t" anchorCtr="0" forceAA="0" compatLnSpc="1">
                        <a:noAutofit/>
                      </wps:bodyPr>
                    </wps:wsp>
                  </a:graphicData>
                </a:graphic>
              </wp:anchor>
            </w:drawing>
          </mc:Choice>
          <mc:Fallback>
            <w:pict>
              <v:shape id="首页自画框图2" o:spid="_x0000_s1026" o:spt="202" type="#_x0000_t202" style="position:absolute;left:0pt;margin-left:70.9pt;margin-top:28.35pt;height:56.7pt;width:141.75pt;mso-position-horizontal-relative:page;mso-position-vertical-relative:page;z-index:251659264;mso-width-relative:page;mso-height-relative:page;" fillcolor="#FFFFFF [3201]" filled="t" stroked="f" coordsize="21600,21600" o:gfxdata="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Su&#10;iCHZAAAACgEAAA8AAAAAAAAAAQAgAAAAIgAAAGRycy9kb3ducmV2LnhtbFBLAQIUABQAAAAIAIdO&#10;4kDH6/xBWwIAAIsEAAAOAAAAAAAAAAEAIAAAACgBAABkcnMvZTJvRG9jLnhtbFBLBQYAAAAABgAG&#10;AFkBAAD1BQAAAAA=&#10;">
                <v:fill on="t" focussize="0,0"/>
                <v:stroke on="f" weight="0.5pt"/>
                <v:imagedata o:title=""/>
                <o:lock v:ext="edit" aspectratio="f"/>
                <v:textbox inset="0mm,0mm,2.54mm,0mm">
                  <w:txbxContent>
                    <w:p w14:paraId="350AEB84">
                      <w:pPr>
                        <w:pStyle w:val="333"/>
                        <w:bidi w:val="0"/>
                        <w:rPr>
                          <w:rFonts w:hint="eastAsia"/>
                          <w:lang w:eastAsia="zh-CN"/>
                        </w:rPr>
                      </w:pPr>
                      <w:r>
                        <w:rPr>
                          <w:rFonts w:hint="eastAsia"/>
                          <w:lang w:eastAsia="zh-CN"/>
                        </w:rPr>
                        <w:t>ICS 29.140.40</w:t>
                      </w:r>
                    </w:p>
                    <w:p w14:paraId="55D614C0">
                      <w:pPr>
                        <w:pStyle w:val="333"/>
                        <w:bidi w:val="0"/>
                        <w:rPr>
                          <w:rFonts w:hint="eastAsia"/>
                          <w:lang w:eastAsia="zh-CN"/>
                        </w:rPr>
                      </w:pPr>
                      <w:r>
                        <w:rPr>
                          <w:rFonts w:hint="eastAsia"/>
                          <w:lang w:eastAsia="zh-CN"/>
                        </w:rPr>
                        <w:t>CCS K 70</w:t>
                      </w:r>
                    </w:p>
                    <w:p w14:paraId="0F0636B3">
                      <w:pPr>
                        <w:pStyle w:val="333"/>
                        <w:bidi w:val="0"/>
                        <w:rPr>
                          <w:rFonts w:hint="eastAsia"/>
                          <w:lang w:eastAsia="zh-CN"/>
                        </w:rPr>
                      </w:pPr>
                    </w:p>
                  </w:txbxContent>
                </v:textbox>
              </v:shape>
            </w:pict>
          </mc:Fallback>
        </mc:AlternateContent>
      </w:r>
    </w:p>
    <w:p w14:paraId="01B76CBD">
      <w:pPr>
        <w:pStyle w:val="258"/>
        <w:rPr>
          <w:rFonts w:hint="eastAsia"/>
        </w:rPr>
      </w:pPr>
      <w:r>
        <w:rPr>
          <w:sz w:val="21"/>
        </w:rPr>
        <mc:AlternateContent>
          <mc:Choice Requires="wps">
            <w:drawing>
              <wp:anchor distT="0" distB="0" distL="114300" distR="114300" simplePos="0" relativeHeight="251661312" behindDoc="0" locked="0" layoutInCell="1" allowOverlap="1">
                <wp:simplePos x="0" y="0"/>
                <wp:positionH relativeFrom="page">
                  <wp:posOffset>900430</wp:posOffset>
                </wp:positionH>
                <wp:positionV relativeFrom="page">
                  <wp:posOffset>1511935</wp:posOffset>
                </wp:positionV>
                <wp:extent cx="6120765" cy="648335"/>
                <wp:effectExtent l="0" t="0" r="13335" b="18415"/>
                <wp:wrapNone/>
                <wp:docPr id="4" name="首页自画框图4"/>
                <wp:cNvGraphicFramePr/>
                <a:graphic xmlns:a="http://schemas.openxmlformats.org/drawingml/2006/main">
                  <a:graphicData uri="http://schemas.microsoft.com/office/word/2010/wordprocessingShape">
                    <wps:wsp>
                      <wps:cNvSpPr txBox="1"/>
                      <wps:spPr>
                        <a:xfrm>
                          <a:off x="0" y="0"/>
                          <a:ext cx="6120765" cy="648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EF7F5FD">
                            <w:pPr>
                              <w:pStyle w:val="336"/>
                              <w:bidi w:val="0"/>
                              <w:rPr>
                                <w:rFonts w:hint="eastAsia" w:ascii="黑体" w:hAnsi="宋体" w:eastAsia="黑体" w:cs="Times New Roman"/>
                                <w:bCs w:val="0"/>
                                <w:w w:val="100"/>
                                <w:sz w:val="48"/>
                                <w:szCs w:val="48"/>
                                <w:lang w:val="en-US" w:eastAsia="zh-CN" w:bidi="ar-SA"/>
                              </w:rPr>
                            </w:pPr>
                            <w:r>
                              <w:rPr>
                                <w:rFonts w:hint="eastAsia" w:ascii="黑体" w:hAnsi="宋体" w:eastAsia="黑体" w:cs="Times New Roman"/>
                                <w:bCs w:val="0"/>
                                <w:w w:val="100"/>
                                <w:sz w:val="48"/>
                                <w:szCs w:val="48"/>
                                <w:lang w:val="en-US" w:eastAsia="zh-CN" w:bidi="ar-SA"/>
                              </w:rPr>
                              <w:t>北京市地方标准</w:t>
                            </w:r>
                          </w:p>
                        </w:txbxContent>
                      </wps:txbx>
                      <wps:bodyPr rot="0" spcFirstLastPara="0" vertOverflow="overflow" horzOverflow="overflow" vert="horz" wrap="square" lIns="0" tIns="0" rIns="91440" bIns="0" numCol="1" spcCol="0" rtlCol="0" fromWordArt="0" anchor="t" anchorCtr="0" forceAA="0" compatLnSpc="1">
                        <a:noAutofit/>
                      </wps:bodyPr>
                    </wps:wsp>
                  </a:graphicData>
                </a:graphic>
              </wp:anchor>
            </w:drawing>
          </mc:Choice>
          <mc:Fallback>
            <w:pict>
              <v:shape id="首页自画框图4" o:spid="_x0000_s1026" o:spt="202" type="#_x0000_t202" style="position:absolute;left:0pt;margin-left:70.9pt;margin-top:119.05pt;height:51.05pt;width:481.95pt;mso-position-horizontal-relative:page;mso-position-vertical-relative:page;z-index:251661312;mso-width-relative:page;mso-height-relative:page;" fillcolor="#FFFFFF [3201]" filled="t" stroked="f" coordsize="21600,21600" o:gfxdata="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Lad/U2wAAAAwBAAAPAAAAAAAAAAEAIAAAACIAAABkcnMvZG93bnJldi54bWxQSwECFAAUAAAA&#10;CACHTuJAaTXVXV0CAACLBAAADgAAAAAAAAABACAAAAAqAQAAZHJzL2Uyb0RvYy54bWxQSwUGAAAA&#10;AAYABgBZAQAA+QUAAAAA&#10;">
                <v:fill on="t" focussize="0,0"/>
                <v:stroke on="f" weight="0.5pt"/>
                <v:imagedata o:title=""/>
                <o:lock v:ext="edit" aspectratio="f"/>
                <v:textbox inset="0mm,0mm,2.54mm,0mm">
                  <w:txbxContent>
                    <w:p w14:paraId="6EF7F5FD">
                      <w:pPr>
                        <w:pStyle w:val="336"/>
                        <w:bidi w:val="0"/>
                        <w:rPr>
                          <w:rFonts w:hint="eastAsia" w:ascii="黑体" w:hAnsi="宋体" w:eastAsia="黑体" w:cs="Times New Roman"/>
                          <w:bCs w:val="0"/>
                          <w:w w:val="100"/>
                          <w:sz w:val="48"/>
                          <w:szCs w:val="48"/>
                          <w:lang w:val="en-US" w:eastAsia="zh-CN" w:bidi="ar-SA"/>
                        </w:rPr>
                      </w:pPr>
                      <w:r>
                        <w:rPr>
                          <w:rFonts w:hint="eastAsia" w:ascii="黑体" w:hAnsi="宋体" w:eastAsia="黑体" w:cs="Times New Roman"/>
                          <w:bCs w:val="0"/>
                          <w:w w:val="100"/>
                          <w:sz w:val="48"/>
                          <w:szCs w:val="48"/>
                          <w:lang w:val="en-US" w:eastAsia="zh-CN" w:bidi="ar-SA"/>
                        </w:rPr>
                        <w:t>北京市地方标准</w:t>
                      </w:r>
                    </w:p>
                  </w:txbxContent>
                </v:textbox>
              </v:shape>
            </w:pict>
          </mc:Fallback>
        </mc:AlternateContent>
      </w:r>
    </w:p>
    <w:p w14:paraId="7AE19762">
      <w:pPr>
        <w:pStyle w:val="258"/>
        <w:rPr>
          <w:rFonts w:hint="eastAsia"/>
        </w:rPr>
      </w:pPr>
    </w:p>
    <w:p w14:paraId="28728114">
      <w:pPr>
        <w:pStyle w:val="258"/>
        <w:rPr>
          <w:rFonts w:hint="eastAsia"/>
        </w:rPr>
        <w:sectPr>
          <w:headerReference r:id="rId5" w:type="first"/>
          <w:footerReference r:id="rId8" w:type="first"/>
          <w:headerReference r:id="rId3" w:type="default"/>
          <w:footerReference r:id="rId6" w:type="default"/>
          <w:headerReference r:id="rId4" w:type="even"/>
          <w:footerReference r:id="rId7" w:type="even"/>
          <w:pgSz w:w="11907" w:h="16839"/>
          <w:pgMar w:top="284" w:right="851" w:bottom="1134" w:left="1418" w:header="284" w:footer="1134" w:gutter="0"/>
          <w:lnNumType w:countBy="0" w:restart="continuous"/>
          <w:pgNumType w:fmt="upperRoman" w:start="1"/>
          <w:cols w:space="425" w:num="1"/>
          <w:titlePg/>
          <w:rtlGutter w:val="0"/>
          <w:docGrid w:linePitch="312" w:charSpace="0"/>
        </w:sectPr>
      </w:pPr>
      <w:r>
        <w:rPr>
          <w:sz w:val="21"/>
        </w:rPr>
        <mc:AlternateContent>
          <mc:Choice Requires="wps">
            <w:drawing>
              <wp:anchor distT="0" distB="0" distL="114300" distR="114300" simplePos="0" relativeHeight="251669504" behindDoc="0" locked="0" layoutInCell="1" allowOverlap="1">
                <wp:simplePos x="0" y="0"/>
                <wp:positionH relativeFrom="page">
                  <wp:posOffset>4611370</wp:posOffset>
                </wp:positionH>
                <wp:positionV relativeFrom="page">
                  <wp:posOffset>9763760</wp:posOffset>
                </wp:positionV>
                <wp:extent cx="810895" cy="184150"/>
                <wp:effectExtent l="0" t="0" r="8255" b="6350"/>
                <wp:wrapNone/>
                <wp:docPr id="12" name="首页自画框图12"/>
                <wp:cNvGraphicFramePr/>
                <a:graphic xmlns:a="http://schemas.openxmlformats.org/drawingml/2006/main">
                  <a:graphicData uri="http://schemas.microsoft.com/office/word/2010/wordprocessingShape">
                    <wps:wsp>
                      <wps:cNvSpPr txBox="1"/>
                      <wps:spPr>
                        <a:xfrm>
                          <a:off x="0" y="0"/>
                          <a:ext cx="1422400" cy="177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27C78F9">
                            <w:pPr>
                              <w:pStyle w:val="499"/>
                              <w:bidi w:val="0"/>
                              <w:rPr>
                                <w:rFonts w:hint="eastAsia"/>
                                <w:lang w:eastAsia="zh-CN"/>
                              </w:rPr>
                            </w:pPr>
                            <w:r>
                              <w:rPr>
                                <w:rFonts w:hint="eastAsia"/>
                                <w:lang w:eastAsia="zh-CN"/>
                              </w:rPr>
                              <w:t>发 布</w:t>
                            </w: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首页自画框图12" o:spid="_x0000_s1026" o:spt="202" type="#_x0000_t202" style="position:absolute;left:0pt;margin-left:363.1pt;margin-top:768.8pt;height:14.5pt;width:63.85pt;mso-position-horizontal-relative:page;mso-position-vertical-relative:page;mso-wrap-style:none;z-index:251669504;mso-width-relative:page;mso-height-relative:page;" fillcolor="#FFFFFF [3201]" filled="t" stroked="f" coordsize="21600,21600" o:gfxdata="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OF3fLdsA&#10;AAANAQAADwAAAAAAAAABACAAAAAiAAAAZHJzL2Rvd25yZXYueG1sUEsBAhQAFAAAAAgAh07iQDIY&#10;L6VVAgAAhwQAAA4AAAAAAAAAAQAgAAAAKgEAAGRycy9lMm9Eb2MueG1sUEsFBgAAAAAGAAYAWQEA&#10;APEFAAAAAA==&#10;">
                <v:fill on="t" focussize="0,0"/>
                <v:stroke on="f" weight="0.5pt"/>
                <v:imagedata o:title=""/>
                <o:lock v:ext="edit" aspectratio="f"/>
                <v:textbox inset="0mm,0mm,0mm,0mm">
                  <w:txbxContent>
                    <w:p w14:paraId="427C78F9">
                      <w:pPr>
                        <w:pStyle w:val="499"/>
                        <w:bidi w:val="0"/>
                        <w:rPr>
                          <w:rFonts w:hint="eastAsia"/>
                          <w:lang w:eastAsia="zh-CN"/>
                        </w:rPr>
                      </w:pPr>
                      <w:r>
                        <w:rPr>
                          <w:rFonts w:hint="eastAsia"/>
                          <w:lang w:eastAsia="zh-CN"/>
                        </w:rPr>
                        <w:t>发 布</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page">
                  <wp:posOffset>2319020</wp:posOffset>
                </wp:positionH>
                <wp:positionV relativeFrom="page">
                  <wp:posOffset>9738360</wp:posOffset>
                </wp:positionV>
                <wp:extent cx="2292350" cy="234950"/>
                <wp:effectExtent l="0" t="0" r="12700" b="12700"/>
                <wp:wrapNone/>
                <wp:docPr id="11" name="首页自画框图11"/>
                <wp:cNvGraphicFramePr/>
                <a:graphic xmlns:a="http://schemas.openxmlformats.org/drawingml/2006/main">
                  <a:graphicData uri="http://schemas.microsoft.com/office/word/2010/wordprocessingShape">
                    <wps:wsp>
                      <wps:cNvSpPr txBox="1"/>
                      <wps:spPr>
                        <a:xfrm>
                          <a:off x="0" y="0"/>
                          <a:ext cx="2286000" cy="2349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3A64604">
                            <w:pPr>
                              <w:pStyle w:val="341"/>
                              <w:bidi w:val="0"/>
                              <w:rPr>
                                <w:rFonts w:hint="eastAsia"/>
                                <w:lang w:eastAsia="zh-CN"/>
                              </w:rPr>
                            </w:pPr>
                            <w:r>
                              <w:rPr>
                                <w:rFonts w:hint="eastAsia"/>
                                <w:lang w:eastAsia="zh-CN"/>
                              </w:rPr>
                              <w:t>北京市市场监督管理局</w:t>
                            </w: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首页自画框图11" o:spid="_x0000_s1026" o:spt="202" type="#_x0000_t202" style="position:absolute;left:0pt;margin-left:182.6pt;margin-top:766.8pt;height:18.5pt;width:180.5pt;mso-position-horizontal-relative:page;mso-position-vertical-relative:page;mso-wrap-style:none;z-index:251668480;mso-width-relative:page;mso-height-relative:page;" fillcolor="#FFFFFF [3201]" filled="t" stroked="f" coordsize="21600,21600" o:gfxdata="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vOpcvaAAAA&#10;DQEAAA8AAAAAAAAAAQAgAAAAIgAAAGRycy9kb3ducmV2LnhtbFBLAQIUABQAAAAIAIdO4kCeLIFY&#10;VAIAAIcEAAAOAAAAAAAAAAEAIAAAACkBAABkcnMvZTJvRG9jLnhtbFBLBQYAAAAABgAGAFkBAADv&#10;BQAAAAA=&#10;">
                <v:fill on="t" focussize="0,0"/>
                <v:stroke on="f" weight="0.5pt"/>
                <v:imagedata o:title=""/>
                <o:lock v:ext="edit" aspectratio="f"/>
                <v:textbox inset="0mm,0mm,0mm,0mm">
                  <w:txbxContent>
                    <w:p w14:paraId="23A64604">
                      <w:pPr>
                        <w:pStyle w:val="341"/>
                        <w:bidi w:val="0"/>
                        <w:rPr>
                          <w:rFonts w:hint="eastAsia"/>
                          <w:lang w:eastAsia="zh-CN"/>
                        </w:rPr>
                      </w:pPr>
                      <w:r>
                        <w:rPr>
                          <w:rFonts w:hint="eastAsia"/>
                          <w:lang w:eastAsia="zh-CN"/>
                        </w:rPr>
                        <w:t>北京市市场监督管理局</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-11430</wp:posOffset>
                </wp:positionH>
                <wp:positionV relativeFrom="paragraph">
                  <wp:posOffset>7512050</wp:posOffset>
                </wp:positionV>
                <wp:extent cx="6121400" cy="0"/>
                <wp:effectExtent l="0" t="6350" r="0" b="6350"/>
                <wp:wrapNone/>
                <wp:docPr id="10" name="首页自画框图10"/>
                <wp:cNvGraphicFramePr/>
                <a:graphic xmlns:a="http://schemas.openxmlformats.org/drawingml/2006/main">
                  <a:graphicData uri="http://schemas.microsoft.com/office/word/2010/wordprocessingShape">
                    <wps:wsp>
                      <wps:cNvCnPr/>
                      <wps:spPr>
                        <a:xfrm>
                          <a:off x="0" y="0"/>
                          <a:ext cx="6121400" cy="0"/>
                        </a:xfrm>
                        <a:prstGeom prst="line">
                          <a:avLst/>
                        </a:prstGeom>
                        <a:ln>
                          <a:solidFill>
                            <a:srgbClr val="00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首页自画框图10" o:spid="_x0000_s1026" o:spt="20" style="position:absolute;left:0pt;margin-left:-0.9pt;margin-top:591.5pt;height:0pt;width:482pt;z-index:251667456;mso-width-relative:page;mso-height-relative:page;" filled="f" stroked="t" coordsize="21600,21600" o:gfxdata="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jh&#10;euXYAAAADAEAAA8AAAAAAAAAAQAgAAAAIgAAAGRycy9kb3ducmV2LnhtbFBLAQIUABQAAAAIAIdO&#10;4kB6+omc6gEAALYDAAAOAAAAAAAAAAEAIAAAACcBAABkcnMvZTJvRG9jLnhtbFBLBQYAAAAABgAG&#10;AFkBAACDBQAAAAA=&#10;">
                <v:fill on="f" focussize="0,0"/>
                <v:stroke weight="1pt" color="#000000 [3204]" miterlimit="8" joinstyle="miter"/>
                <v:imagedata o:title=""/>
                <o:lock v:ext="edit" aspectratio="f"/>
              </v:lin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page">
                  <wp:posOffset>4140200</wp:posOffset>
                </wp:positionH>
                <wp:positionV relativeFrom="page">
                  <wp:posOffset>8964930</wp:posOffset>
                </wp:positionV>
                <wp:extent cx="2880360" cy="360045"/>
                <wp:effectExtent l="0" t="0" r="15240" b="1905"/>
                <wp:wrapNone/>
                <wp:docPr id="9" name="首页自画框图9"/>
                <wp:cNvGraphicFramePr/>
                <a:graphic xmlns:a="http://schemas.openxmlformats.org/drawingml/2006/main">
                  <a:graphicData uri="http://schemas.microsoft.com/office/word/2010/wordprocessingShape">
                    <wps:wsp>
                      <wps:cNvSpPr txBox="1"/>
                      <wps:spPr>
                        <a:xfrm>
                          <a:off x="0" y="0"/>
                          <a:ext cx="2880360" cy="3600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0872673">
                            <w:pPr>
                              <w:pStyle w:val="291"/>
                              <w:bidi w:val="0"/>
                              <w:jc w:val="right"/>
                              <w:rPr>
                                <w:rFonts w:hint="eastAsia"/>
                                <w:lang w:eastAsia="zh-CN"/>
                              </w:rPr>
                            </w:pPr>
                            <w:r>
                              <w:rPr>
                                <w:rFonts w:hint="eastAsia"/>
                                <w:lang w:eastAsia="zh-CN"/>
                              </w:rPr>
                              <w:t>202X-XX-XX实施</w:t>
                            </w:r>
                          </w:p>
                        </w:txbxContent>
                      </wps:txbx>
                      <wps:bodyPr rot="0" spcFirstLastPara="0" vertOverflow="overflow" horzOverflow="overflow" vert="horz" wrap="square" lIns="0" tIns="0" rIns="91440" bIns="0" numCol="1" spcCol="0" rtlCol="0" fromWordArt="0" anchor="t" anchorCtr="0" forceAA="0" compatLnSpc="1">
                        <a:noAutofit/>
                      </wps:bodyPr>
                    </wps:wsp>
                  </a:graphicData>
                </a:graphic>
              </wp:anchor>
            </w:drawing>
          </mc:Choice>
          <mc:Fallback>
            <w:pict>
              <v:shape id="首页自画框图9" o:spid="_x0000_s1026" o:spt="202" type="#_x0000_t202" style="position:absolute;left:0pt;margin-left:326pt;margin-top:705.9pt;height:28.35pt;width:226.8pt;mso-position-horizontal-relative:page;mso-position-vertical-relative:page;z-index:251666432;mso-width-relative:page;mso-height-relative:page;" fillcolor="#FFFFFF [3201]" filled="t" stroked="f" coordsize="21600,21600" o:gfxdata="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2GwmbbAAAADgEAAA8AAAAAAAAAAQAgAAAAIgAAAGRycy9kb3ducmV2LnhtbFBLAQIUABQAAAAI&#10;AIdO4kBzdPgLXAIAAIsEAAAOAAAAAAAAAAEAIAAAACoBAABkcnMvZTJvRG9jLnhtbFBLBQYAAAAA&#10;BgAGAFkBAAD4BQAAAAA=&#10;">
                <v:fill on="t" focussize="0,0"/>
                <v:stroke on="f" weight="0.5pt"/>
                <v:imagedata o:title=""/>
                <o:lock v:ext="edit" aspectratio="f"/>
                <v:textbox inset="0mm,0mm,2.54mm,0mm">
                  <w:txbxContent>
                    <w:p w14:paraId="60872673">
                      <w:pPr>
                        <w:pStyle w:val="291"/>
                        <w:bidi w:val="0"/>
                        <w:jc w:val="right"/>
                        <w:rPr>
                          <w:rFonts w:hint="eastAsia"/>
                          <w:lang w:eastAsia="zh-CN"/>
                        </w:rPr>
                      </w:pPr>
                      <w:r>
                        <w:rPr>
                          <w:rFonts w:hint="eastAsia"/>
                          <w:lang w:eastAsia="zh-CN"/>
                        </w:rPr>
                        <w:t>202X-XX-XX实施</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page">
                  <wp:posOffset>900430</wp:posOffset>
                </wp:positionH>
                <wp:positionV relativeFrom="page">
                  <wp:posOffset>8964930</wp:posOffset>
                </wp:positionV>
                <wp:extent cx="2880360" cy="360045"/>
                <wp:effectExtent l="0" t="0" r="15240" b="1905"/>
                <wp:wrapNone/>
                <wp:docPr id="8" name="首页自画框图8"/>
                <wp:cNvGraphicFramePr/>
                <a:graphic xmlns:a="http://schemas.openxmlformats.org/drawingml/2006/main">
                  <a:graphicData uri="http://schemas.microsoft.com/office/word/2010/wordprocessingShape">
                    <wps:wsp>
                      <wps:cNvSpPr txBox="1"/>
                      <wps:spPr>
                        <a:xfrm>
                          <a:off x="0" y="0"/>
                          <a:ext cx="2880360" cy="3600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98CE97D">
                            <w:pPr>
                              <w:pStyle w:val="264"/>
                              <w:bidi w:val="0"/>
                              <w:rPr>
                                <w:rFonts w:hint="eastAsia"/>
                                <w:lang w:eastAsia="zh-CN"/>
                              </w:rPr>
                            </w:pPr>
                            <w:r>
                              <w:rPr>
                                <w:rFonts w:hint="eastAsia"/>
                                <w:lang w:eastAsia="zh-CN"/>
                              </w:rPr>
                              <w:t>202X-XX-XX发布</w:t>
                            </w:r>
                          </w:p>
                        </w:txbxContent>
                      </wps:txbx>
                      <wps:bodyPr rot="0" spcFirstLastPara="0" vertOverflow="overflow" horzOverflow="overflow" vert="horz" wrap="square" lIns="0" tIns="0" rIns="91440" bIns="0" numCol="1" spcCol="0" rtlCol="0" fromWordArt="0" anchor="t" anchorCtr="0" forceAA="0" compatLnSpc="1">
                        <a:noAutofit/>
                      </wps:bodyPr>
                    </wps:wsp>
                  </a:graphicData>
                </a:graphic>
              </wp:anchor>
            </w:drawing>
          </mc:Choice>
          <mc:Fallback>
            <w:pict>
              <v:shape id="首页自画框图8" o:spid="_x0000_s1026" o:spt="202" type="#_x0000_t202" style="position:absolute;left:0pt;margin-left:70.9pt;margin-top:705.9pt;height:28.35pt;width:226.8pt;mso-position-horizontal-relative:page;mso-position-vertical-relative:page;z-index:251665408;mso-width-relative:page;mso-height-relative:page;" fillcolor="#FFFFFF [3201]" filled="t" stroked="f" coordsize="21600,21600" o:gfxdata="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ht&#10;yPnZAAAADQEAAA8AAAAAAAAAAQAgAAAAIgAAAGRycy9kb3ducmV2LnhtbFBLAQIUABQAAAAIAIdO&#10;4kD4mL9sWwIAAIsEAAAOAAAAAAAAAAEAIAAAACgBAABkcnMvZTJvRG9jLnhtbFBLBQYAAAAABgAG&#10;AFkBAAD1BQAAAAA=&#10;">
                <v:fill on="t" focussize="0,0"/>
                <v:stroke on="f" weight="0.5pt"/>
                <v:imagedata o:title=""/>
                <o:lock v:ext="edit" aspectratio="f"/>
                <v:textbox inset="0mm,0mm,2.54mm,0mm">
                  <w:txbxContent>
                    <w:p w14:paraId="198CE97D">
                      <w:pPr>
                        <w:pStyle w:val="264"/>
                        <w:bidi w:val="0"/>
                        <w:rPr>
                          <w:rFonts w:hint="eastAsia"/>
                          <w:lang w:eastAsia="zh-CN"/>
                        </w:rPr>
                      </w:pPr>
                      <w:r>
                        <w:rPr>
                          <w:rFonts w:hint="eastAsia"/>
                          <w:lang w:eastAsia="zh-CN"/>
                        </w:rPr>
                        <w:t>202X-XX-XX发布</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page">
                  <wp:posOffset>900430</wp:posOffset>
                </wp:positionH>
                <wp:positionV relativeFrom="page">
                  <wp:posOffset>4140200</wp:posOffset>
                </wp:positionV>
                <wp:extent cx="6120765" cy="4320540"/>
                <wp:effectExtent l="0" t="0" r="13335" b="3810"/>
                <wp:wrapNone/>
                <wp:docPr id="7" name="首页自画框图7"/>
                <wp:cNvGraphicFramePr/>
                <a:graphic xmlns:a="http://schemas.openxmlformats.org/drawingml/2006/main">
                  <a:graphicData uri="http://schemas.microsoft.com/office/word/2010/wordprocessingShape">
                    <wps:wsp>
                      <wps:cNvSpPr txBox="1"/>
                      <wps:spPr>
                        <a:xfrm>
                          <a:off x="0" y="0"/>
                          <a:ext cx="6120765" cy="43205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FE00457">
                            <w:pPr>
                              <w:pStyle w:val="268"/>
                              <w:bidi w:val="0"/>
                              <w:rPr>
                                <w:rFonts w:hint="eastAsia"/>
                                <w:lang w:eastAsia="zh-CN"/>
                              </w:rPr>
                            </w:pPr>
                            <w:r>
                              <w:rPr>
                                <w:rFonts w:hint="eastAsia"/>
                                <w:lang w:eastAsia="zh-CN"/>
                              </w:rPr>
                              <w:t>城市景观照明技术规范</w:t>
                            </w:r>
                            <w:r>
                              <w:rPr>
                                <w:rFonts w:hint="eastAsia"/>
                                <w:lang w:eastAsia="zh-CN"/>
                              </w:rPr>
                              <w:br w:type="textWrapping"/>
                            </w:r>
                            <w:r>
                              <w:rPr>
                                <w:rFonts w:hint="eastAsia"/>
                                <w:lang w:eastAsia="zh-CN"/>
                              </w:rPr>
                              <w:t>第5部分：安全要求</w:t>
                            </w:r>
                          </w:p>
                          <w:p w14:paraId="38632EC9">
                            <w:pPr>
                              <w:pStyle w:val="271"/>
                              <w:bidi w:val="0"/>
                              <w:rPr>
                                <w:rFonts w:hint="eastAsia"/>
                                <w:lang w:eastAsia="zh-CN"/>
                              </w:rPr>
                            </w:pPr>
                            <w:r>
                              <w:rPr>
                                <w:rFonts w:hint="eastAsia"/>
                                <w:lang w:eastAsia="zh-CN"/>
                              </w:rPr>
                              <w:t>Technical specification  of urban landscape lighting-</w:t>
                            </w:r>
                            <w:r>
                              <w:rPr>
                                <w:rFonts w:hint="eastAsia"/>
                                <w:lang w:eastAsia="zh-CN"/>
                              </w:rPr>
                              <w:br w:type="textWrapping"/>
                            </w:r>
                            <w:r>
                              <w:rPr>
                                <w:rFonts w:hint="eastAsia"/>
                                <w:lang w:eastAsia="zh-CN"/>
                              </w:rPr>
                              <w:t>Part 5: Safety requirements</w:t>
                            </w:r>
                          </w:p>
                          <w:p w14:paraId="0581B204">
                            <w:pPr>
                              <w:pStyle w:val="272"/>
                              <w:bidi w:val="0"/>
                              <w:rPr>
                                <w:rFonts w:hint="eastAsia"/>
                                <w:lang w:eastAsia="zh-CN"/>
                              </w:rPr>
                            </w:pPr>
                          </w:p>
                          <w:p w14:paraId="4F38E26F">
                            <w:pPr>
                              <w:pStyle w:val="272"/>
                              <w:bidi w:val="0"/>
                              <w:rPr>
                                <w:rFonts w:hint="eastAsia"/>
                                <w:lang w:eastAsia="zh-CN"/>
                              </w:rPr>
                            </w:pPr>
                            <w:r>
                              <w:rPr>
                                <w:rFonts w:hint="eastAsia"/>
                                <w:lang w:eastAsia="zh-CN"/>
                              </w:rPr>
                              <w:t>（征求意见稿）</w:t>
                            </w:r>
                          </w:p>
                        </w:txbxContent>
                      </wps:txbx>
                      <wps:bodyPr rot="0" spcFirstLastPara="0" vertOverflow="overflow" horzOverflow="overflow" vert="horz" wrap="square" lIns="0" tIns="0" rIns="91440" bIns="0" numCol="1" spcCol="0" rtlCol="0" fromWordArt="0" anchor="t" anchorCtr="0" forceAA="0" compatLnSpc="1">
                        <a:noAutofit/>
                      </wps:bodyPr>
                    </wps:wsp>
                  </a:graphicData>
                </a:graphic>
              </wp:anchor>
            </w:drawing>
          </mc:Choice>
          <mc:Fallback>
            <w:pict>
              <v:shape id="首页自画框图7" o:spid="_x0000_s1026" o:spt="202" type="#_x0000_t202" style="position:absolute;left:0pt;margin-left:70.9pt;margin-top:326pt;height:340.2pt;width:481.95pt;mso-position-horizontal-relative:page;mso-position-vertical-relative:page;z-index:251664384;mso-width-relative:page;mso-height-relative:page;" fillcolor="#FFFFFF [3201]" filled="t" stroked="f" coordsize="21600,21600" o:gfxdata="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xO9dDcAAAADQEAAA8AAAAAAAAAAQAgAAAAIgAAAGRycy9kb3ducmV2LnhtbFBLAQIU&#10;ABQAAAAIAIdO4kAbQnB+YQIAAIwEAAAOAAAAAAAAAAEAIAAAACsBAABkcnMvZTJvRG9jLnhtbFBL&#10;BQYAAAAABgAGAFkBAAD+BQAAAAA=&#10;">
                <v:fill on="t" focussize="0,0"/>
                <v:stroke on="f" weight="0.5pt"/>
                <v:imagedata o:title=""/>
                <o:lock v:ext="edit" aspectratio="f"/>
                <v:textbox inset="0mm,0mm,2.54mm,0mm">
                  <w:txbxContent>
                    <w:p w14:paraId="4FE00457">
                      <w:pPr>
                        <w:pStyle w:val="268"/>
                        <w:bidi w:val="0"/>
                        <w:rPr>
                          <w:rFonts w:hint="eastAsia"/>
                          <w:lang w:eastAsia="zh-CN"/>
                        </w:rPr>
                      </w:pPr>
                      <w:r>
                        <w:rPr>
                          <w:rFonts w:hint="eastAsia"/>
                          <w:lang w:eastAsia="zh-CN"/>
                        </w:rPr>
                        <w:t>城市景观照明技术规范</w:t>
                      </w:r>
                      <w:r>
                        <w:rPr>
                          <w:rFonts w:hint="eastAsia"/>
                          <w:lang w:eastAsia="zh-CN"/>
                        </w:rPr>
                        <w:br w:type="textWrapping"/>
                      </w:r>
                      <w:r>
                        <w:rPr>
                          <w:rFonts w:hint="eastAsia"/>
                          <w:lang w:eastAsia="zh-CN"/>
                        </w:rPr>
                        <w:t>第5部分：安全要求</w:t>
                      </w:r>
                    </w:p>
                    <w:p w14:paraId="38632EC9">
                      <w:pPr>
                        <w:pStyle w:val="271"/>
                        <w:bidi w:val="0"/>
                        <w:rPr>
                          <w:rFonts w:hint="eastAsia"/>
                          <w:lang w:eastAsia="zh-CN"/>
                        </w:rPr>
                      </w:pPr>
                      <w:r>
                        <w:rPr>
                          <w:rFonts w:hint="eastAsia"/>
                          <w:lang w:eastAsia="zh-CN"/>
                        </w:rPr>
                        <w:t>Technical specification  of urban landscape lighting-</w:t>
                      </w:r>
                      <w:r>
                        <w:rPr>
                          <w:rFonts w:hint="eastAsia"/>
                          <w:lang w:eastAsia="zh-CN"/>
                        </w:rPr>
                        <w:br w:type="textWrapping"/>
                      </w:r>
                      <w:r>
                        <w:rPr>
                          <w:rFonts w:hint="eastAsia"/>
                          <w:lang w:eastAsia="zh-CN"/>
                        </w:rPr>
                        <w:t>Part 5: Safety requirements</w:t>
                      </w:r>
                    </w:p>
                    <w:p w14:paraId="0581B204">
                      <w:pPr>
                        <w:pStyle w:val="272"/>
                        <w:bidi w:val="0"/>
                        <w:rPr>
                          <w:rFonts w:hint="eastAsia"/>
                          <w:lang w:eastAsia="zh-CN"/>
                        </w:rPr>
                      </w:pPr>
                    </w:p>
                    <w:p w14:paraId="4F38E26F">
                      <w:pPr>
                        <w:pStyle w:val="272"/>
                        <w:bidi w:val="0"/>
                        <w:rPr>
                          <w:rFonts w:hint="eastAsia"/>
                          <w:lang w:eastAsia="zh-CN"/>
                        </w:rPr>
                      </w:pPr>
                      <w:r>
                        <w:rPr>
                          <w:rFonts w:hint="eastAsia"/>
                          <w:lang w:eastAsia="zh-CN"/>
                        </w:rPr>
                        <w:t>（征求意见稿）</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-11430</wp:posOffset>
                </wp:positionH>
                <wp:positionV relativeFrom="paragraph">
                  <wp:posOffset>958850</wp:posOffset>
                </wp:positionV>
                <wp:extent cx="6121400" cy="0"/>
                <wp:effectExtent l="0" t="6350" r="0" b="6350"/>
                <wp:wrapNone/>
                <wp:docPr id="6" name="首页自画框图6"/>
                <wp:cNvGraphicFramePr/>
                <a:graphic xmlns:a="http://schemas.openxmlformats.org/drawingml/2006/main">
                  <a:graphicData uri="http://schemas.microsoft.com/office/word/2010/wordprocessingShape">
                    <wps:wsp>
                      <wps:cNvCnPr/>
                      <wps:spPr>
                        <a:xfrm>
                          <a:off x="0" y="0"/>
                          <a:ext cx="6121400" cy="0"/>
                        </a:xfrm>
                        <a:prstGeom prst="line">
                          <a:avLst/>
                        </a:prstGeom>
                        <a:ln>
                          <a:solidFill>
                            <a:srgbClr val="00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首页自画框图6" o:spid="_x0000_s1026" o:spt="20" style="position:absolute;left:0pt;margin-left:-0.9pt;margin-top:75.5pt;height:0pt;width:482pt;z-index:251663360;mso-width-relative:page;mso-height-relative:page;" filled="f" stroked="t" coordsize="21600,21600" o:gfxdata="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K&#10;Cih42AAAAAoBAAAPAAAAAAAAAAEAIAAAACIAAABkcnMvZG93bnJldi54bWxQSwECFAAUAAAACACH&#10;TuJA29XVresBAAC0AwAADgAAAAAAAAABACAAAAAnAQAAZHJzL2Uyb0RvYy54bWxQSwUGAAAAAAYA&#10;BgBZAQAAhAUAAAAA&#10;">
                <v:fill on="f" focussize="0,0"/>
                <v:stroke weight="1pt" color="#000000 [3204]" miterlimit="8" joinstyle="miter"/>
                <v:imagedata o:title=""/>
                <o:lock v:ext="edit" aspectratio="f"/>
              </v:lin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page">
                  <wp:posOffset>2520315</wp:posOffset>
                </wp:positionH>
                <wp:positionV relativeFrom="page">
                  <wp:posOffset>2124075</wp:posOffset>
                </wp:positionV>
                <wp:extent cx="4320540" cy="720090"/>
                <wp:effectExtent l="0" t="0" r="3810" b="3810"/>
                <wp:wrapNone/>
                <wp:docPr id="5" name="首页自画框图5"/>
                <wp:cNvGraphicFramePr/>
                <a:graphic xmlns:a="http://schemas.openxmlformats.org/drawingml/2006/main">
                  <a:graphicData uri="http://schemas.microsoft.com/office/word/2010/wordprocessingShape">
                    <wps:wsp>
                      <wps:cNvSpPr txBox="1"/>
                      <wps:spPr>
                        <a:xfrm>
                          <a:off x="0" y="0"/>
                          <a:ext cx="4320540" cy="7200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99D5B93">
                            <w:pPr>
                              <w:pStyle w:val="265"/>
                              <w:bidi w:val="0"/>
                              <w:rPr>
                                <w:rFonts w:hint="eastAsia"/>
                                <w:lang w:eastAsia="zh-CN"/>
                              </w:rPr>
                            </w:pPr>
                            <w:r>
                              <w:rPr>
                                <w:rFonts w:hint="eastAsia"/>
                                <w:lang w:eastAsia="zh-CN"/>
                              </w:rPr>
                              <w:t>DB11/T 388.5-202X</w:t>
                            </w:r>
                          </w:p>
                          <w:p w14:paraId="67BE67C2">
                            <w:pPr>
                              <w:pStyle w:val="267"/>
                              <w:bidi w:val="0"/>
                              <w:rPr>
                                <w:rFonts w:hint="eastAsia"/>
                                <w:lang w:eastAsia="zh-CN"/>
                              </w:rPr>
                            </w:pPr>
                            <w:r>
                              <w:rPr>
                                <w:rFonts w:hint="eastAsia"/>
                                <w:lang w:eastAsia="zh-CN"/>
                              </w:rPr>
                              <w:t>代替 DB11/T 388.5-2015</w:t>
                            </w:r>
                          </w:p>
                        </w:txbxContent>
                      </wps:txbx>
                      <wps:bodyPr rot="0" spcFirstLastPara="0" vertOverflow="overflow" horzOverflow="overflow" vert="horz" wrap="square" lIns="0" tIns="0" rIns="91440" bIns="0" numCol="1" spcCol="0" rtlCol="0" fromWordArt="0" anchor="t" anchorCtr="0" forceAA="0" compatLnSpc="1">
                        <a:noAutofit/>
                      </wps:bodyPr>
                    </wps:wsp>
                  </a:graphicData>
                </a:graphic>
              </wp:anchor>
            </w:drawing>
          </mc:Choice>
          <mc:Fallback>
            <w:pict>
              <v:shape id="首页自画框图5" o:spid="_x0000_s1026" o:spt="202" type="#_x0000_t202" style="position:absolute;left:0pt;margin-left:198.45pt;margin-top:167.25pt;height:56.7pt;width:340.2pt;mso-position-horizontal-relative:page;mso-position-vertical-relative:page;z-index:251662336;mso-width-relative:page;mso-height-relative:page;" fillcolor="#FFFFFF [3201]" filled="t" stroked="f" coordsize="21600,21600" o:gfxdata="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Uzsr7cAAAADAEAAA8AAAAAAAAAAQAgAAAAIgAAAGRycy9kb3ducmV2LnhtbFBLAQIUABQA&#10;AAAIAIdO4kDd/prVXgIAAIsEAAAOAAAAAAAAAAEAIAAAACsBAABkcnMvZTJvRG9jLnhtbFBLBQYA&#10;AAAABgAGAFkBAAD7BQAAAAA=&#10;">
                <v:fill on="t" focussize="0,0"/>
                <v:stroke on="f" weight="0.5pt"/>
                <v:imagedata o:title=""/>
                <o:lock v:ext="edit" aspectratio="f"/>
                <v:textbox inset="0mm,0mm,2.54mm,0mm">
                  <w:txbxContent>
                    <w:p w14:paraId="399D5B93">
                      <w:pPr>
                        <w:pStyle w:val="265"/>
                        <w:bidi w:val="0"/>
                        <w:rPr>
                          <w:rFonts w:hint="eastAsia"/>
                          <w:lang w:eastAsia="zh-CN"/>
                        </w:rPr>
                      </w:pPr>
                      <w:r>
                        <w:rPr>
                          <w:rFonts w:hint="eastAsia"/>
                          <w:lang w:eastAsia="zh-CN"/>
                        </w:rPr>
                        <w:t>DB11/T 388.5-202X</w:t>
                      </w:r>
                    </w:p>
                    <w:p w14:paraId="67BE67C2">
                      <w:pPr>
                        <w:pStyle w:val="267"/>
                        <w:bidi w:val="0"/>
                        <w:rPr>
                          <w:rFonts w:hint="eastAsia"/>
                          <w:lang w:eastAsia="zh-CN"/>
                        </w:rPr>
                      </w:pPr>
                      <w:r>
                        <w:rPr>
                          <w:rFonts w:hint="eastAsia"/>
                          <w:lang w:eastAsia="zh-CN"/>
                        </w:rPr>
                        <w:t>代替 DB11/T 388.5-2015</w:t>
                      </w:r>
                    </w:p>
                  </w:txbxContent>
                </v:textbox>
              </v:shape>
            </w:pict>
          </mc:Fallback>
        </mc:AlternateContent>
      </w:r>
    </w:p>
    <w:p w14:paraId="29108CD4">
      <w:pPr>
        <w:pStyle w:val="286"/>
        <w:bidi w:val="0"/>
        <w:jc w:val="center"/>
        <w:rPr>
          <w:rFonts w:hint="eastAsia"/>
          <w:lang w:eastAsia="zh-CN"/>
        </w:rPr>
      </w:pPr>
      <w:bookmarkStart w:id="1" w:name="标准目次"/>
      <w:bookmarkEnd w:id="1"/>
      <w:bookmarkStart w:id="2" w:name="标准目次内容"/>
      <w:r>
        <w:rPr>
          <w:rFonts w:hint="eastAsia"/>
          <w:lang w:eastAsia="zh-CN"/>
        </w:rPr>
        <w:t>目    次</w:t>
      </w:r>
    </w:p>
    <w:p w14:paraId="5E50B257">
      <w:pPr>
        <w:pStyle w:val="19"/>
        <w:tabs>
          <w:tab w:val="right" w:leader="dot" w:pos="9355"/>
        </w:tabs>
        <w:rPr>
          <w:rFonts w:hint="eastAsia" w:ascii="宋体" w:hAnsi="宋体" w:eastAsia="宋体" w:cs="宋体"/>
          <w:b w:val="0"/>
          <w:sz w:val="21"/>
        </w:rPr>
      </w:pPr>
      <w:r>
        <w:rPr>
          <w:rFonts w:hint="eastAsia" w:ascii="宋体" w:hAnsi="宋体" w:eastAsia="宋体" w:cs="宋体"/>
          <w:b w:val="0"/>
          <w:sz w:val="21"/>
          <w:lang w:eastAsia="zh-CN"/>
        </w:rPr>
        <w:fldChar w:fldCharType="begin"/>
      </w:r>
      <w:r>
        <w:rPr>
          <w:rFonts w:hint="eastAsia" w:ascii="宋体" w:hAnsi="宋体" w:eastAsia="宋体" w:cs="宋体"/>
          <w:b w:val="0"/>
          <w:sz w:val="21"/>
          <w:lang w:eastAsia="zh-CN"/>
        </w:rPr>
        <w:instrText xml:space="preserve">TOC \o "1-2" \h \u </w:instrText>
      </w:r>
      <w:r>
        <w:rPr>
          <w:rFonts w:hint="eastAsia" w:ascii="宋体" w:hAnsi="宋体" w:eastAsia="宋体" w:cs="宋体"/>
          <w:b w:val="0"/>
          <w:sz w:val="21"/>
          <w:lang w:eastAsia="zh-CN"/>
        </w:rPr>
        <w:fldChar w:fldCharType="separate"/>
      </w:r>
      <w:r>
        <w:rPr>
          <w:rFonts w:hint="eastAsia" w:ascii="宋体" w:hAnsi="宋体" w:eastAsia="宋体" w:cs="宋体"/>
          <w:b w:val="0"/>
          <w:sz w:val="21"/>
          <w:lang w:eastAsia="zh-CN"/>
        </w:rPr>
        <w:fldChar w:fldCharType="begin"/>
      </w:r>
      <w:r>
        <w:rPr>
          <w:rFonts w:hint="eastAsia" w:ascii="宋体" w:hAnsi="宋体" w:eastAsia="宋体" w:cs="宋体"/>
          <w:b w:val="0"/>
          <w:sz w:val="21"/>
          <w:lang w:eastAsia="zh-CN"/>
        </w:rPr>
        <w:instrText xml:space="preserve"> HYPERLINK \l _Toc28251 </w:instrText>
      </w:r>
      <w:r>
        <w:rPr>
          <w:rFonts w:hint="eastAsia" w:ascii="宋体" w:hAnsi="宋体" w:eastAsia="宋体" w:cs="宋体"/>
          <w:b w:val="0"/>
          <w:sz w:val="21"/>
          <w:lang w:eastAsia="zh-CN"/>
        </w:rPr>
        <w:fldChar w:fldCharType="separate"/>
      </w:r>
      <w:r>
        <w:rPr>
          <w:rFonts w:hint="eastAsia" w:ascii="宋体" w:hAnsi="宋体" w:eastAsia="宋体" w:cs="宋体"/>
          <w:b w:val="0"/>
          <w:sz w:val="21"/>
          <w:lang w:eastAsia="zh-CN"/>
        </w:rPr>
        <w:t>前言</w:t>
      </w:r>
      <w:r>
        <w:rPr>
          <w:rFonts w:hint="eastAsia" w:ascii="宋体" w:hAnsi="宋体" w:eastAsia="宋体" w:cs="宋体"/>
          <w:b w:val="0"/>
          <w:sz w:val="21"/>
        </w:rPr>
        <w:tab/>
      </w:r>
      <w:r>
        <w:rPr>
          <w:rFonts w:hint="eastAsia" w:ascii="宋体" w:hAnsi="宋体" w:eastAsia="宋体" w:cs="宋体"/>
          <w:b w:val="0"/>
          <w:sz w:val="21"/>
        </w:rPr>
        <w:fldChar w:fldCharType="begin"/>
      </w:r>
      <w:r>
        <w:rPr>
          <w:rFonts w:hint="eastAsia" w:ascii="宋体" w:hAnsi="宋体" w:eastAsia="宋体" w:cs="宋体"/>
          <w:b w:val="0"/>
          <w:sz w:val="21"/>
        </w:rPr>
        <w:instrText xml:space="preserve"> PAGEREF _Toc28251 \h </w:instrText>
      </w:r>
      <w:r>
        <w:rPr>
          <w:rFonts w:hint="eastAsia" w:ascii="宋体" w:hAnsi="宋体" w:eastAsia="宋体" w:cs="宋体"/>
          <w:b w:val="0"/>
          <w:sz w:val="21"/>
        </w:rPr>
        <w:fldChar w:fldCharType="separate"/>
      </w:r>
      <w:r>
        <w:rPr>
          <w:rFonts w:hint="eastAsia" w:ascii="宋体" w:hAnsi="宋体" w:eastAsia="宋体" w:cs="宋体"/>
          <w:b w:val="0"/>
          <w:sz w:val="21"/>
        </w:rPr>
        <w:t>II</w:t>
      </w:r>
      <w:r>
        <w:rPr>
          <w:rFonts w:hint="eastAsia" w:ascii="宋体" w:hAnsi="宋体" w:eastAsia="宋体" w:cs="宋体"/>
          <w:b w:val="0"/>
          <w:sz w:val="21"/>
        </w:rPr>
        <w:fldChar w:fldCharType="end"/>
      </w:r>
      <w:r>
        <w:rPr>
          <w:rFonts w:hint="eastAsia" w:ascii="宋体" w:hAnsi="宋体" w:eastAsia="宋体" w:cs="宋体"/>
          <w:b w:val="0"/>
          <w:sz w:val="21"/>
          <w:lang w:eastAsia="zh-CN"/>
        </w:rPr>
        <w:fldChar w:fldCharType="end"/>
      </w:r>
    </w:p>
    <w:p w14:paraId="093AEB08">
      <w:pPr>
        <w:pStyle w:val="18"/>
        <w:tabs>
          <w:tab w:val="right" w:leader="dot" w:pos="9355"/>
        </w:tabs>
        <w:rPr>
          <w:rFonts w:hint="eastAsia" w:ascii="宋体" w:hAnsi="宋体" w:eastAsia="宋体" w:cs="宋体"/>
          <w:b w:val="0"/>
          <w:sz w:val="21"/>
        </w:rPr>
      </w:pPr>
      <w:r>
        <w:rPr>
          <w:rFonts w:hint="eastAsia" w:ascii="宋体" w:hAnsi="宋体" w:eastAsia="宋体" w:cs="宋体"/>
          <w:b w:val="0"/>
          <w:sz w:val="21"/>
          <w:lang w:eastAsia="zh-CN"/>
        </w:rPr>
        <w:fldChar w:fldCharType="begin"/>
      </w:r>
      <w:r>
        <w:rPr>
          <w:rFonts w:hint="eastAsia" w:ascii="宋体" w:hAnsi="宋体" w:eastAsia="宋体" w:cs="宋体"/>
          <w:b w:val="0"/>
          <w:sz w:val="21"/>
          <w:lang w:eastAsia="zh-CN"/>
        </w:rPr>
        <w:instrText xml:space="preserve"> HYPERLINK \l _Toc24510 </w:instrText>
      </w:r>
      <w:r>
        <w:rPr>
          <w:rFonts w:hint="eastAsia" w:ascii="宋体" w:hAnsi="宋体" w:eastAsia="宋体" w:cs="宋体"/>
          <w:b w:val="0"/>
          <w:sz w:val="21"/>
          <w:lang w:eastAsia="zh-CN"/>
        </w:rPr>
        <w:fldChar w:fldCharType="separate"/>
      </w:r>
      <w:r>
        <w:rPr>
          <w:rFonts w:hint="eastAsia" w:ascii="宋体" w:hAnsi="宋体" w:eastAsia="宋体" w:cs="宋体"/>
          <w:b w:val="0"/>
          <w:i w:val="0"/>
          <w:sz w:val="21"/>
          <w:szCs w:val="21"/>
        </w:rPr>
        <w:t xml:space="preserve">1 </w:t>
      </w:r>
      <w:r>
        <w:rPr>
          <w:rFonts w:hint="eastAsia" w:ascii="宋体" w:hAnsi="宋体" w:eastAsia="宋体" w:cs="宋体"/>
          <w:b w:val="0"/>
          <w:sz w:val="21"/>
        </w:rPr>
        <w:t>范围</w:t>
      </w:r>
      <w:r>
        <w:rPr>
          <w:rFonts w:hint="eastAsia" w:ascii="宋体" w:hAnsi="宋体" w:eastAsia="宋体" w:cs="宋体"/>
          <w:b w:val="0"/>
          <w:sz w:val="21"/>
        </w:rPr>
        <w:tab/>
      </w:r>
      <w:r>
        <w:rPr>
          <w:rFonts w:hint="eastAsia" w:ascii="宋体" w:hAnsi="宋体" w:eastAsia="宋体" w:cs="宋体"/>
          <w:b w:val="0"/>
          <w:sz w:val="21"/>
        </w:rPr>
        <w:fldChar w:fldCharType="begin"/>
      </w:r>
      <w:r>
        <w:rPr>
          <w:rFonts w:hint="eastAsia" w:ascii="宋体" w:hAnsi="宋体" w:eastAsia="宋体" w:cs="宋体"/>
          <w:b w:val="0"/>
          <w:sz w:val="21"/>
        </w:rPr>
        <w:instrText xml:space="preserve"> PAGEREF _Toc24510 \h </w:instrText>
      </w:r>
      <w:r>
        <w:rPr>
          <w:rFonts w:hint="eastAsia" w:ascii="宋体" w:hAnsi="宋体" w:eastAsia="宋体" w:cs="宋体"/>
          <w:b w:val="0"/>
          <w:sz w:val="21"/>
        </w:rPr>
        <w:fldChar w:fldCharType="separate"/>
      </w:r>
      <w:r>
        <w:rPr>
          <w:rFonts w:hint="eastAsia" w:ascii="宋体" w:hAnsi="宋体" w:eastAsia="宋体" w:cs="宋体"/>
          <w:b w:val="0"/>
          <w:sz w:val="21"/>
        </w:rPr>
        <w:t>1</w:t>
      </w:r>
      <w:r>
        <w:rPr>
          <w:rFonts w:hint="eastAsia" w:ascii="宋体" w:hAnsi="宋体" w:eastAsia="宋体" w:cs="宋体"/>
          <w:b w:val="0"/>
          <w:sz w:val="21"/>
        </w:rPr>
        <w:fldChar w:fldCharType="end"/>
      </w:r>
      <w:r>
        <w:rPr>
          <w:rFonts w:hint="eastAsia" w:ascii="宋体" w:hAnsi="宋体" w:eastAsia="宋体" w:cs="宋体"/>
          <w:b w:val="0"/>
          <w:sz w:val="21"/>
          <w:lang w:eastAsia="zh-CN"/>
        </w:rPr>
        <w:fldChar w:fldCharType="end"/>
      </w:r>
    </w:p>
    <w:p w14:paraId="1F5D18D7">
      <w:pPr>
        <w:pStyle w:val="18"/>
        <w:tabs>
          <w:tab w:val="right" w:leader="dot" w:pos="9355"/>
        </w:tabs>
        <w:rPr>
          <w:rFonts w:hint="eastAsia" w:ascii="宋体" w:hAnsi="宋体" w:eastAsia="宋体" w:cs="宋体"/>
          <w:b w:val="0"/>
          <w:sz w:val="21"/>
        </w:rPr>
      </w:pPr>
      <w:r>
        <w:rPr>
          <w:rFonts w:hint="eastAsia" w:ascii="宋体" w:hAnsi="宋体" w:eastAsia="宋体" w:cs="宋体"/>
          <w:b w:val="0"/>
          <w:sz w:val="21"/>
          <w:lang w:eastAsia="zh-CN"/>
        </w:rPr>
        <w:fldChar w:fldCharType="begin"/>
      </w:r>
      <w:r>
        <w:rPr>
          <w:rFonts w:hint="eastAsia" w:ascii="宋体" w:hAnsi="宋体" w:eastAsia="宋体" w:cs="宋体"/>
          <w:b w:val="0"/>
          <w:sz w:val="21"/>
          <w:lang w:eastAsia="zh-CN"/>
        </w:rPr>
        <w:instrText xml:space="preserve"> HYPERLINK \l _Toc24129 </w:instrText>
      </w:r>
      <w:r>
        <w:rPr>
          <w:rFonts w:hint="eastAsia" w:ascii="宋体" w:hAnsi="宋体" w:eastAsia="宋体" w:cs="宋体"/>
          <w:b w:val="0"/>
          <w:sz w:val="21"/>
          <w:lang w:eastAsia="zh-CN"/>
        </w:rPr>
        <w:fldChar w:fldCharType="separate"/>
      </w:r>
      <w:r>
        <w:rPr>
          <w:rFonts w:hint="eastAsia" w:ascii="宋体" w:hAnsi="宋体" w:eastAsia="宋体" w:cs="宋体"/>
          <w:b w:val="0"/>
          <w:i w:val="0"/>
          <w:sz w:val="21"/>
          <w:szCs w:val="21"/>
        </w:rPr>
        <w:t xml:space="preserve">2 </w:t>
      </w:r>
      <w:r>
        <w:rPr>
          <w:rFonts w:hint="eastAsia" w:ascii="宋体" w:hAnsi="宋体" w:eastAsia="宋体" w:cs="宋体"/>
          <w:b w:val="0"/>
          <w:sz w:val="21"/>
        </w:rPr>
        <w:t>规范性引用文件</w:t>
      </w:r>
      <w:r>
        <w:rPr>
          <w:rFonts w:hint="eastAsia" w:ascii="宋体" w:hAnsi="宋体" w:eastAsia="宋体" w:cs="宋体"/>
          <w:b w:val="0"/>
          <w:sz w:val="21"/>
        </w:rPr>
        <w:tab/>
      </w:r>
      <w:r>
        <w:rPr>
          <w:rFonts w:hint="eastAsia" w:ascii="宋体" w:hAnsi="宋体" w:eastAsia="宋体" w:cs="宋体"/>
          <w:b w:val="0"/>
          <w:sz w:val="21"/>
        </w:rPr>
        <w:fldChar w:fldCharType="begin"/>
      </w:r>
      <w:r>
        <w:rPr>
          <w:rFonts w:hint="eastAsia" w:ascii="宋体" w:hAnsi="宋体" w:eastAsia="宋体" w:cs="宋体"/>
          <w:b w:val="0"/>
          <w:sz w:val="21"/>
        </w:rPr>
        <w:instrText xml:space="preserve"> PAGEREF _Toc24129 \h </w:instrText>
      </w:r>
      <w:r>
        <w:rPr>
          <w:rFonts w:hint="eastAsia" w:ascii="宋体" w:hAnsi="宋体" w:eastAsia="宋体" w:cs="宋体"/>
          <w:b w:val="0"/>
          <w:sz w:val="21"/>
        </w:rPr>
        <w:fldChar w:fldCharType="separate"/>
      </w:r>
      <w:r>
        <w:rPr>
          <w:rFonts w:hint="eastAsia" w:ascii="宋体" w:hAnsi="宋体" w:eastAsia="宋体" w:cs="宋体"/>
          <w:b w:val="0"/>
          <w:sz w:val="21"/>
        </w:rPr>
        <w:t>1</w:t>
      </w:r>
      <w:r>
        <w:rPr>
          <w:rFonts w:hint="eastAsia" w:ascii="宋体" w:hAnsi="宋体" w:eastAsia="宋体" w:cs="宋体"/>
          <w:b w:val="0"/>
          <w:sz w:val="21"/>
        </w:rPr>
        <w:fldChar w:fldCharType="end"/>
      </w:r>
      <w:r>
        <w:rPr>
          <w:rFonts w:hint="eastAsia" w:ascii="宋体" w:hAnsi="宋体" w:eastAsia="宋体" w:cs="宋体"/>
          <w:b w:val="0"/>
          <w:sz w:val="21"/>
          <w:lang w:eastAsia="zh-CN"/>
        </w:rPr>
        <w:fldChar w:fldCharType="end"/>
      </w:r>
    </w:p>
    <w:p w14:paraId="1C790607">
      <w:pPr>
        <w:pStyle w:val="18"/>
        <w:tabs>
          <w:tab w:val="right" w:leader="dot" w:pos="9355"/>
        </w:tabs>
        <w:rPr>
          <w:rFonts w:hint="eastAsia" w:ascii="宋体" w:hAnsi="宋体" w:eastAsia="宋体" w:cs="宋体"/>
          <w:b w:val="0"/>
          <w:sz w:val="21"/>
        </w:rPr>
      </w:pPr>
      <w:r>
        <w:rPr>
          <w:rFonts w:hint="eastAsia" w:ascii="宋体" w:hAnsi="宋体" w:eastAsia="宋体" w:cs="宋体"/>
          <w:b w:val="0"/>
          <w:sz w:val="21"/>
          <w:lang w:eastAsia="zh-CN"/>
        </w:rPr>
        <w:fldChar w:fldCharType="begin"/>
      </w:r>
      <w:r>
        <w:rPr>
          <w:rFonts w:hint="eastAsia" w:ascii="宋体" w:hAnsi="宋体" w:eastAsia="宋体" w:cs="宋体"/>
          <w:b w:val="0"/>
          <w:sz w:val="21"/>
          <w:lang w:eastAsia="zh-CN"/>
        </w:rPr>
        <w:instrText xml:space="preserve"> HYPERLINK \l _Toc22884 </w:instrText>
      </w:r>
      <w:r>
        <w:rPr>
          <w:rFonts w:hint="eastAsia" w:ascii="宋体" w:hAnsi="宋体" w:eastAsia="宋体" w:cs="宋体"/>
          <w:b w:val="0"/>
          <w:sz w:val="21"/>
          <w:lang w:eastAsia="zh-CN"/>
        </w:rPr>
        <w:fldChar w:fldCharType="separate"/>
      </w:r>
      <w:r>
        <w:rPr>
          <w:rFonts w:hint="eastAsia" w:ascii="宋体" w:hAnsi="宋体" w:eastAsia="宋体" w:cs="宋体"/>
          <w:b w:val="0"/>
          <w:i w:val="0"/>
          <w:sz w:val="21"/>
          <w:szCs w:val="21"/>
        </w:rPr>
        <w:t xml:space="preserve">3 </w:t>
      </w:r>
      <w:r>
        <w:rPr>
          <w:rFonts w:hint="eastAsia" w:ascii="宋体" w:hAnsi="宋体" w:eastAsia="宋体" w:cs="宋体"/>
          <w:b w:val="0"/>
          <w:sz w:val="21"/>
        </w:rPr>
        <w:t>术语和定义</w:t>
      </w:r>
      <w:r>
        <w:rPr>
          <w:rFonts w:hint="eastAsia" w:ascii="宋体" w:hAnsi="宋体" w:eastAsia="宋体" w:cs="宋体"/>
          <w:b w:val="0"/>
          <w:sz w:val="21"/>
        </w:rPr>
        <w:tab/>
      </w:r>
      <w:r>
        <w:rPr>
          <w:rFonts w:hint="eastAsia" w:ascii="宋体" w:hAnsi="宋体" w:eastAsia="宋体" w:cs="宋体"/>
          <w:b w:val="0"/>
          <w:sz w:val="21"/>
        </w:rPr>
        <w:fldChar w:fldCharType="begin"/>
      </w:r>
      <w:r>
        <w:rPr>
          <w:rFonts w:hint="eastAsia" w:ascii="宋体" w:hAnsi="宋体" w:eastAsia="宋体" w:cs="宋体"/>
          <w:b w:val="0"/>
          <w:sz w:val="21"/>
        </w:rPr>
        <w:instrText xml:space="preserve"> PAGEREF _Toc22884 \h </w:instrText>
      </w:r>
      <w:r>
        <w:rPr>
          <w:rFonts w:hint="eastAsia" w:ascii="宋体" w:hAnsi="宋体" w:eastAsia="宋体" w:cs="宋体"/>
          <w:b w:val="0"/>
          <w:sz w:val="21"/>
        </w:rPr>
        <w:fldChar w:fldCharType="separate"/>
      </w:r>
      <w:r>
        <w:rPr>
          <w:rFonts w:hint="eastAsia" w:ascii="宋体" w:hAnsi="宋体" w:eastAsia="宋体" w:cs="宋体"/>
          <w:b w:val="0"/>
          <w:sz w:val="21"/>
        </w:rPr>
        <w:t>1</w:t>
      </w:r>
      <w:r>
        <w:rPr>
          <w:rFonts w:hint="eastAsia" w:ascii="宋体" w:hAnsi="宋体" w:eastAsia="宋体" w:cs="宋体"/>
          <w:b w:val="0"/>
          <w:sz w:val="21"/>
        </w:rPr>
        <w:fldChar w:fldCharType="end"/>
      </w:r>
      <w:r>
        <w:rPr>
          <w:rFonts w:hint="eastAsia" w:ascii="宋体" w:hAnsi="宋体" w:eastAsia="宋体" w:cs="宋体"/>
          <w:b w:val="0"/>
          <w:sz w:val="21"/>
          <w:lang w:eastAsia="zh-CN"/>
        </w:rPr>
        <w:fldChar w:fldCharType="end"/>
      </w:r>
    </w:p>
    <w:p w14:paraId="34AC439E">
      <w:pPr>
        <w:pStyle w:val="18"/>
        <w:tabs>
          <w:tab w:val="right" w:leader="dot" w:pos="9355"/>
        </w:tabs>
        <w:rPr>
          <w:rFonts w:hint="eastAsia" w:ascii="宋体" w:hAnsi="宋体" w:eastAsia="宋体" w:cs="宋体"/>
          <w:b w:val="0"/>
          <w:sz w:val="21"/>
        </w:rPr>
      </w:pPr>
      <w:r>
        <w:rPr>
          <w:rFonts w:hint="eastAsia" w:ascii="宋体" w:hAnsi="宋体" w:eastAsia="宋体" w:cs="宋体"/>
          <w:b w:val="0"/>
          <w:sz w:val="21"/>
          <w:lang w:eastAsia="zh-CN"/>
        </w:rPr>
        <w:fldChar w:fldCharType="begin"/>
      </w:r>
      <w:r>
        <w:rPr>
          <w:rFonts w:hint="eastAsia" w:ascii="宋体" w:hAnsi="宋体" w:eastAsia="宋体" w:cs="宋体"/>
          <w:b w:val="0"/>
          <w:sz w:val="21"/>
          <w:lang w:eastAsia="zh-CN"/>
        </w:rPr>
        <w:instrText xml:space="preserve"> HYPERLINK \l _Toc30693 </w:instrText>
      </w:r>
      <w:r>
        <w:rPr>
          <w:rFonts w:hint="eastAsia" w:ascii="宋体" w:hAnsi="宋体" w:eastAsia="宋体" w:cs="宋体"/>
          <w:b w:val="0"/>
          <w:sz w:val="21"/>
          <w:lang w:eastAsia="zh-CN"/>
        </w:rPr>
        <w:fldChar w:fldCharType="separate"/>
      </w:r>
      <w:r>
        <w:rPr>
          <w:rFonts w:hint="eastAsia" w:ascii="宋体" w:hAnsi="宋体" w:eastAsia="宋体" w:cs="宋体"/>
          <w:b w:val="0"/>
          <w:i w:val="0"/>
          <w:sz w:val="21"/>
          <w:szCs w:val="21"/>
          <w:lang w:eastAsia="zh-CN"/>
        </w:rPr>
        <w:t xml:space="preserve">4 </w:t>
      </w:r>
      <w:r>
        <w:rPr>
          <w:rFonts w:hint="eastAsia" w:ascii="宋体" w:hAnsi="宋体" w:eastAsia="宋体" w:cs="宋体"/>
          <w:b w:val="0"/>
          <w:sz w:val="21"/>
        </w:rPr>
        <w:t>照明供配电</w:t>
      </w:r>
      <w:r>
        <w:rPr>
          <w:rFonts w:hint="eastAsia" w:ascii="宋体" w:hAnsi="宋体" w:eastAsia="宋体" w:cs="宋体"/>
          <w:b w:val="0"/>
          <w:sz w:val="21"/>
        </w:rPr>
        <w:tab/>
      </w:r>
      <w:r>
        <w:rPr>
          <w:rFonts w:hint="eastAsia" w:ascii="宋体" w:hAnsi="宋体" w:eastAsia="宋体" w:cs="宋体"/>
          <w:b w:val="0"/>
          <w:sz w:val="21"/>
        </w:rPr>
        <w:fldChar w:fldCharType="begin"/>
      </w:r>
      <w:r>
        <w:rPr>
          <w:rFonts w:hint="eastAsia" w:ascii="宋体" w:hAnsi="宋体" w:eastAsia="宋体" w:cs="宋体"/>
          <w:b w:val="0"/>
          <w:sz w:val="21"/>
        </w:rPr>
        <w:instrText xml:space="preserve"> PAGEREF _Toc30693 \h </w:instrText>
      </w:r>
      <w:r>
        <w:rPr>
          <w:rFonts w:hint="eastAsia" w:ascii="宋体" w:hAnsi="宋体" w:eastAsia="宋体" w:cs="宋体"/>
          <w:b w:val="0"/>
          <w:sz w:val="21"/>
        </w:rPr>
        <w:fldChar w:fldCharType="separate"/>
      </w:r>
      <w:r>
        <w:rPr>
          <w:rFonts w:hint="eastAsia" w:ascii="宋体" w:hAnsi="宋体" w:eastAsia="宋体" w:cs="宋体"/>
          <w:b w:val="0"/>
          <w:sz w:val="21"/>
        </w:rPr>
        <w:t>3</w:t>
      </w:r>
      <w:r>
        <w:rPr>
          <w:rFonts w:hint="eastAsia" w:ascii="宋体" w:hAnsi="宋体" w:eastAsia="宋体" w:cs="宋体"/>
          <w:b w:val="0"/>
          <w:sz w:val="21"/>
        </w:rPr>
        <w:fldChar w:fldCharType="end"/>
      </w:r>
      <w:r>
        <w:rPr>
          <w:rFonts w:hint="eastAsia" w:ascii="宋体" w:hAnsi="宋体" w:eastAsia="宋体" w:cs="宋体"/>
          <w:b w:val="0"/>
          <w:sz w:val="21"/>
          <w:lang w:eastAsia="zh-CN"/>
        </w:rPr>
        <w:fldChar w:fldCharType="end"/>
      </w:r>
    </w:p>
    <w:p w14:paraId="550F6F2D">
      <w:pPr>
        <w:pStyle w:val="18"/>
        <w:tabs>
          <w:tab w:val="right" w:leader="dot" w:pos="9355"/>
        </w:tabs>
        <w:rPr>
          <w:rFonts w:hint="eastAsia" w:ascii="宋体" w:hAnsi="宋体" w:eastAsia="宋体" w:cs="宋体"/>
          <w:b w:val="0"/>
          <w:sz w:val="21"/>
        </w:rPr>
      </w:pPr>
      <w:r>
        <w:rPr>
          <w:rFonts w:hint="eastAsia" w:ascii="宋体" w:hAnsi="宋体" w:eastAsia="宋体" w:cs="宋体"/>
          <w:b w:val="0"/>
          <w:sz w:val="21"/>
          <w:lang w:eastAsia="zh-CN"/>
        </w:rPr>
        <w:fldChar w:fldCharType="begin"/>
      </w:r>
      <w:r>
        <w:rPr>
          <w:rFonts w:hint="eastAsia" w:ascii="宋体" w:hAnsi="宋体" w:eastAsia="宋体" w:cs="宋体"/>
          <w:b w:val="0"/>
          <w:sz w:val="21"/>
          <w:lang w:eastAsia="zh-CN"/>
        </w:rPr>
        <w:instrText xml:space="preserve"> HYPERLINK \l _Toc20689 </w:instrText>
      </w:r>
      <w:r>
        <w:rPr>
          <w:rFonts w:hint="eastAsia" w:ascii="宋体" w:hAnsi="宋体" w:eastAsia="宋体" w:cs="宋体"/>
          <w:b w:val="0"/>
          <w:sz w:val="21"/>
          <w:lang w:eastAsia="zh-CN"/>
        </w:rPr>
        <w:fldChar w:fldCharType="separate"/>
      </w:r>
      <w:r>
        <w:rPr>
          <w:rFonts w:hint="eastAsia" w:ascii="宋体" w:hAnsi="宋体" w:eastAsia="宋体" w:cs="宋体"/>
          <w:b w:val="0"/>
          <w:i w:val="0"/>
          <w:sz w:val="21"/>
          <w:szCs w:val="21"/>
          <w:lang w:eastAsia="zh-CN"/>
        </w:rPr>
        <w:t xml:space="preserve">5 </w:t>
      </w:r>
      <w:r>
        <w:rPr>
          <w:rFonts w:hint="eastAsia" w:ascii="宋体" w:hAnsi="宋体" w:eastAsia="宋体" w:cs="宋体"/>
          <w:b w:val="0"/>
          <w:sz w:val="21"/>
          <w:szCs w:val="21"/>
        </w:rPr>
        <w:t>防雷、接地</w:t>
      </w:r>
      <w:r>
        <w:rPr>
          <w:rFonts w:hint="eastAsia" w:ascii="宋体" w:hAnsi="宋体" w:eastAsia="宋体" w:cs="宋体"/>
          <w:b w:val="0"/>
          <w:sz w:val="21"/>
        </w:rPr>
        <w:tab/>
      </w:r>
      <w:r>
        <w:rPr>
          <w:rFonts w:hint="eastAsia" w:ascii="宋体" w:hAnsi="宋体" w:eastAsia="宋体" w:cs="宋体"/>
          <w:b w:val="0"/>
          <w:sz w:val="21"/>
        </w:rPr>
        <w:fldChar w:fldCharType="begin"/>
      </w:r>
      <w:r>
        <w:rPr>
          <w:rFonts w:hint="eastAsia" w:ascii="宋体" w:hAnsi="宋体" w:eastAsia="宋体" w:cs="宋体"/>
          <w:b w:val="0"/>
          <w:sz w:val="21"/>
        </w:rPr>
        <w:instrText xml:space="preserve"> PAGEREF _Toc20689 \h </w:instrText>
      </w:r>
      <w:r>
        <w:rPr>
          <w:rFonts w:hint="eastAsia" w:ascii="宋体" w:hAnsi="宋体" w:eastAsia="宋体" w:cs="宋体"/>
          <w:b w:val="0"/>
          <w:sz w:val="21"/>
        </w:rPr>
        <w:fldChar w:fldCharType="separate"/>
      </w:r>
      <w:r>
        <w:rPr>
          <w:rFonts w:hint="eastAsia" w:ascii="宋体" w:hAnsi="宋体" w:eastAsia="宋体" w:cs="宋体"/>
          <w:b w:val="0"/>
          <w:sz w:val="21"/>
        </w:rPr>
        <w:t>3</w:t>
      </w:r>
      <w:r>
        <w:rPr>
          <w:rFonts w:hint="eastAsia" w:ascii="宋体" w:hAnsi="宋体" w:eastAsia="宋体" w:cs="宋体"/>
          <w:b w:val="0"/>
          <w:sz w:val="21"/>
        </w:rPr>
        <w:fldChar w:fldCharType="end"/>
      </w:r>
      <w:r>
        <w:rPr>
          <w:rFonts w:hint="eastAsia" w:ascii="宋体" w:hAnsi="宋体" w:eastAsia="宋体" w:cs="宋体"/>
          <w:b w:val="0"/>
          <w:sz w:val="21"/>
          <w:lang w:eastAsia="zh-CN"/>
        </w:rPr>
        <w:fldChar w:fldCharType="end"/>
      </w:r>
    </w:p>
    <w:p w14:paraId="750A8B3D">
      <w:pPr>
        <w:pStyle w:val="18"/>
        <w:tabs>
          <w:tab w:val="right" w:leader="dot" w:pos="9355"/>
        </w:tabs>
        <w:rPr>
          <w:rFonts w:hint="eastAsia" w:ascii="宋体" w:hAnsi="宋体" w:eastAsia="宋体" w:cs="宋体"/>
          <w:b w:val="0"/>
          <w:sz w:val="21"/>
        </w:rPr>
      </w:pPr>
      <w:r>
        <w:rPr>
          <w:rFonts w:hint="eastAsia" w:ascii="宋体" w:hAnsi="宋体" w:eastAsia="宋体" w:cs="宋体"/>
          <w:b w:val="0"/>
          <w:sz w:val="21"/>
          <w:lang w:eastAsia="zh-CN"/>
        </w:rPr>
        <w:fldChar w:fldCharType="begin"/>
      </w:r>
      <w:r>
        <w:rPr>
          <w:rFonts w:hint="eastAsia" w:ascii="宋体" w:hAnsi="宋体" w:eastAsia="宋体" w:cs="宋体"/>
          <w:b w:val="0"/>
          <w:sz w:val="21"/>
          <w:lang w:eastAsia="zh-CN"/>
        </w:rPr>
        <w:instrText xml:space="preserve"> HYPERLINK \l _Toc15411 </w:instrText>
      </w:r>
      <w:r>
        <w:rPr>
          <w:rFonts w:hint="eastAsia" w:ascii="宋体" w:hAnsi="宋体" w:eastAsia="宋体" w:cs="宋体"/>
          <w:b w:val="0"/>
          <w:sz w:val="21"/>
          <w:lang w:eastAsia="zh-CN"/>
        </w:rPr>
        <w:fldChar w:fldCharType="separate"/>
      </w:r>
      <w:r>
        <w:rPr>
          <w:rFonts w:hint="eastAsia" w:ascii="宋体" w:hAnsi="宋体" w:eastAsia="宋体" w:cs="宋体"/>
          <w:b w:val="0"/>
          <w:i w:val="0"/>
          <w:sz w:val="21"/>
          <w:szCs w:val="21"/>
          <w:lang w:eastAsia="zh-CN"/>
        </w:rPr>
        <w:t xml:space="preserve">6 </w:t>
      </w:r>
      <w:r>
        <w:rPr>
          <w:rFonts w:hint="eastAsia" w:ascii="宋体" w:hAnsi="宋体" w:eastAsia="宋体" w:cs="宋体"/>
          <w:b w:val="0"/>
          <w:sz w:val="21"/>
        </w:rPr>
        <w:t>照明设备</w:t>
      </w:r>
      <w:r>
        <w:rPr>
          <w:rFonts w:hint="eastAsia" w:ascii="宋体" w:hAnsi="宋体" w:eastAsia="宋体" w:cs="宋体"/>
          <w:b w:val="0"/>
          <w:sz w:val="21"/>
        </w:rPr>
        <w:tab/>
      </w:r>
      <w:r>
        <w:rPr>
          <w:rFonts w:hint="eastAsia" w:ascii="宋体" w:hAnsi="宋体" w:eastAsia="宋体" w:cs="宋体"/>
          <w:b w:val="0"/>
          <w:sz w:val="21"/>
        </w:rPr>
        <w:fldChar w:fldCharType="begin"/>
      </w:r>
      <w:r>
        <w:rPr>
          <w:rFonts w:hint="eastAsia" w:ascii="宋体" w:hAnsi="宋体" w:eastAsia="宋体" w:cs="宋体"/>
          <w:b w:val="0"/>
          <w:sz w:val="21"/>
        </w:rPr>
        <w:instrText xml:space="preserve"> PAGEREF _Toc15411 \h </w:instrText>
      </w:r>
      <w:r>
        <w:rPr>
          <w:rFonts w:hint="eastAsia" w:ascii="宋体" w:hAnsi="宋体" w:eastAsia="宋体" w:cs="宋体"/>
          <w:b w:val="0"/>
          <w:sz w:val="21"/>
        </w:rPr>
        <w:fldChar w:fldCharType="separate"/>
      </w:r>
      <w:r>
        <w:rPr>
          <w:rFonts w:hint="eastAsia" w:ascii="宋体" w:hAnsi="宋体" w:eastAsia="宋体" w:cs="宋体"/>
          <w:b w:val="0"/>
          <w:sz w:val="21"/>
        </w:rPr>
        <w:t>4</w:t>
      </w:r>
      <w:r>
        <w:rPr>
          <w:rFonts w:hint="eastAsia" w:ascii="宋体" w:hAnsi="宋体" w:eastAsia="宋体" w:cs="宋体"/>
          <w:b w:val="0"/>
          <w:sz w:val="21"/>
        </w:rPr>
        <w:fldChar w:fldCharType="end"/>
      </w:r>
      <w:r>
        <w:rPr>
          <w:rFonts w:hint="eastAsia" w:ascii="宋体" w:hAnsi="宋体" w:eastAsia="宋体" w:cs="宋体"/>
          <w:b w:val="0"/>
          <w:sz w:val="21"/>
          <w:lang w:eastAsia="zh-CN"/>
        </w:rPr>
        <w:fldChar w:fldCharType="end"/>
      </w:r>
    </w:p>
    <w:p w14:paraId="35B89A40">
      <w:pPr>
        <w:pStyle w:val="18"/>
        <w:tabs>
          <w:tab w:val="right" w:leader="dot" w:pos="9355"/>
        </w:tabs>
        <w:rPr>
          <w:rFonts w:hint="eastAsia" w:ascii="宋体" w:hAnsi="宋体" w:eastAsia="宋体" w:cs="宋体"/>
          <w:b w:val="0"/>
          <w:sz w:val="21"/>
        </w:rPr>
      </w:pPr>
      <w:r>
        <w:rPr>
          <w:rFonts w:hint="eastAsia" w:ascii="宋体" w:hAnsi="宋体" w:eastAsia="宋体" w:cs="宋体"/>
          <w:b w:val="0"/>
          <w:sz w:val="21"/>
          <w:lang w:eastAsia="zh-CN"/>
        </w:rPr>
        <w:fldChar w:fldCharType="begin"/>
      </w:r>
      <w:r>
        <w:rPr>
          <w:rFonts w:hint="eastAsia" w:ascii="宋体" w:hAnsi="宋体" w:eastAsia="宋体" w:cs="宋体"/>
          <w:b w:val="0"/>
          <w:sz w:val="21"/>
          <w:lang w:eastAsia="zh-CN"/>
        </w:rPr>
        <w:instrText xml:space="preserve"> HYPERLINK \l _Toc7501 </w:instrText>
      </w:r>
      <w:r>
        <w:rPr>
          <w:rFonts w:hint="eastAsia" w:ascii="宋体" w:hAnsi="宋体" w:eastAsia="宋体" w:cs="宋体"/>
          <w:b w:val="0"/>
          <w:sz w:val="21"/>
          <w:lang w:eastAsia="zh-CN"/>
        </w:rPr>
        <w:fldChar w:fldCharType="separate"/>
      </w:r>
      <w:r>
        <w:rPr>
          <w:rFonts w:hint="eastAsia" w:ascii="宋体" w:hAnsi="宋体" w:eastAsia="宋体" w:cs="宋体"/>
          <w:b w:val="0"/>
          <w:i w:val="0"/>
          <w:sz w:val="21"/>
          <w:szCs w:val="21"/>
          <w:lang w:eastAsia="zh-CN"/>
        </w:rPr>
        <w:t xml:space="preserve">7 </w:t>
      </w:r>
      <w:r>
        <w:rPr>
          <w:rFonts w:hint="eastAsia" w:ascii="宋体" w:hAnsi="宋体" w:eastAsia="宋体" w:cs="宋体"/>
          <w:b w:val="0"/>
          <w:sz w:val="21"/>
        </w:rPr>
        <w:t>照明控制系统网络</w:t>
      </w:r>
      <w:r>
        <w:rPr>
          <w:rFonts w:hint="eastAsia" w:ascii="宋体" w:hAnsi="宋体" w:eastAsia="宋体" w:cs="宋体"/>
          <w:b w:val="0"/>
          <w:sz w:val="21"/>
        </w:rPr>
        <w:tab/>
      </w:r>
      <w:r>
        <w:rPr>
          <w:rFonts w:hint="eastAsia" w:ascii="宋体" w:hAnsi="宋体" w:eastAsia="宋体" w:cs="宋体"/>
          <w:b w:val="0"/>
          <w:sz w:val="21"/>
        </w:rPr>
        <w:fldChar w:fldCharType="begin"/>
      </w:r>
      <w:r>
        <w:rPr>
          <w:rFonts w:hint="eastAsia" w:ascii="宋体" w:hAnsi="宋体" w:eastAsia="宋体" w:cs="宋体"/>
          <w:b w:val="0"/>
          <w:sz w:val="21"/>
        </w:rPr>
        <w:instrText xml:space="preserve"> PAGEREF _Toc7501 \h </w:instrText>
      </w:r>
      <w:r>
        <w:rPr>
          <w:rFonts w:hint="eastAsia" w:ascii="宋体" w:hAnsi="宋体" w:eastAsia="宋体" w:cs="宋体"/>
          <w:b w:val="0"/>
          <w:sz w:val="21"/>
        </w:rPr>
        <w:fldChar w:fldCharType="separate"/>
      </w:r>
      <w:r>
        <w:rPr>
          <w:rFonts w:hint="eastAsia" w:ascii="宋体" w:hAnsi="宋体" w:eastAsia="宋体" w:cs="宋体"/>
          <w:b w:val="0"/>
          <w:sz w:val="21"/>
        </w:rPr>
        <w:t>4</w:t>
      </w:r>
      <w:r>
        <w:rPr>
          <w:rFonts w:hint="eastAsia" w:ascii="宋体" w:hAnsi="宋体" w:eastAsia="宋体" w:cs="宋体"/>
          <w:b w:val="0"/>
          <w:sz w:val="21"/>
        </w:rPr>
        <w:fldChar w:fldCharType="end"/>
      </w:r>
      <w:r>
        <w:rPr>
          <w:rFonts w:hint="eastAsia" w:ascii="宋体" w:hAnsi="宋体" w:eastAsia="宋体" w:cs="宋体"/>
          <w:b w:val="0"/>
          <w:sz w:val="21"/>
          <w:lang w:eastAsia="zh-CN"/>
        </w:rPr>
        <w:fldChar w:fldCharType="end"/>
      </w:r>
    </w:p>
    <w:p w14:paraId="69B7397E">
      <w:pPr>
        <w:pStyle w:val="18"/>
        <w:tabs>
          <w:tab w:val="right" w:leader="dot" w:pos="9355"/>
        </w:tabs>
        <w:rPr>
          <w:rFonts w:hint="eastAsia" w:ascii="宋体" w:hAnsi="宋体" w:eastAsia="宋体" w:cs="宋体"/>
          <w:b w:val="0"/>
          <w:sz w:val="21"/>
        </w:rPr>
      </w:pPr>
      <w:r>
        <w:rPr>
          <w:rFonts w:hint="eastAsia" w:ascii="宋体" w:hAnsi="宋体" w:eastAsia="宋体" w:cs="宋体"/>
          <w:b w:val="0"/>
          <w:sz w:val="21"/>
          <w:lang w:eastAsia="zh-CN"/>
        </w:rPr>
        <w:fldChar w:fldCharType="begin"/>
      </w:r>
      <w:r>
        <w:rPr>
          <w:rFonts w:hint="eastAsia" w:ascii="宋体" w:hAnsi="宋体" w:eastAsia="宋体" w:cs="宋体"/>
          <w:b w:val="0"/>
          <w:sz w:val="21"/>
          <w:lang w:eastAsia="zh-CN"/>
        </w:rPr>
        <w:instrText xml:space="preserve"> HYPERLINK \l _Toc16176 </w:instrText>
      </w:r>
      <w:r>
        <w:rPr>
          <w:rFonts w:hint="eastAsia" w:ascii="宋体" w:hAnsi="宋体" w:eastAsia="宋体" w:cs="宋体"/>
          <w:b w:val="0"/>
          <w:sz w:val="21"/>
          <w:lang w:eastAsia="zh-CN"/>
        </w:rPr>
        <w:fldChar w:fldCharType="separate"/>
      </w:r>
      <w:r>
        <w:rPr>
          <w:rFonts w:hint="eastAsia" w:ascii="宋体" w:hAnsi="宋体" w:eastAsia="宋体" w:cs="宋体"/>
          <w:b w:val="0"/>
          <w:i w:val="0"/>
          <w:sz w:val="21"/>
          <w:szCs w:val="21"/>
          <w:lang w:eastAsia="zh-CN"/>
        </w:rPr>
        <w:t xml:space="preserve">8 </w:t>
      </w:r>
      <w:r>
        <w:rPr>
          <w:rFonts w:hint="eastAsia" w:ascii="宋体" w:hAnsi="宋体" w:eastAsia="宋体" w:cs="宋体"/>
          <w:b w:val="0"/>
          <w:sz w:val="21"/>
        </w:rPr>
        <w:t>照明设备安装</w:t>
      </w:r>
      <w:r>
        <w:rPr>
          <w:rFonts w:hint="eastAsia" w:ascii="宋体" w:hAnsi="宋体" w:eastAsia="宋体" w:cs="宋体"/>
          <w:b w:val="0"/>
          <w:sz w:val="21"/>
        </w:rPr>
        <w:tab/>
      </w:r>
      <w:r>
        <w:rPr>
          <w:rFonts w:hint="eastAsia" w:ascii="宋体" w:hAnsi="宋体" w:eastAsia="宋体" w:cs="宋体"/>
          <w:b w:val="0"/>
          <w:sz w:val="21"/>
        </w:rPr>
        <w:fldChar w:fldCharType="begin"/>
      </w:r>
      <w:r>
        <w:rPr>
          <w:rFonts w:hint="eastAsia" w:ascii="宋体" w:hAnsi="宋体" w:eastAsia="宋体" w:cs="宋体"/>
          <w:b w:val="0"/>
          <w:sz w:val="21"/>
        </w:rPr>
        <w:instrText xml:space="preserve"> PAGEREF _Toc16176 \h </w:instrText>
      </w:r>
      <w:r>
        <w:rPr>
          <w:rFonts w:hint="eastAsia" w:ascii="宋体" w:hAnsi="宋体" w:eastAsia="宋体" w:cs="宋体"/>
          <w:b w:val="0"/>
          <w:sz w:val="21"/>
        </w:rPr>
        <w:fldChar w:fldCharType="separate"/>
      </w:r>
      <w:r>
        <w:rPr>
          <w:rFonts w:hint="eastAsia" w:ascii="宋体" w:hAnsi="宋体" w:eastAsia="宋体" w:cs="宋体"/>
          <w:b w:val="0"/>
          <w:sz w:val="21"/>
        </w:rPr>
        <w:t>5</w:t>
      </w:r>
      <w:r>
        <w:rPr>
          <w:rFonts w:hint="eastAsia" w:ascii="宋体" w:hAnsi="宋体" w:eastAsia="宋体" w:cs="宋体"/>
          <w:b w:val="0"/>
          <w:sz w:val="21"/>
        </w:rPr>
        <w:fldChar w:fldCharType="end"/>
      </w:r>
      <w:r>
        <w:rPr>
          <w:rFonts w:hint="eastAsia" w:ascii="宋体" w:hAnsi="宋体" w:eastAsia="宋体" w:cs="宋体"/>
          <w:b w:val="0"/>
          <w:sz w:val="21"/>
          <w:lang w:eastAsia="zh-CN"/>
        </w:rPr>
        <w:fldChar w:fldCharType="end"/>
      </w:r>
    </w:p>
    <w:p w14:paraId="37BAD5EF">
      <w:pPr>
        <w:pStyle w:val="18"/>
        <w:tabs>
          <w:tab w:val="right" w:leader="dot" w:pos="9355"/>
        </w:tabs>
        <w:rPr>
          <w:rFonts w:hint="eastAsia" w:ascii="宋体" w:hAnsi="宋体" w:eastAsia="宋体" w:cs="宋体"/>
          <w:b w:val="0"/>
          <w:sz w:val="21"/>
        </w:rPr>
      </w:pPr>
      <w:r>
        <w:rPr>
          <w:rFonts w:hint="eastAsia" w:ascii="宋体" w:hAnsi="宋体" w:eastAsia="宋体" w:cs="宋体"/>
          <w:b w:val="0"/>
          <w:sz w:val="21"/>
          <w:lang w:eastAsia="zh-CN"/>
        </w:rPr>
        <w:fldChar w:fldCharType="begin"/>
      </w:r>
      <w:r>
        <w:rPr>
          <w:rFonts w:hint="eastAsia" w:ascii="宋体" w:hAnsi="宋体" w:eastAsia="宋体" w:cs="宋体"/>
          <w:b w:val="0"/>
          <w:sz w:val="21"/>
          <w:lang w:eastAsia="zh-CN"/>
        </w:rPr>
        <w:instrText xml:space="preserve"> HYPERLINK \l _Toc15646 </w:instrText>
      </w:r>
      <w:r>
        <w:rPr>
          <w:rFonts w:hint="eastAsia" w:ascii="宋体" w:hAnsi="宋体" w:eastAsia="宋体" w:cs="宋体"/>
          <w:b w:val="0"/>
          <w:sz w:val="21"/>
          <w:lang w:eastAsia="zh-CN"/>
        </w:rPr>
        <w:fldChar w:fldCharType="separate"/>
      </w:r>
      <w:r>
        <w:rPr>
          <w:rFonts w:hint="eastAsia" w:ascii="宋体" w:hAnsi="宋体" w:eastAsia="宋体" w:cs="宋体"/>
          <w:b w:val="0"/>
          <w:i w:val="0"/>
          <w:sz w:val="21"/>
          <w:szCs w:val="21"/>
          <w:lang w:eastAsia="zh-CN"/>
        </w:rPr>
        <w:t xml:space="preserve">9 </w:t>
      </w:r>
      <w:r>
        <w:rPr>
          <w:rFonts w:hint="eastAsia" w:ascii="宋体" w:hAnsi="宋体" w:eastAsia="宋体" w:cs="宋体"/>
          <w:b w:val="0"/>
          <w:sz w:val="21"/>
        </w:rPr>
        <w:t>室外水池照明</w:t>
      </w:r>
      <w:r>
        <w:rPr>
          <w:rFonts w:hint="eastAsia" w:ascii="宋体" w:hAnsi="宋体" w:eastAsia="宋体" w:cs="宋体"/>
          <w:b w:val="0"/>
          <w:sz w:val="21"/>
        </w:rPr>
        <w:tab/>
      </w:r>
      <w:r>
        <w:rPr>
          <w:rFonts w:hint="eastAsia" w:ascii="宋体" w:hAnsi="宋体" w:eastAsia="宋体" w:cs="宋体"/>
          <w:b w:val="0"/>
          <w:sz w:val="21"/>
        </w:rPr>
        <w:fldChar w:fldCharType="begin"/>
      </w:r>
      <w:r>
        <w:rPr>
          <w:rFonts w:hint="eastAsia" w:ascii="宋体" w:hAnsi="宋体" w:eastAsia="宋体" w:cs="宋体"/>
          <w:b w:val="0"/>
          <w:sz w:val="21"/>
        </w:rPr>
        <w:instrText xml:space="preserve"> PAGEREF _Toc15646 \h </w:instrText>
      </w:r>
      <w:r>
        <w:rPr>
          <w:rFonts w:hint="eastAsia" w:ascii="宋体" w:hAnsi="宋体" w:eastAsia="宋体" w:cs="宋体"/>
          <w:b w:val="0"/>
          <w:sz w:val="21"/>
        </w:rPr>
        <w:fldChar w:fldCharType="separate"/>
      </w:r>
      <w:r>
        <w:rPr>
          <w:rFonts w:hint="eastAsia" w:ascii="宋体" w:hAnsi="宋体" w:eastAsia="宋体" w:cs="宋体"/>
          <w:b w:val="0"/>
          <w:sz w:val="21"/>
        </w:rPr>
        <w:t>5</w:t>
      </w:r>
      <w:r>
        <w:rPr>
          <w:rFonts w:hint="eastAsia" w:ascii="宋体" w:hAnsi="宋体" w:eastAsia="宋体" w:cs="宋体"/>
          <w:b w:val="0"/>
          <w:sz w:val="21"/>
        </w:rPr>
        <w:fldChar w:fldCharType="end"/>
      </w:r>
      <w:r>
        <w:rPr>
          <w:rFonts w:hint="eastAsia" w:ascii="宋体" w:hAnsi="宋体" w:eastAsia="宋体" w:cs="宋体"/>
          <w:b w:val="0"/>
          <w:sz w:val="21"/>
          <w:lang w:eastAsia="zh-CN"/>
        </w:rPr>
        <w:fldChar w:fldCharType="end"/>
      </w:r>
    </w:p>
    <w:p w14:paraId="717B8D6C">
      <w:pPr>
        <w:pStyle w:val="19"/>
        <w:tabs>
          <w:tab w:val="right" w:leader="dot" w:pos="9355"/>
        </w:tabs>
        <w:rPr>
          <w:rFonts w:hint="eastAsia" w:ascii="宋体" w:hAnsi="宋体" w:eastAsia="宋体" w:cs="宋体"/>
          <w:b w:val="0"/>
          <w:sz w:val="21"/>
        </w:rPr>
      </w:pPr>
      <w:r>
        <w:rPr>
          <w:rFonts w:hint="eastAsia" w:ascii="宋体" w:hAnsi="宋体" w:eastAsia="宋体" w:cs="宋体"/>
          <w:b w:val="0"/>
          <w:sz w:val="21"/>
          <w:lang w:eastAsia="zh-CN"/>
        </w:rPr>
        <w:fldChar w:fldCharType="begin"/>
      </w:r>
      <w:r>
        <w:rPr>
          <w:rFonts w:hint="eastAsia" w:ascii="宋体" w:hAnsi="宋体" w:eastAsia="宋体" w:cs="宋体"/>
          <w:b w:val="0"/>
          <w:sz w:val="21"/>
          <w:lang w:eastAsia="zh-CN"/>
        </w:rPr>
        <w:instrText xml:space="preserve"> HYPERLINK \l _Toc16127 </w:instrText>
      </w:r>
      <w:r>
        <w:rPr>
          <w:rFonts w:hint="eastAsia" w:ascii="宋体" w:hAnsi="宋体" w:eastAsia="宋体" w:cs="宋体"/>
          <w:b w:val="0"/>
          <w:sz w:val="21"/>
          <w:lang w:eastAsia="zh-CN"/>
        </w:rPr>
        <w:fldChar w:fldCharType="separate"/>
      </w:r>
      <w:r>
        <w:rPr>
          <w:rFonts w:hint="eastAsia" w:ascii="宋体" w:hAnsi="宋体" w:eastAsia="宋体" w:cs="宋体"/>
          <w:b w:val="0"/>
          <w:i w:val="0"/>
          <w:spacing w:val="0"/>
          <w:w w:val="100"/>
          <w:sz w:val="21"/>
          <w:lang w:eastAsia="zh-CN"/>
        </w:rPr>
        <w:t>附录</w:t>
      </w:r>
      <w:r>
        <w:rPr>
          <w:rFonts w:hint="eastAsia" w:ascii="宋体" w:hAnsi="宋体" w:eastAsia="宋体" w:cs="宋体"/>
          <w:b w:val="0"/>
          <w:i w:val="0"/>
          <w:spacing w:val="0"/>
          <w:w w:val="100"/>
          <w:sz w:val="21"/>
        </w:rPr>
        <w:t xml:space="preserve">A </w:t>
      </w:r>
      <w:r>
        <w:rPr>
          <w:rFonts w:hint="eastAsia" w:ascii="宋体" w:hAnsi="宋体" w:eastAsia="宋体" w:cs="宋体"/>
          <w:b w:val="0"/>
          <w:sz w:val="21"/>
        </w:rPr>
        <w:t xml:space="preserve"> </w:t>
      </w:r>
      <w:r>
        <w:rPr>
          <w:rFonts w:hint="eastAsia" w:ascii="宋体" w:hAnsi="宋体" w:eastAsia="宋体" w:cs="宋体"/>
          <w:b w:val="0"/>
          <w:sz w:val="21"/>
          <w:lang w:eastAsia="zh-CN"/>
        </w:rPr>
        <w:t>（资料性） 低压配电系统接地型式</w:t>
      </w:r>
      <w:r>
        <w:rPr>
          <w:rFonts w:hint="eastAsia" w:ascii="宋体" w:hAnsi="宋体" w:eastAsia="宋体" w:cs="宋体"/>
          <w:b w:val="0"/>
          <w:sz w:val="21"/>
        </w:rPr>
        <w:tab/>
      </w:r>
      <w:r>
        <w:rPr>
          <w:rFonts w:hint="eastAsia" w:ascii="宋体" w:hAnsi="宋体" w:eastAsia="宋体" w:cs="宋体"/>
          <w:b w:val="0"/>
          <w:sz w:val="21"/>
        </w:rPr>
        <w:fldChar w:fldCharType="begin"/>
      </w:r>
      <w:r>
        <w:rPr>
          <w:rFonts w:hint="eastAsia" w:ascii="宋体" w:hAnsi="宋体" w:eastAsia="宋体" w:cs="宋体"/>
          <w:b w:val="0"/>
          <w:sz w:val="21"/>
        </w:rPr>
        <w:instrText xml:space="preserve"> PAGEREF _Toc16127 \h </w:instrText>
      </w:r>
      <w:r>
        <w:rPr>
          <w:rFonts w:hint="eastAsia" w:ascii="宋体" w:hAnsi="宋体" w:eastAsia="宋体" w:cs="宋体"/>
          <w:b w:val="0"/>
          <w:sz w:val="21"/>
        </w:rPr>
        <w:fldChar w:fldCharType="separate"/>
      </w:r>
      <w:r>
        <w:rPr>
          <w:rFonts w:hint="eastAsia" w:ascii="宋体" w:hAnsi="宋体" w:eastAsia="宋体" w:cs="宋体"/>
          <w:b w:val="0"/>
          <w:sz w:val="21"/>
        </w:rPr>
        <w:t>7</w:t>
      </w:r>
      <w:r>
        <w:rPr>
          <w:rFonts w:hint="eastAsia" w:ascii="宋体" w:hAnsi="宋体" w:eastAsia="宋体" w:cs="宋体"/>
          <w:b w:val="0"/>
          <w:sz w:val="21"/>
        </w:rPr>
        <w:fldChar w:fldCharType="end"/>
      </w:r>
      <w:r>
        <w:rPr>
          <w:rFonts w:hint="eastAsia" w:ascii="宋体" w:hAnsi="宋体" w:eastAsia="宋体" w:cs="宋体"/>
          <w:b w:val="0"/>
          <w:sz w:val="21"/>
          <w:lang w:eastAsia="zh-CN"/>
        </w:rPr>
        <w:fldChar w:fldCharType="end"/>
      </w:r>
    </w:p>
    <w:p w14:paraId="72B1C215">
      <w:pPr>
        <w:pStyle w:val="19"/>
        <w:tabs>
          <w:tab w:val="right" w:leader="dot" w:pos="9355"/>
        </w:tabs>
        <w:rPr>
          <w:rFonts w:hint="eastAsia" w:ascii="宋体" w:hAnsi="宋体" w:eastAsia="宋体" w:cs="宋体"/>
          <w:b w:val="0"/>
          <w:sz w:val="21"/>
        </w:rPr>
      </w:pPr>
      <w:r>
        <w:rPr>
          <w:rFonts w:hint="eastAsia" w:ascii="宋体" w:hAnsi="宋体" w:eastAsia="宋体" w:cs="宋体"/>
          <w:b w:val="0"/>
          <w:sz w:val="21"/>
          <w:lang w:eastAsia="zh-CN"/>
        </w:rPr>
        <w:fldChar w:fldCharType="begin"/>
      </w:r>
      <w:r>
        <w:rPr>
          <w:rFonts w:hint="eastAsia" w:ascii="宋体" w:hAnsi="宋体" w:eastAsia="宋体" w:cs="宋体"/>
          <w:b w:val="0"/>
          <w:sz w:val="21"/>
          <w:lang w:eastAsia="zh-CN"/>
        </w:rPr>
        <w:instrText xml:space="preserve"> HYPERLINK \l _Toc4875 </w:instrText>
      </w:r>
      <w:r>
        <w:rPr>
          <w:rFonts w:hint="eastAsia" w:ascii="宋体" w:hAnsi="宋体" w:eastAsia="宋体" w:cs="宋体"/>
          <w:b w:val="0"/>
          <w:sz w:val="21"/>
          <w:lang w:eastAsia="zh-CN"/>
        </w:rPr>
        <w:fldChar w:fldCharType="separate"/>
      </w:r>
      <w:r>
        <w:rPr>
          <w:rFonts w:hint="eastAsia" w:ascii="宋体" w:hAnsi="宋体" w:eastAsia="宋体" w:cs="宋体"/>
          <w:b w:val="0"/>
          <w:i w:val="0"/>
          <w:spacing w:val="0"/>
          <w:w w:val="100"/>
          <w:sz w:val="21"/>
          <w:lang w:eastAsia="zh-CN"/>
        </w:rPr>
        <w:t>附录</w:t>
      </w:r>
      <w:r>
        <w:rPr>
          <w:rFonts w:hint="eastAsia" w:ascii="宋体" w:hAnsi="宋体" w:eastAsia="宋体" w:cs="宋体"/>
          <w:b w:val="0"/>
          <w:i w:val="0"/>
          <w:spacing w:val="0"/>
          <w:w w:val="100"/>
          <w:sz w:val="21"/>
        </w:rPr>
        <w:t xml:space="preserve">B </w:t>
      </w:r>
      <w:r>
        <w:rPr>
          <w:rFonts w:hint="eastAsia" w:ascii="宋体" w:hAnsi="宋体" w:eastAsia="宋体" w:cs="宋体"/>
          <w:b w:val="0"/>
          <w:sz w:val="21"/>
        </w:rPr>
        <w:t xml:space="preserve"> </w:t>
      </w:r>
      <w:r>
        <w:rPr>
          <w:rFonts w:hint="eastAsia" w:ascii="宋体" w:hAnsi="宋体" w:eastAsia="宋体" w:cs="宋体"/>
          <w:b w:val="0"/>
          <w:sz w:val="21"/>
          <w:lang w:eastAsia="zh-CN"/>
        </w:rPr>
        <w:t>（资料性） 电流对人和家畜的效应</w:t>
      </w:r>
      <w:r>
        <w:rPr>
          <w:rFonts w:hint="eastAsia" w:ascii="宋体" w:hAnsi="宋体" w:eastAsia="宋体" w:cs="宋体"/>
          <w:b w:val="0"/>
          <w:sz w:val="21"/>
        </w:rPr>
        <w:tab/>
      </w:r>
      <w:r>
        <w:rPr>
          <w:rFonts w:hint="eastAsia" w:ascii="宋体" w:hAnsi="宋体" w:eastAsia="宋体" w:cs="宋体"/>
          <w:b w:val="0"/>
          <w:sz w:val="21"/>
        </w:rPr>
        <w:fldChar w:fldCharType="begin"/>
      </w:r>
      <w:r>
        <w:rPr>
          <w:rFonts w:hint="eastAsia" w:ascii="宋体" w:hAnsi="宋体" w:eastAsia="宋体" w:cs="宋体"/>
          <w:b w:val="0"/>
          <w:sz w:val="21"/>
        </w:rPr>
        <w:instrText xml:space="preserve"> PAGEREF _Toc4875 \h </w:instrText>
      </w:r>
      <w:r>
        <w:rPr>
          <w:rFonts w:hint="eastAsia" w:ascii="宋体" w:hAnsi="宋体" w:eastAsia="宋体" w:cs="宋体"/>
          <w:b w:val="0"/>
          <w:sz w:val="21"/>
        </w:rPr>
        <w:fldChar w:fldCharType="separate"/>
      </w:r>
      <w:r>
        <w:rPr>
          <w:rFonts w:hint="eastAsia" w:ascii="宋体" w:hAnsi="宋体" w:eastAsia="宋体" w:cs="宋体"/>
          <w:b w:val="0"/>
          <w:sz w:val="21"/>
        </w:rPr>
        <w:t>10</w:t>
      </w:r>
      <w:r>
        <w:rPr>
          <w:rFonts w:hint="eastAsia" w:ascii="宋体" w:hAnsi="宋体" w:eastAsia="宋体" w:cs="宋体"/>
          <w:b w:val="0"/>
          <w:sz w:val="21"/>
        </w:rPr>
        <w:fldChar w:fldCharType="end"/>
      </w:r>
      <w:r>
        <w:rPr>
          <w:rFonts w:hint="eastAsia" w:ascii="宋体" w:hAnsi="宋体" w:eastAsia="宋体" w:cs="宋体"/>
          <w:b w:val="0"/>
          <w:sz w:val="21"/>
          <w:lang w:eastAsia="zh-CN"/>
        </w:rPr>
        <w:fldChar w:fldCharType="end"/>
      </w:r>
    </w:p>
    <w:p w14:paraId="6EC85C37">
      <w:pPr>
        <w:pStyle w:val="19"/>
        <w:tabs>
          <w:tab w:val="right" w:leader="dot" w:pos="9355"/>
        </w:tabs>
        <w:rPr>
          <w:rFonts w:hint="eastAsia" w:ascii="宋体" w:hAnsi="宋体" w:eastAsia="宋体" w:cs="宋体"/>
          <w:b w:val="0"/>
          <w:sz w:val="21"/>
        </w:rPr>
      </w:pPr>
      <w:r>
        <w:rPr>
          <w:rFonts w:hint="eastAsia" w:ascii="宋体" w:hAnsi="宋体" w:eastAsia="宋体" w:cs="宋体"/>
          <w:b w:val="0"/>
          <w:sz w:val="21"/>
          <w:lang w:eastAsia="zh-CN"/>
        </w:rPr>
        <w:fldChar w:fldCharType="begin"/>
      </w:r>
      <w:r>
        <w:rPr>
          <w:rFonts w:hint="eastAsia" w:ascii="宋体" w:hAnsi="宋体" w:eastAsia="宋体" w:cs="宋体"/>
          <w:b w:val="0"/>
          <w:sz w:val="21"/>
          <w:lang w:eastAsia="zh-CN"/>
        </w:rPr>
        <w:instrText xml:space="preserve"> HYPERLINK \l _Toc25551 </w:instrText>
      </w:r>
      <w:r>
        <w:rPr>
          <w:rFonts w:hint="eastAsia" w:ascii="宋体" w:hAnsi="宋体" w:eastAsia="宋体" w:cs="宋体"/>
          <w:b w:val="0"/>
          <w:sz w:val="21"/>
          <w:lang w:eastAsia="zh-CN"/>
        </w:rPr>
        <w:fldChar w:fldCharType="separate"/>
      </w:r>
      <w:r>
        <w:rPr>
          <w:rFonts w:hint="eastAsia" w:ascii="宋体" w:hAnsi="宋体" w:eastAsia="宋体" w:cs="宋体"/>
          <w:b w:val="0"/>
          <w:i w:val="0"/>
          <w:spacing w:val="0"/>
          <w:w w:val="100"/>
          <w:sz w:val="21"/>
          <w:lang w:eastAsia="zh-CN"/>
        </w:rPr>
        <w:t>附录</w:t>
      </w:r>
      <w:r>
        <w:rPr>
          <w:rFonts w:hint="eastAsia" w:ascii="宋体" w:hAnsi="宋体" w:eastAsia="宋体" w:cs="宋体"/>
          <w:b w:val="0"/>
          <w:i w:val="0"/>
          <w:spacing w:val="0"/>
          <w:w w:val="100"/>
          <w:sz w:val="21"/>
        </w:rPr>
        <w:t xml:space="preserve">C </w:t>
      </w:r>
      <w:r>
        <w:rPr>
          <w:rFonts w:hint="eastAsia" w:ascii="宋体" w:hAnsi="宋体" w:eastAsia="宋体" w:cs="宋体"/>
          <w:b w:val="0"/>
          <w:sz w:val="21"/>
        </w:rPr>
        <w:t xml:space="preserve"> </w:t>
      </w:r>
      <w:r>
        <w:rPr>
          <w:rFonts w:hint="eastAsia" w:ascii="宋体" w:hAnsi="宋体" w:eastAsia="宋体" w:cs="宋体"/>
          <w:b w:val="0"/>
          <w:sz w:val="21"/>
          <w:lang w:eastAsia="zh-CN"/>
        </w:rPr>
        <w:t>（资料性） 灯具电击防护分类</w:t>
      </w:r>
      <w:r>
        <w:rPr>
          <w:rFonts w:hint="eastAsia" w:ascii="宋体" w:hAnsi="宋体" w:eastAsia="宋体" w:cs="宋体"/>
          <w:b w:val="0"/>
          <w:sz w:val="21"/>
        </w:rPr>
        <w:tab/>
      </w:r>
      <w:r>
        <w:rPr>
          <w:rFonts w:hint="eastAsia" w:ascii="宋体" w:hAnsi="宋体" w:eastAsia="宋体" w:cs="宋体"/>
          <w:b w:val="0"/>
          <w:sz w:val="21"/>
        </w:rPr>
        <w:fldChar w:fldCharType="begin"/>
      </w:r>
      <w:r>
        <w:rPr>
          <w:rFonts w:hint="eastAsia" w:ascii="宋体" w:hAnsi="宋体" w:eastAsia="宋体" w:cs="宋体"/>
          <w:b w:val="0"/>
          <w:sz w:val="21"/>
        </w:rPr>
        <w:instrText xml:space="preserve"> PAGEREF _Toc25551 \h </w:instrText>
      </w:r>
      <w:r>
        <w:rPr>
          <w:rFonts w:hint="eastAsia" w:ascii="宋体" w:hAnsi="宋体" w:eastAsia="宋体" w:cs="宋体"/>
          <w:b w:val="0"/>
          <w:sz w:val="21"/>
        </w:rPr>
        <w:fldChar w:fldCharType="separate"/>
      </w:r>
      <w:r>
        <w:rPr>
          <w:rFonts w:hint="eastAsia" w:ascii="宋体" w:hAnsi="宋体" w:eastAsia="宋体" w:cs="宋体"/>
          <w:b w:val="0"/>
          <w:sz w:val="21"/>
        </w:rPr>
        <w:t>12</w:t>
      </w:r>
      <w:r>
        <w:rPr>
          <w:rFonts w:hint="eastAsia" w:ascii="宋体" w:hAnsi="宋体" w:eastAsia="宋体" w:cs="宋体"/>
          <w:b w:val="0"/>
          <w:sz w:val="21"/>
        </w:rPr>
        <w:fldChar w:fldCharType="end"/>
      </w:r>
      <w:r>
        <w:rPr>
          <w:rFonts w:hint="eastAsia" w:ascii="宋体" w:hAnsi="宋体" w:eastAsia="宋体" w:cs="宋体"/>
          <w:b w:val="0"/>
          <w:sz w:val="21"/>
          <w:lang w:eastAsia="zh-CN"/>
        </w:rPr>
        <w:fldChar w:fldCharType="end"/>
      </w:r>
    </w:p>
    <w:p w14:paraId="7B6FADD6">
      <w:pPr>
        <w:pStyle w:val="19"/>
        <w:tabs>
          <w:tab w:val="right" w:leader="dot" w:pos="9355"/>
        </w:tabs>
        <w:rPr>
          <w:rFonts w:hint="eastAsia" w:ascii="宋体" w:hAnsi="宋体" w:eastAsia="宋体" w:cs="宋体"/>
          <w:b w:val="0"/>
          <w:sz w:val="21"/>
        </w:rPr>
      </w:pPr>
      <w:r>
        <w:rPr>
          <w:rFonts w:hint="eastAsia" w:ascii="宋体" w:hAnsi="宋体" w:eastAsia="宋体" w:cs="宋体"/>
          <w:b w:val="0"/>
          <w:sz w:val="21"/>
          <w:lang w:eastAsia="zh-CN"/>
        </w:rPr>
        <w:fldChar w:fldCharType="begin"/>
      </w:r>
      <w:r>
        <w:rPr>
          <w:rFonts w:hint="eastAsia" w:ascii="宋体" w:hAnsi="宋体" w:eastAsia="宋体" w:cs="宋体"/>
          <w:b w:val="0"/>
          <w:sz w:val="21"/>
          <w:lang w:eastAsia="zh-CN"/>
        </w:rPr>
        <w:instrText xml:space="preserve"> HYPERLINK \l _Toc15614 </w:instrText>
      </w:r>
      <w:r>
        <w:rPr>
          <w:rFonts w:hint="eastAsia" w:ascii="宋体" w:hAnsi="宋体" w:eastAsia="宋体" w:cs="宋体"/>
          <w:b w:val="0"/>
          <w:sz w:val="21"/>
          <w:lang w:eastAsia="zh-CN"/>
        </w:rPr>
        <w:fldChar w:fldCharType="separate"/>
      </w:r>
      <w:r>
        <w:rPr>
          <w:rFonts w:hint="eastAsia" w:ascii="宋体" w:hAnsi="宋体" w:eastAsia="宋体" w:cs="宋体"/>
          <w:b w:val="0"/>
          <w:i w:val="0"/>
          <w:spacing w:val="0"/>
          <w:w w:val="100"/>
          <w:sz w:val="21"/>
          <w:lang w:eastAsia="zh-CN"/>
        </w:rPr>
        <w:t>附录</w:t>
      </w:r>
      <w:r>
        <w:rPr>
          <w:rFonts w:hint="eastAsia" w:ascii="宋体" w:hAnsi="宋体" w:eastAsia="宋体" w:cs="宋体"/>
          <w:b w:val="0"/>
          <w:i w:val="0"/>
          <w:spacing w:val="0"/>
          <w:w w:val="100"/>
          <w:sz w:val="21"/>
        </w:rPr>
        <w:t xml:space="preserve">D </w:t>
      </w:r>
      <w:r>
        <w:rPr>
          <w:rFonts w:hint="eastAsia" w:ascii="宋体" w:hAnsi="宋体" w:eastAsia="宋体" w:cs="宋体"/>
          <w:b w:val="0"/>
          <w:sz w:val="21"/>
        </w:rPr>
        <w:t xml:space="preserve"> </w:t>
      </w:r>
      <w:r>
        <w:rPr>
          <w:rFonts w:hint="eastAsia" w:ascii="宋体" w:hAnsi="宋体" w:eastAsia="宋体" w:cs="宋体"/>
          <w:b w:val="0"/>
          <w:sz w:val="21"/>
          <w:lang w:eastAsia="zh-CN"/>
        </w:rPr>
        <w:t>（资料性） 防护等级IP代码的说明</w:t>
      </w:r>
      <w:r>
        <w:rPr>
          <w:rFonts w:hint="eastAsia" w:ascii="宋体" w:hAnsi="宋体" w:eastAsia="宋体" w:cs="宋体"/>
          <w:b w:val="0"/>
          <w:sz w:val="21"/>
        </w:rPr>
        <w:tab/>
      </w:r>
      <w:r>
        <w:rPr>
          <w:rFonts w:hint="eastAsia" w:ascii="宋体" w:hAnsi="宋体" w:eastAsia="宋体" w:cs="宋体"/>
          <w:b w:val="0"/>
          <w:sz w:val="21"/>
        </w:rPr>
        <w:fldChar w:fldCharType="begin"/>
      </w:r>
      <w:r>
        <w:rPr>
          <w:rFonts w:hint="eastAsia" w:ascii="宋体" w:hAnsi="宋体" w:eastAsia="宋体" w:cs="宋体"/>
          <w:b w:val="0"/>
          <w:sz w:val="21"/>
        </w:rPr>
        <w:instrText xml:space="preserve"> PAGEREF _Toc15614 \h </w:instrText>
      </w:r>
      <w:r>
        <w:rPr>
          <w:rFonts w:hint="eastAsia" w:ascii="宋体" w:hAnsi="宋体" w:eastAsia="宋体" w:cs="宋体"/>
          <w:b w:val="0"/>
          <w:sz w:val="21"/>
        </w:rPr>
        <w:fldChar w:fldCharType="separate"/>
      </w:r>
      <w:r>
        <w:rPr>
          <w:rFonts w:hint="eastAsia" w:ascii="宋体" w:hAnsi="宋体" w:eastAsia="宋体" w:cs="宋体"/>
          <w:b w:val="0"/>
          <w:sz w:val="21"/>
        </w:rPr>
        <w:t>13</w:t>
      </w:r>
      <w:r>
        <w:rPr>
          <w:rFonts w:hint="eastAsia" w:ascii="宋体" w:hAnsi="宋体" w:eastAsia="宋体" w:cs="宋体"/>
          <w:b w:val="0"/>
          <w:sz w:val="21"/>
        </w:rPr>
        <w:fldChar w:fldCharType="end"/>
      </w:r>
      <w:r>
        <w:rPr>
          <w:rFonts w:hint="eastAsia" w:ascii="宋体" w:hAnsi="宋体" w:eastAsia="宋体" w:cs="宋体"/>
          <w:b w:val="0"/>
          <w:sz w:val="21"/>
          <w:lang w:eastAsia="zh-CN"/>
        </w:rPr>
        <w:fldChar w:fldCharType="end"/>
      </w:r>
    </w:p>
    <w:p w14:paraId="39C2AC9C">
      <w:pPr>
        <w:pStyle w:val="19"/>
        <w:tabs>
          <w:tab w:val="right" w:leader="dot" w:pos="9355"/>
        </w:tabs>
        <w:rPr>
          <w:rFonts w:hint="eastAsia" w:ascii="宋体" w:hAnsi="宋体" w:eastAsia="宋体" w:cs="宋体"/>
          <w:b w:val="0"/>
          <w:sz w:val="21"/>
        </w:rPr>
      </w:pPr>
      <w:r>
        <w:rPr>
          <w:rFonts w:hint="eastAsia" w:ascii="宋体" w:hAnsi="宋体" w:eastAsia="宋体" w:cs="宋体"/>
          <w:b w:val="0"/>
          <w:sz w:val="21"/>
          <w:lang w:eastAsia="zh-CN"/>
        </w:rPr>
        <w:fldChar w:fldCharType="begin"/>
      </w:r>
      <w:r>
        <w:rPr>
          <w:rFonts w:hint="eastAsia" w:ascii="宋体" w:hAnsi="宋体" w:eastAsia="宋体" w:cs="宋体"/>
          <w:b w:val="0"/>
          <w:sz w:val="21"/>
          <w:lang w:eastAsia="zh-CN"/>
        </w:rPr>
        <w:instrText xml:space="preserve"> HYPERLINK \l _Toc30829 </w:instrText>
      </w:r>
      <w:r>
        <w:rPr>
          <w:rFonts w:hint="eastAsia" w:ascii="宋体" w:hAnsi="宋体" w:eastAsia="宋体" w:cs="宋体"/>
          <w:b w:val="0"/>
          <w:sz w:val="21"/>
          <w:lang w:eastAsia="zh-CN"/>
        </w:rPr>
        <w:fldChar w:fldCharType="separate"/>
      </w:r>
      <w:r>
        <w:rPr>
          <w:rFonts w:hint="eastAsia" w:ascii="宋体" w:hAnsi="宋体" w:eastAsia="宋体" w:cs="宋体"/>
          <w:b w:val="0"/>
          <w:i w:val="0"/>
          <w:spacing w:val="0"/>
          <w:w w:val="100"/>
          <w:sz w:val="21"/>
          <w:lang w:eastAsia="zh-CN"/>
        </w:rPr>
        <w:t>附录</w:t>
      </w:r>
      <w:r>
        <w:rPr>
          <w:rFonts w:hint="eastAsia" w:ascii="宋体" w:hAnsi="宋体" w:eastAsia="宋体" w:cs="宋体"/>
          <w:b w:val="0"/>
          <w:i w:val="0"/>
          <w:spacing w:val="0"/>
          <w:w w:val="100"/>
          <w:sz w:val="21"/>
        </w:rPr>
        <w:t xml:space="preserve">E </w:t>
      </w:r>
      <w:r>
        <w:rPr>
          <w:rFonts w:hint="eastAsia" w:ascii="宋体" w:hAnsi="宋体" w:eastAsia="宋体" w:cs="宋体"/>
          <w:b w:val="0"/>
          <w:sz w:val="21"/>
        </w:rPr>
        <w:t xml:space="preserve"> </w:t>
      </w:r>
      <w:r>
        <w:rPr>
          <w:rFonts w:hint="eastAsia" w:ascii="宋体" w:hAnsi="宋体" w:eastAsia="宋体" w:cs="宋体"/>
          <w:b w:val="0"/>
          <w:sz w:val="21"/>
          <w:lang w:eastAsia="zh-CN"/>
        </w:rPr>
        <w:t>（规范性） 水池区域划分</w:t>
      </w:r>
      <w:r>
        <w:rPr>
          <w:rFonts w:hint="eastAsia" w:ascii="宋体" w:hAnsi="宋体" w:eastAsia="宋体" w:cs="宋体"/>
          <w:b w:val="0"/>
          <w:sz w:val="21"/>
        </w:rPr>
        <w:tab/>
      </w:r>
      <w:r>
        <w:rPr>
          <w:rFonts w:hint="eastAsia" w:ascii="宋体" w:hAnsi="宋体" w:eastAsia="宋体" w:cs="宋体"/>
          <w:b w:val="0"/>
          <w:sz w:val="21"/>
        </w:rPr>
        <w:fldChar w:fldCharType="begin"/>
      </w:r>
      <w:r>
        <w:rPr>
          <w:rFonts w:hint="eastAsia" w:ascii="宋体" w:hAnsi="宋体" w:eastAsia="宋体" w:cs="宋体"/>
          <w:b w:val="0"/>
          <w:sz w:val="21"/>
        </w:rPr>
        <w:instrText xml:space="preserve"> PAGEREF _Toc30829 \h </w:instrText>
      </w:r>
      <w:r>
        <w:rPr>
          <w:rFonts w:hint="eastAsia" w:ascii="宋体" w:hAnsi="宋体" w:eastAsia="宋体" w:cs="宋体"/>
          <w:b w:val="0"/>
          <w:sz w:val="21"/>
        </w:rPr>
        <w:fldChar w:fldCharType="separate"/>
      </w:r>
      <w:r>
        <w:rPr>
          <w:rFonts w:hint="eastAsia" w:ascii="宋体" w:hAnsi="宋体" w:eastAsia="宋体" w:cs="宋体"/>
          <w:b w:val="0"/>
          <w:sz w:val="21"/>
        </w:rPr>
        <w:t>14</w:t>
      </w:r>
      <w:r>
        <w:rPr>
          <w:rFonts w:hint="eastAsia" w:ascii="宋体" w:hAnsi="宋体" w:eastAsia="宋体" w:cs="宋体"/>
          <w:b w:val="0"/>
          <w:sz w:val="21"/>
        </w:rPr>
        <w:fldChar w:fldCharType="end"/>
      </w:r>
      <w:r>
        <w:rPr>
          <w:rFonts w:hint="eastAsia" w:ascii="宋体" w:hAnsi="宋体" w:eastAsia="宋体" w:cs="宋体"/>
          <w:b w:val="0"/>
          <w:sz w:val="21"/>
          <w:lang w:eastAsia="zh-CN"/>
        </w:rPr>
        <w:fldChar w:fldCharType="end"/>
      </w:r>
    </w:p>
    <w:p w14:paraId="558E17F4">
      <w:pPr>
        <w:pStyle w:val="258"/>
        <w:rPr>
          <w:rFonts w:hint="eastAsia" w:ascii="宋体" w:hAnsi="宋体" w:eastAsia="宋体" w:cs="宋体"/>
          <w:b w:val="0"/>
          <w:sz w:val="21"/>
          <w:lang w:eastAsia="zh-CN"/>
        </w:rPr>
      </w:pPr>
      <w:r>
        <w:rPr>
          <w:rFonts w:hint="eastAsia" w:ascii="宋体" w:hAnsi="宋体" w:eastAsia="宋体" w:cs="宋体"/>
          <w:b w:val="0"/>
          <w:sz w:val="21"/>
          <w:lang w:eastAsia="zh-CN"/>
        </w:rPr>
        <w:fldChar w:fldCharType="end"/>
      </w:r>
    </w:p>
    <w:bookmarkEnd w:id="2"/>
    <w:p w14:paraId="327FA970">
      <w:pPr>
        <w:pStyle w:val="258"/>
        <w:rPr>
          <w:rFonts w:hint="eastAsia"/>
          <w:lang w:eastAsia="zh-CN"/>
        </w:rPr>
        <w:sectPr>
          <w:headerReference r:id="rId10" w:type="first"/>
          <w:footerReference r:id="rId12" w:type="first"/>
          <w:headerReference r:id="rId9" w:type="default"/>
          <w:footerReference r:id="rId11" w:type="default"/>
          <w:pgSz w:w="11907" w:h="16839"/>
          <w:pgMar w:top="1418" w:right="1134" w:bottom="1134" w:left="1418" w:header="1418" w:footer="1134" w:gutter="0"/>
          <w:lnNumType w:countBy="0" w:restart="continuous"/>
          <w:pgNumType w:fmt="upperRoman" w:start="1"/>
          <w:cols w:space="425" w:num="1"/>
          <w:rtlGutter w:val="0"/>
          <w:docGrid w:type="lines" w:linePitch="312" w:charSpace="0"/>
        </w:sectPr>
      </w:pPr>
    </w:p>
    <w:p w14:paraId="222313F3">
      <w:pPr>
        <w:pStyle w:val="256"/>
        <w:bidi w:val="0"/>
        <w:rPr>
          <w:rFonts w:hint="eastAsia"/>
          <w:lang w:eastAsia="zh-CN"/>
        </w:rPr>
      </w:pPr>
      <w:bookmarkStart w:id="3" w:name="标准前言"/>
      <w:bookmarkEnd w:id="3"/>
      <w:bookmarkStart w:id="4" w:name="_Toc28251"/>
      <w:r>
        <w:rPr>
          <w:rFonts w:hint="eastAsia"/>
          <w:lang w:eastAsia="zh-CN"/>
        </w:rPr>
        <w:t>前    言</w:t>
      </w:r>
      <w:bookmarkEnd w:id="4"/>
    </w:p>
    <w:p w14:paraId="74E425DF">
      <w:pPr>
        <w:pStyle w:val="258"/>
        <w:bidi w:val="0"/>
        <w:rPr>
          <w:rFonts w:hint="eastAsia"/>
          <w:lang w:eastAsia="zh-CN"/>
        </w:rPr>
      </w:pPr>
      <w:r>
        <w:rPr>
          <w:rFonts w:hint="eastAsia"/>
          <w:lang w:eastAsia="zh-CN"/>
        </w:rPr>
        <w:t>本文件按照GB/T 1.1—2020《标准化工作导则  第1部分：标准化文件的结构和起草规则》的规定起草。</w:t>
      </w:r>
    </w:p>
    <w:p w14:paraId="6270D03A">
      <w:pPr>
        <w:pStyle w:val="258"/>
        <w:ind w:firstLine="420"/>
        <w:rPr>
          <w:rFonts w:hAnsi="宋体"/>
        </w:rPr>
      </w:pPr>
      <w:r>
        <w:rPr>
          <w:rFonts w:hAnsi="宋体"/>
        </w:rPr>
        <w:t>DB11/T 388</w:t>
      </w:r>
      <w:r>
        <w:rPr>
          <w:rFonts w:hint="eastAsia" w:hAnsi="宋体"/>
        </w:rPr>
        <w:t>《城市景观照明技术规范》分为</w:t>
      </w:r>
      <w:r>
        <w:rPr>
          <w:rFonts w:hAnsi="宋体"/>
        </w:rPr>
        <w:t>8</w:t>
      </w:r>
      <w:r>
        <w:rPr>
          <w:rFonts w:hint="eastAsia" w:hAnsi="宋体"/>
        </w:rPr>
        <w:t>个部分:</w:t>
      </w:r>
    </w:p>
    <w:p w14:paraId="3BD1BE24">
      <w:pPr>
        <w:pStyle w:val="285"/>
      </w:pPr>
      <w:r>
        <w:rPr>
          <w:rFonts w:hint="eastAsia" w:hAnsi="宋体"/>
        </w:rPr>
        <w:t>第</w:t>
      </w:r>
      <w:r>
        <w:rPr>
          <w:rFonts w:hAnsi="宋体"/>
        </w:rPr>
        <w:t>1</w:t>
      </w:r>
      <w:r>
        <w:rPr>
          <w:rFonts w:hint="eastAsia" w:hAnsi="宋体"/>
        </w:rPr>
        <w:t>部分：总则:</w:t>
      </w:r>
    </w:p>
    <w:p w14:paraId="4DDFDA06">
      <w:pPr>
        <w:pStyle w:val="285"/>
      </w:pPr>
      <w:r>
        <w:rPr>
          <w:rFonts w:hint="eastAsia" w:hAnsi="宋体"/>
        </w:rPr>
        <w:t>第</w:t>
      </w:r>
      <w:r>
        <w:rPr>
          <w:rFonts w:hAnsi="宋体"/>
        </w:rPr>
        <w:t>2</w:t>
      </w:r>
      <w:r>
        <w:rPr>
          <w:rFonts w:hint="eastAsia" w:hAnsi="宋体"/>
        </w:rPr>
        <w:t>部分：设计要求；</w:t>
      </w:r>
    </w:p>
    <w:p w14:paraId="5CF2BBB8">
      <w:pPr>
        <w:pStyle w:val="285"/>
      </w:pPr>
      <w:r>
        <w:rPr>
          <w:rFonts w:hint="eastAsia" w:hAnsi="宋体"/>
        </w:rPr>
        <w:t>第</w:t>
      </w:r>
      <w:r>
        <w:rPr>
          <w:rFonts w:hAnsi="宋体"/>
        </w:rPr>
        <w:t>3</w:t>
      </w:r>
      <w:r>
        <w:rPr>
          <w:rFonts w:hint="eastAsia" w:hAnsi="宋体"/>
        </w:rPr>
        <w:t>部分：干扰光限制；</w:t>
      </w:r>
    </w:p>
    <w:p w14:paraId="6B86FD76">
      <w:pPr>
        <w:pStyle w:val="285"/>
      </w:pPr>
      <w:r>
        <w:rPr>
          <w:rFonts w:hint="eastAsia" w:hAnsi="宋体"/>
        </w:rPr>
        <w:t>第</w:t>
      </w:r>
      <w:r>
        <w:rPr>
          <w:rFonts w:hAnsi="宋体"/>
        </w:rPr>
        <w:t>4</w:t>
      </w:r>
      <w:r>
        <w:rPr>
          <w:rFonts w:hint="eastAsia" w:hAnsi="宋体"/>
        </w:rPr>
        <w:t>部分：节能要求；</w:t>
      </w:r>
    </w:p>
    <w:p w14:paraId="3603CE94">
      <w:pPr>
        <w:pStyle w:val="285"/>
      </w:pPr>
      <w:r>
        <w:rPr>
          <w:rFonts w:hint="eastAsia" w:hAnsi="宋体"/>
        </w:rPr>
        <w:t>第5部分：安全要求；</w:t>
      </w:r>
    </w:p>
    <w:p w14:paraId="1C7A26FF">
      <w:pPr>
        <w:pStyle w:val="285"/>
      </w:pPr>
      <w:r>
        <w:rPr>
          <w:rFonts w:hint="eastAsia" w:hAnsi="宋体"/>
        </w:rPr>
        <w:t>第</w:t>
      </w:r>
      <w:r>
        <w:rPr>
          <w:rFonts w:hAnsi="宋体"/>
        </w:rPr>
        <w:t>6</w:t>
      </w:r>
      <w:r>
        <w:rPr>
          <w:rFonts w:hint="eastAsia" w:hAnsi="宋体"/>
        </w:rPr>
        <w:t>部分：供配电与控制；</w:t>
      </w:r>
    </w:p>
    <w:p w14:paraId="27714974">
      <w:pPr>
        <w:pStyle w:val="285"/>
      </w:pPr>
      <w:r>
        <w:rPr>
          <w:rFonts w:hint="eastAsia" w:hAnsi="宋体"/>
        </w:rPr>
        <w:t>第</w:t>
      </w:r>
      <w:r>
        <w:rPr>
          <w:rFonts w:hAnsi="宋体"/>
        </w:rPr>
        <w:t>7</w:t>
      </w:r>
      <w:r>
        <w:rPr>
          <w:rFonts w:hint="eastAsia" w:hAnsi="宋体"/>
        </w:rPr>
        <w:t>部分：施工与验收；</w:t>
      </w:r>
    </w:p>
    <w:p w14:paraId="5384D8FC">
      <w:pPr>
        <w:pStyle w:val="285"/>
      </w:pPr>
      <w:r>
        <w:rPr>
          <w:rFonts w:hint="eastAsia" w:hAnsi="宋体"/>
        </w:rPr>
        <w:t>第</w:t>
      </w:r>
      <w:r>
        <w:rPr>
          <w:rFonts w:hAnsi="宋体"/>
        </w:rPr>
        <w:t>8</w:t>
      </w:r>
      <w:r>
        <w:rPr>
          <w:rFonts w:hint="eastAsia" w:hAnsi="宋体"/>
        </w:rPr>
        <w:t>部分：管理与维护。</w:t>
      </w:r>
    </w:p>
    <w:p w14:paraId="3241D821">
      <w:pPr>
        <w:pStyle w:val="258"/>
        <w:ind w:firstLine="420"/>
        <w:rPr>
          <w:rFonts w:hAnsi="宋体"/>
        </w:rPr>
      </w:pPr>
      <w:r>
        <w:rPr>
          <w:rFonts w:hint="eastAsia" w:hAnsi="宋体"/>
        </w:rPr>
        <w:t>本文件是</w:t>
      </w:r>
      <w:r>
        <w:rPr>
          <w:rFonts w:hAnsi="宋体"/>
        </w:rPr>
        <w:t>DB11/T</w:t>
      </w:r>
      <w:r>
        <w:rPr>
          <w:rFonts w:hint="eastAsia" w:hAnsi="宋体"/>
        </w:rPr>
        <w:t xml:space="preserve"> </w:t>
      </w:r>
      <w:r>
        <w:rPr>
          <w:rFonts w:hAnsi="宋体"/>
        </w:rPr>
        <w:t>388</w:t>
      </w:r>
      <w:r>
        <w:rPr>
          <w:rFonts w:hint="eastAsia" w:hAnsi="宋体"/>
        </w:rPr>
        <w:t>《城市景观照明技术规范》的第</w:t>
      </w:r>
      <w:r>
        <w:rPr>
          <w:rFonts w:hAnsi="宋体"/>
        </w:rPr>
        <w:t>5</w:t>
      </w:r>
      <w:r>
        <w:rPr>
          <w:rFonts w:hint="eastAsia" w:hAnsi="宋体"/>
        </w:rPr>
        <w:t>部分。</w:t>
      </w:r>
    </w:p>
    <w:p w14:paraId="68F1C518">
      <w:pPr>
        <w:pStyle w:val="258"/>
        <w:ind w:firstLine="420"/>
        <w:rPr>
          <w:rFonts w:hAnsi="宋体"/>
          <w:szCs w:val="21"/>
        </w:rPr>
      </w:pPr>
      <w:r>
        <w:rPr>
          <w:rFonts w:hint="eastAsia" w:hAnsi="宋体"/>
        </w:rPr>
        <w:t>本文件代替</w:t>
      </w:r>
      <w:r>
        <w:rPr>
          <w:rFonts w:hAnsi="宋体"/>
        </w:rPr>
        <w:t>DB11/T 388.5</w:t>
      </w:r>
      <w:r>
        <w:rPr>
          <w:rFonts w:hint="eastAsia"/>
        </w:rPr>
        <w:t>—</w:t>
      </w:r>
      <w:r>
        <w:rPr>
          <w:rFonts w:hAnsi="宋体"/>
        </w:rPr>
        <w:t>2015</w:t>
      </w:r>
      <w:r>
        <w:rPr>
          <w:rFonts w:hint="eastAsia" w:hAnsi="宋体"/>
        </w:rPr>
        <w:t>《城市夜景照明技术规范</w:t>
      </w:r>
      <w:r>
        <w:rPr>
          <w:rFonts w:hAnsi="宋体"/>
        </w:rPr>
        <w:t xml:space="preserve"> </w:t>
      </w:r>
      <w:r>
        <w:rPr>
          <w:rFonts w:hint="eastAsia" w:hAnsi="宋体"/>
        </w:rPr>
        <w:t>第</w:t>
      </w:r>
      <w:r>
        <w:rPr>
          <w:rFonts w:hAnsi="宋体"/>
        </w:rPr>
        <w:t>5</w:t>
      </w:r>
      <w:r>
        <w:rPr>
          <w:rFonts w:hint="eastAsia" w:hAnsi="宋体"/>
        </w:rPr>
        <w:t>部分：安全要求》，与DB11/T 388.5</w:t>
      </w:r>
      <w:r>
        <w:rPr>
          <w:rFonts w:hint="eastAsia"/>
        </w:rPr>
        <w:t>—</w:t>
      </w:r>
      <w:r>
        <w:rPr>
          <w:rFonts w:hint="eastAsia" w:hAnsi="宋体"/>
        </w:rPr>
        <w:t>2015相比，除编辑性改动外，主要技术</w:t>
      </w:r>
      <w:r>
        <w:rPr>
          <w:rFonts w:hint="eastAsia" w:hAnsi="宋体"/>
          <w:szCs w:val="21"/>
        </w:rPr>
        <w:t>变化如下：</w:t>
      </w:r>
    </w:p>
    <w:p w14:paraId="3610C8C6">
      <w:pPr>
        <w:pStyle w:val="285"/>
      </w:pPr>
      <w:r>
        <w:rPr>
          <w:rFonts w:hint="eastAsia" w:hAnsi="宋体"/>
          <w:iCs/>
        </w:rPr>
        <w:t>增加了文物建筑、历史建筑术语（见</w:t>
      </w:r>
      <w:r>
        <w:rPr>
          <w:rFonts w:hAnsi="宋体"/>
          <w:iCs/>
        </w:rPr>
        <w:t>3</w:t>
      </w:r>
      <w:r>
        <w:rPr>
          <w:rFonts w:hint="eastAsia" w:hAnsi="宋体"/>
          <w:iCs/>
        </w:rPr>
        <w:t>.</w:t>
      </w:r>
      <w:r>
        <w:rPr>
          <w:rFonts w:hAnsi="宋体"/>
          <w:iCs/>
        </w:rPr>
        <w:t>12</w:t>
      </w:r>
      <w:r>
        <w:rPr>
          <w:rFonts w:hint="eastAsia" w:hAnsi="宋体"/>
          <w:iCs/>
        </w:rPr>
        <w:t>、3</w:t>
      </w:r>
      <w:r>
        <w:rPr>
          <w:rFonts w:hAnsi="宋体"/>
          <w:iCs/>
        </w:rPr>
        <w:t>.13</w:t>
      </w:r>
      <w:r>
        <w:rPr>
          <w:rFonts w:hint="eastAsia" w:hAnsi="宋体"/>
          <w:iCs/>
        </w:rPr>
        <w:t>）；</w:t>
      </w:r>
    </w:p>
    <w:p w14:paraId="57C01683">
      <w:pPr>
        <w:pStyle w:val="285"/>
      </w:pPr>
      <w:r>
        <w:rPr>
          <w:rFonts w:hint="eastAsia" w:hAnsi="宋体"/>
          <w:iCs/>
        </w:rPr>
        <w:t>增加了电压等级选择要求（见4.1、</w:t>
      </w:r>
      <w:r>
        <w:rPr>
          <w:rFonts w:hAnsi="宋体"/>
          <w:iCs/>
        </w:rPr>
        <w:t>4.</w:t>
      </w:r>
      <w:r>
        <w:rPr>
          <w:rFonts w:hint="eastAsia" w:hAnsi="宋体"/>
          <w:iCs/>
        </w:rPr>
        <w:t>3、4.4）；</w:t>
      </w:r>
    </w:p>
    <w:p w14:paraId="42CA6A62">
      <w:pPr>
        <w:pStyle w:val="285"/>
      </w:pPr>
      <w:r>
        <w:rPr>
          <w:rFonts w:hint="eastAsia" w:hAnsi="宋体"/>
          <w:iCs/>
        </w:rPr>
        <w:t>删除了轮廓灯个数要求（见201</w:t>
      </w:r>
      <w:r>
        <w:rPr>
          <w:rFonts w:hAnsi="宋体"/>
          <w:iCs/>
        </w:rPr>
        <w:t>5</w:t>
      </w:r>
      <w:r>
        <w:rPr>
          <w:rFonts w:hint="eastAsia" w:hAnsi="宋体"/>
          <w:iCs/>
        </w:rPr>
        <w:t>年版</w:t>
      </w:r>
      <w:r>
        <w:rPr>
          <w:rFonts w:hAnsi="宋体"/>
          <w:iCs/>
        </w:rPr>
        <w:t>4.2</w:t>
      </w:r>
      <w:r>
        <w:rPr>
          <w:rFonts w:hint="eastAsia" w:hAnsi="宋体"/>
          <w:iCs/>
        </w:rPr>
        <w:t>）；</w:t>
      </w:r>
    </w:p>
    <w:p w14:paraId="4D38C2E5">
      <w:pPr>
        <w:pStyle w:val="285"/>
      </w:pPr>
      <w:r>
        <w:rPr>
          <w:rFonts w:hint="eastAsia" w:hAnsi="宋体"/>
          <w:szCs w:val="21"/>
        </w:rPr>
        <w:t>修改了照明终端回路防护要求（见4.</w:t>
      </w:r>
      <w:r>
        <w:rPr>
          <w:rFonts w:hAnsi="宋体"/>
          <w:szCs w:val="21"/>
        </w:rPr>
        <w:t>6</w:t>
      </w:r>
      <w:r>
        <w:rPr>
          <w:rFonts w:hint="eastAsia" w:hAnsi="宋体"/>
          <w:szCs w:val="21"/>
        </w:rPr>
        <w:t>，见201</w:t>
      </w:r>
      <w:r>
        <w:rPr>
          <w:rFonts w:hAnsi="宋体"/>
          <w:szCs w:val="21"/>
        </w:rPr>
        <w:t>5</w:t>
      </w:r>
      <w:r>
        <w:rPr>
          <w:rFonts w:hint="eastAsia" w:hAnsi="宋体"/>
          <w:szCs w:val="21"/>
        </w:rPr>
        <w:t>年版的4.</w:t>
      </w:r>
      <w:r>
        <w:rPr>
          <w:rFonts w:hAnsi="宋体"/>
          <w:szCs w:val="21"/>
        </w:rPr>
        <w:t>3</w:t>
      </w:r>
      <w:r>
        <w:rPr>
          <w:rFonts w:hint="eastAsia" w:hAnsi="宋体"/>
          <w:szCs w:val="21"/>
        </w:rPr>
        <w:t>）；</w:t>
      </w:r>
    </w:p>
    <w:p w14:paraId="3DB11E70">
      <w:pPr>
        <w:pStyle w:val="285"/>
      </w:pPr>
      <w:r>
        <w:rPr>
          <w:rFonts w:hint="eastAsia" w:hAnsi="宋体"/>
          <w:iCs/>
        </w:rPr>
        <w:t>修改了灯具功率大小需要单独安装剩余电流保护器的安全要求（见</w:t>
      </w:r>
      <w:r>
        <w:rPr>
          <w:rFonts w:hAnsi="宋体"/>
          <w:iCs/>
        </w:rPr>
        <w:t>4.7</w:t>
      </w:r>
      <w:r>
        <w:rPr>
          <w:rFonts w:hint="eastAsia" w:hAnsi="宋体"/>
          <w:iCs/>
        </w:rPr>
        <w:t>，见</w:t>
      </w:r>
      <w:r>
        <w:rPr>
          <w:rFonts w:hAnsi="宋体"/>
          <w:iCs/>
        </w:rPr>
        <w:t>2015</w:t>
      </w:r>
      <w:r>
        <w:rPr>
          <w:rFonts w:hint="eastAsia" w:hAnsi="宋体"/>
          <w:iCs/>
        </w:rPr>
        <w:t>年版的</w:t>
      </w:r>
      <w:r>
        <w:rPr>
          <w:rFonts w:hAnsi="宋体"/>
          <w:iCs/>
        </w:rPr>
        <w:t>4.5</w:t>
      </w:r>
      <w:r>
        <w:rPr>
          <w:rFonts w:hint="eastAsia" w:hAnsi="宋体"/>
          <w:iCs/>
        </w:rPr>
        <w:t>）；</w:t>
      </w:r>
    </w:p>
    <w:p w14:paraId="1F1A6026">
      <w:pPr>
        <w:pStyle w:val="285"/>
      </w:pPr>
      <w:r>
        <w:rPr>
          <w:rFonts w:hint="eastAsia" w:hAnsi="宋体"/>
          <w:iCs/>
        </w:rPr>
        <w:t>删除了线路截面要求（见201</w:t>
      </w:r>
      <w:r>
        <w:rPr>
          <w:rFonts w:hAnsi="宋体"/>
          <w:iCs/>
        </w:rPr>
        <w:t>5</w:t>
      </w:r>
      <w:r>
        <w:rPr>
          <w:rFonts w:hint="eastAsia" w:hAnsi="宋体"/>
          <w:iCs/>
        </w:rPr>
        <w:t>年版</w:t>
      </w:r>
      <w:r>
        <w:rPr>
          <w:rFonts w:hAnsi="宋体"/>
          <w:iCs/>
        </w:rPr>
        <w:t>4.8</w:t>
      </w:r>
      <w:r>
        <w:rPr>
          <w:rFonts w:hint="eastAsia" w:hAnsi="宋体"/>
          <w:iCs/>
        </w:rPr>
        <w:t>）；</w:t>
      </w:r>
    </w:p>
    <w:p w14:paraId="37128DD8">
      <w:pPr>
        <w:pStyle w:val="285"/>
      </w:pPr>
      <w:r>
        <w:rPr>
          <w:rFonts w:hint="eastAsia" w:hAnsi="宋体"/>
          <w:iCs/>
        </w:rPr>
        <w:t>删除了控制系统及模块要求（见201</w:t>
      </w:r>
      <w:r>
        <w:rPr>
          <w:rFonts w:hAnsi="宋体"/>
          <w:iCs/>
        </w:rPr>
        <w:t>5</w:t>
      </w:r>
      <w:r>
        <w:rPr>
          <w:rFonts w:hint="eastAsia" w:hAnsi="宋体"/>
          <w:iCs/>
        </w:rPr>
        <w:t>年版</w:t>
      </w:r>
      <w:r>
        <w:rPr>
          <w:rFonts w:hAnsi="宋体"/>
          <w:iCs/>
        </w:rPr>
        <w:t>4.11</w:t>
      </w:r>
      <w:r>
        <w:rPr>
          <w:rFonts w:hint="eastAsia" w:hAnsi="宋体"/>
          <w:iCs/>
        </w:rPr>
        <w:t>、4</w:t>
      </w:r>
      <w:r>
        <w:rPr>
          <w:rFonts w:hAnsi="宋体"/>
          <w:iCs/>
        </w:rPr>
        <w:t>.12</w:t>
      </w:r>
      <w:r>
        <w:rPr>
          <w:rFonts w:hint="eastAsia" w:hAnsi="宋体"/>
          <w:iCs/>
        </w:rPr>
        <w:t>）；</w:t>
      </w:r>
    </w:p>
    <w:p w14:paraId="25D39685">
      <w:pPr>
        <w:pStyle w:val="285"/>
      </w:pPr>
      <w:r>
        <w:rPr>
          <w:rFonts w:hint="eastAsia" w:hAnsi="宋体"/>
          <w:iCs/>
        </w:rPr>
        <w:t>修改了接地系统选择（见</w:t>
      </w:r>
      <w:r>
        <w:rPr>
          <w:rFonts w:hAnsi="宋体"/>
          <w:iCs/>
        </w:rPr>
        <w:t>5</w:t>
      </w:r>
      <w:r>
        <w:rPr>
          <w:rFonts w:hint="eastAsia" w:hAnsi="宋体"/>
          <w:iCs/>
        </w:rPr>
        <w:t>.</w:t>
      </w:r>
      <w:r>
        <w:rPr>
          <w:rFonts w:hAnsi="宋体"/>
          <w:iCs/>
        </w:rPr>
        <w:t>1.2</w:t>
      </w:r>
      <w:r>
        <w:rPr>
          <w:rFonts w:hint="eastAsia" w:hAnsi="宋体"/>
          <w:iCs/>
        </w:rPr>
        <w:t>、5</w:t>
      </w:r>
      <w:r>
        <w:rPr>
          <w:rFonts w:hAnsi="宋体"/>
          <w:iCs/>
        </w:rPr>
        <w:t>.1.4</w:t>
      </w:r>
      <w:r>
        <w:rPr>
          <w:rFonts w:hint="eastAsia" w:hAnsi="宋体"/>
          <w:iCs/>
        </w:rPr>
        <w:t>，见</w:t>
      </w:r>
      <w:r>
        <w:rPr>
          <w:rFonts w:hAnsi="宋体"/>
          <w:iCs/>
        </w:rPr>
        <w:t>2015</w:t>
      </w:r>
      <w:r>
        <w:rPr>
          <w:rFonts w:hint="eastAsia" w:hAnsi="宋体"/>
          <w:iCs/>
        </w:rPr>
        <w:t>年版的</w:t>
      </w:r>
      <w:r>
        <w:rPr>
          <w:rFonts w:hAnsi="宋体"/>
          <w:iCs/>
        </w:rPr>
        <w:t>5.1</w:t>
      </w:r>
      <w:r>
        <w:rPr>
          <w:rFonts w:hint="eastAsia" w:hAnsi="宋体"/>
          <w:iCs/>
        </w:rPr>
        <w:t>）；</w:t>
      </w:r>
    </w:p>
    <w:p w14:paraId="4CFD3A19">
      <w:pPr>
        <w:pStyle w:val="285"/>
      </w:pPr>
      <w:r>
        <w:rPr>
          <w:rFonts w:hint="eastAsia" w:hAnsi="宋体"/>
          <w:iCs/>
        </w:rPr>
        <w:t>删除了配电线路保护（见201</w:t>
      </w:r>
      <w:r>
        <w:rPr>
          <w:rFonts w:hAnsi="宋体"/>
          <w:iCs/>
        </w:rPr>
        <w:t>5</w:t>
      </w:r>
      <w:r>
        <w:rPr>
          <w:rFonts w:hint="eastAsia" w:hAnsi="宋体"/>
          <w:iCs/>
        </w:rPr>
        <w:t>年版</w:t>
      </w:r>
      <w:r>
        <w:rPr>
          <w:rFonts w:hAnsi="宋体"/>
          <w:iCs/>
        </w:rPr>
        <w:t>5.2.1</w:t>
      </w:r>
      <w:r>
        <w:rPr>
          <w:rFonts w:hint="eastAsia" w:hAnsi="宋体"/>
          <w:iCs/>
        </w:rPr>
        <w:t>）；</w:t>
      </w:r>
    </w:p>
    <w:p w14:paraId="68833949">
      <w:pPr>
        <w:pStyle w:val="285"/>
      </w:pPr>
      <w:r>
        <w:rPr>
          <w:rFonts w:hint="eastAsia" w:hAnsi="宋体"/>
          <w:iCs/>
        </w:rPr>
        <w:t>修改了接地故障保护（见</w:t>
      </w:r>
      <w:r>
        <w:rPr>
          <w:rFonts w:hAnsi="宋体"/>
          <w:iCs/>
        </w:rPr>
        <w:t>5</w:t>
      </w:r>
      <w:r>
        <w:rPr>
          <w:rFonts w:hint="eastAsia" w:hAnsi="宋体"/>
          <w:iCs/>
        </w:rPr>
        <w:t>.</w:t>
      </w:r>
      <w:r>
        <w:rPr>
          <w:rFonts w:hAnsi="宋体"/>
          <w:iCs/>
        </w:rPr>
        <w:t>2.1</w:t>
      </w:r>
      <w:r>
        <w:rPr>
          <w:rFonts w:hint="eastAsia" w:hAnsi="宋体"/>
          <w:iCs/>
        </w:rPr>
        <w:t>、5</w:t>
      </w:r>
      <w:r>
        <w:rPr>
          <w:rFonts w:hAnsi="宋体"/>
          <w:iCs/>
        </w:rPr>
        <w:t>.2.2</w:t>
      </w:r>
      <w:r>
        <w:rPr>
          <w:rFonts w:hint="eastAsia" w:hAnsi="宋体"/>
          <w:iCs/>
        </w:rPr>
        <w:t>、5.</w:t>
      </w:r>
      <w:r>
        <w:rPr>
          <w:rFonts w:hAnsi="宋体"/>
          <w:iCs/>
        </w:rPr>
        <w:t>2.3</w:t>
      </w:r>
      <w:r>
        <w:rPr>
          <w:rFonts w:hint="eastAsia" w:hAnsi="宋体"/>
          <w:iCs/>
        </w:rPr>
        <w:t>、5</w:t>
      </w:r>
      <w:r>
        <w:rPr>
          <w:rFonts w:hAnsi="宋体"/>
          <w:iCs/>
        </w:rPr>
        <w:t>.2.4</w:t>
      </w:r>
      <w:r>
        <w:rPr>
          <w:rFonts w:hint="eastAsia" w:hAnsi="宋体"/>
          <w:iCs/>
        </w:rPr>
        <w:t>，见</w:t>
      </w:r>
      <w:r>
        <w:rPr>
          <w:rFonts w:hAnsi="宋体"/>
          <w:iCs/>
        </w:rPr>
        <w:t>2015</w:t>
      </w:r>
      <w:r>
        <w:rPr>
          <w:rFonts w:hint="eastAsia" w:hAnsi="宋体"/>
          <w:iCs/>
        </w:rPr>
        <w:t>年版的</w:t>
      </w:r>
      <w:r>
        <w:rPr>
          <w:rFonts w:hAnsi="宋体"/>
          <w:iCs/>
        </w:rPr>
        <w:t>5.2</w:t>
      </w:r>
      <w:r>
        <w:rPr>
          <w:rFonts w:hint="eastAsia" w:hAnsi="宋体"/>
          <w:iCs/>
        </w:rPr>
        <w:t>）；</w:t>
      </w:r>
    </w:p>
    <w:p w14:paraId="62C76D80">
      <w:pPr>
        <w:pStyle w:val="285"/>
      </w:pPr>
      <w:r>
        <w:rPr>
          <w:rFonts w:hint="eastAsia" w:hAnsi="宋体"/>
          <w:iCs/>
        </w:rPr>
        <w:t>修改了防雷（见</w:t>
      </w:r>
      <w:r>
        <w:rPr>
          <w:rFonts w:hAnsi="宋体"/>
          <w:iCs/>
        </w:rPr>
        <w:t>5</w:t>
      </w:r>
      <w:r>
        <w:rPr>
          <w:rFonts w:hint="eastAsia" w:hAnsi="宋体"/>
          <w:iCs/>
        </w:rPr>
        <w:t>.</w:t>
      </w:r>
      <w:r>
        <w:rPr>
          <w:rFonts w:hAnsi="宋体"/>
          <w:iCs/>
        </w:rPr>
        <w:t>3.1</w:t>
      </w:r>
      <w:r>
        <w:rPr>
          <w:rFonts w:hint="eastAsia" w:hAnsi="宋体"/>
          <w:iCs/>
        </w:rPr>
        <w:t>、5</w:t>
      </w:r>
      <w:r>
        <w:rPr>
          <w:rFonts w:hAnsi="宋体"/>
          <w:iCs/>
        </w:rPr>
        <w:t>.3.2</w:t>
      </w:r>
      <w:r>
        <w:rPr>
          <w:rFonts w:hint="eastAsia" w:hAnsi="宋体"/>
          <w:iCs/>
        </w:rPr>
        <w:t>，见</w:t>
      </w:r>
      <w:r>
        <w:rPr>
          <w:rFonts w:hAnsi="宋体"/>
          <w:iCs/>
        </w:rPr>
        <w:t>2015</w:t>
      </w:r>
      <w:r>
        <w:rPr>
          <w:rFonts w:hint="eastAsia" w:hAnsi="宋体"/>
          <w:iCs/>
        </w:rPr>
        <w:t>年版的</w:t>
      </w:r>
      <w:r>
        <w:rPr>
          <w:rFonts w:hAnsi="宋体"/>
          <w:iCs/>
        </w:rPr>
        <w:t>5.3</w:t>
      </w:r>
      <w:r>
        <w:rPr>
          <w:rFonts w:hint="eastAsia" w:hAnsi="宋体"/>
          <w:iCs/>
        </w:rPr>
        <w:t>）；</w:t>
      </w:r>
    </w:p>
    <w:p w14:paraId="0F91B250">
      <w:pPr>
        <w:pStyle w:val="285"/>
      </w:pPr>
      <w:r>
        <w:rPr>
          <w:rFonts w:hint="eastAsia" w:hAnsi="宋体"/>
          <w:iCs/>
        </w:rPr>
        <w:t>修改了灯具防护等级规定（见</w:t>
      </w:r>
      <w:r>
        <w:rPr>
          <w:rFonts w:hAnsi="宋体"/>
          <w:iCs/>
        </w:rPr>
        <w:t>6</w:t>
      </w:r>
      <w:r>
        <w:rPr>
          <w:rFonts w:hint="eastAsia" w:hAnsi="宋体"/>
          <w:iCs/>
        </w:rPr>
        <w:t>.</w:t>
      </w:r>
      <w:r>
        <w:rPr>
          <w:rFonts w:hAnsi="宋体"/>
          <w:iCs/>
        </w:rPr>
        <w:t>3</w:t>
      </w:r>
      <w:r>
        <w:rPr>
          <w:rFonts w:hint="eastAsia" w:hAnsi="宋体"/>
          <w:iCs/>
        </w:rPr>
        <w:t>，见</w:t>
      </w:r>
      <w:r>
        <w:rPr>
          <w:rFonts w:hAnsi="宋体"/>
          <w:iCs/>
        </w:rPr>
        <w:t>2015</w:t>
      </w:r>
      <w:r>
        <w:rPr>
          <w:rFonts w:hint="eastAsia" w:hAnsi="宋体"/>
          <w:iCs/>
        </w:rPr>
        <w:t>年版的</w:t>
      </w:r>
      <w:r>
        <w:rPr>
          <w:rFonts w:hAnsi="宋体"/>
          <w:iCs/>
        </w:rPr>
        <w:t>6.3</w:t>
      </w:r>
      <w:r>
        <w:rPr>
          <w:rFonts w:hint="eastAsia" w:hAnsi="宋体"/>
          <w:iCs/>
        </w:rPr>
        <w:t>）；</w:t>
      </w:r>
    </w:p>
    <w:p w14:paraId="4A5C0CD3">
      <w:pPr>
        <w:pStyle w:val="285"/>
      </w:pPr>
      <w:r>
        <w:rPr>
          <w:rFonts w:hint="eastAsia" w:hAnsi="宋体"/>
          <w:iCs/>
          <w:szCs w:val="21"/>
        </w:rPr>
        <w:t>删除了</w:t>
      </w:r>
      <w:r>
        <w:rPr>
          <w:rFonts w:hint="eastAsia" w:hAnsi="宋体"/>
          <w:iCs/>
        </w:rPr>
        <w:t>对景观照明干扰交通限制的要求</w:t>
      </w:r>
      <w:r>
        <w:rPr>
          <w:rFonts w:hint="eastAsia" w:hAnsi="宋体"/>
          <w:iCs/>
          <w:szCs w:val="21"/>
        </w:rPr>
        <w:t>（见201</w:t>
      </w:r>
      <w:r>
        <w:rPr>
          <w:rFonts w:hAnsi="宋体"/>
          <w:iCs/>
          <w:szCs w:val="21"/>
        </w:rPr>
        <w:t>5</w:t>
      </w:r>
      <w:r>
        <w:rPr>
          <w:rFonts w:hint="eastAsia" w:hAnsi="宋体"/>
          <w:iCs/>
          <w:szCs w:val="21"/>
        </w:rPr>
        <w:t>年版</w:t>
      </w:r>
      <w:r>
        <w:rPr>
          <w:rFonts w:hAnsi="宋体"/>
          <w:iCs/>
          <w:szCs w:val="21"/>
        </w:rPr>
        <w:t>6</w:t>
      </w:r>
      <w:r>
        <w:rPr>
          <w:rFonts w:hint="eastAsia" w:hAnsi="宋体"/>
          <w:iCs/>
          <w:szCs w:val="21"/>
        </w:rPr>
        <w:t>.</w:t>
      </w:r>
      <w:r>
        <w:rPr>
          <w:rFonts w:hAnsi="宋体"/>
          <w:iCs/>
          <w:szCs w:val="21"/>
        </w:rPr>
        <w:t>6</w:t>
      </w:r>
      <w:r>
        <w:rPr>
          <w:rFonts w:hint="eastAsia" w:hAnsi="宋体"/>
          <w:iCs/>
          <w:szCs w:val="21"/>
        </w:rPr>
        <w:t>）；</w:t>
      </w:r>
    </w:p>
    <w:p w14:paraId="0A2A66EB">
      <w:pPr>
        <w:pStyle w:val="285"/>
      </w:pPr>
      <w:r>
        <w:rPr>
          <w:rFonts w:hint="eastAsia" w:hAnsi="宋体"/>
          <w:iCs/>
          <w:szCs w:val="21"/>
        </w:rPr>
        <w:t>删除了霓虹灯安全要求（见201</w:t>
      </w:r>
      <w:r>
        <w:rPr>
          <w:rFonts w:hAnsi="宋体"/>
          <w:iCs/>
          <w:szCs w:val="21"/>
        </w:rPr>
        <w:t>5</w:t>
      </w:r>
      <w:r>
        <w:rPr>
          <w:rFonts w:hint="eastAsia" w:hAnsi="宋体"/>
          <w:iCs/>
          <w:szCs w:val="21"/>
        </w:rPr>
        <w:t>年版</w:t>
      </w:r>
      <w:r>
        <w:rPr>
          <w:rFonts w:hAnsi="宋体"/>
          <w:iCs/>
          <w:szCs w:val="21"/>
        </w:rPr>
        <w:t>6</w:t>
      </w:r>
      <w:r>
        <w:rPr>
          <w:rFonts w:hint="eastAsia" w:hAnsi="宋体"/>
          <w:iCs/>
          <w:szCs w:val="21"/>
        </w:rPr>
        <w:t>.8）；</w:t>
      </w:r>
    </w:p>
    <w:p w14:paraId="13F8A440">
      <w:pPr>
        <w:pStyle w:val="285"/>
      </w:pPr>
      <w:r>
        <w:rPr>
          <w:rFonts w:hint="eastAsia" w:hAnsi="宋体"/>
          <w:iCs/>
        </w:rPr>
        <w:t>修改了灯具安装高度2.5m以下的具体措施（见8.5，见2015年版的7.6）；</w:t>
      </w:r>
    </w:p>
    <w:p w14:paraId="6E567214">
      <w:pPr>
        <w:pStyle w:val="285"/>
      </w:pPr>
      <w:r>
        <w:rPr>
          <w:rFonts w:hint="eastAsia" w:hAnsi="宋体"/>
          <w:iCs/>
        </w:rPr>
        <w:t>增加了照明控制系统网络安全要求（见7）；</w:t>
      </w:r>
    </w:p>
    <w:p w14:paraId="4645C349">
      <w:pPr>
        <w:pStyle w:val="285"/>
      </w:pPr>
      <w:r>
        <w:rPr>
          <w:rFonts w:hint="eastAsia" w:hAnsi="宋体"/>
          <w:iCs/>
        </w:rPr>
        <w:t>删除了线路敷设要求（见2015年版8）；</w:t>
      </w:r>
    </w:p>
    <w:p w14:paraId="718D6FCA">
      <w:pPr>
        <w:pStyle w:val="285"/>
      </w:pPr>
      <w:r>
        <w:rPr>
          <w:rFonts w:hint="eastAsia" w:hAnsi="宋体"/>
          <w:iCs/>
        </w:rPr>
        <w:t>修改室外水池照明安全要求（见9，见2015年版的9）；</w:t>
      </w:r>
    </w:p>
    <w:p w14:paraId="0453C532">
      <w:pPr>
        <w:pStyle w:val="285"/>
        <w:bidi w:val="0"/>
        <w:rPr>
          <w:rFonts w:hint="eastAsia"/>
          <w:lang w:eastAsia="zh-CN"/>
        </w:rPr>
      </w:pPr>
      <w:r>
        <w:rPr>
          <w:rFonts w:hint="eastAsia" w:ascii="Arial" w:hAnsi="Arial" w:cs="Arial"/>
          <w:sz w:val="20"/>
        </w:rPr>
        <w:t>修改</w:t>
      </w:r>
      <w:r>
        <w:rPr>
          <w:rFonts w:hint="eastAsia" w:hAnsi="宋体"/>
          <w:iCs/>
          <w:szCs w:val="21"/>
        </w:rPr>
        <w:t>了附录</w:t>
      </w:r>
      <w:r>
        <w:rPr>
          <w:rFonts w:hAnsi="宋体"/>
          <w:iCs/>
          <w:szCs w:val="21"/>
        </w:rPr>
        <w:t>C</w:t>
      </w:r>
      <w:r>
        <w:rPr>
          <w:rFonts w:hint="eastAsia" w:hAnsi="宋体"/>
          <w:iCs/>
          <w:szCs w:val="21"/>
        </w:rPr>
        <w:t>防护等级的相关说明（见表</w:t>
      </w:r>
      <w:r>
        <w:rPr>
          <w:rFonts w:hAnsi="宋体"/>
          <w:iCs/>
          <w:szCs w:val="21"/>
        </w:rPr>
        <w:t>C.2</w:t>
      </w:r>
      <w:r>
        <w:rPr>
          <w:rFonts w:hint="eastAsia" w:hAnsi="宋体"/>
          <w:iCs/>
          <w:szCs w:val="21"/>
        </w:rPr>
        <w:t>，201</w:t>
      </w:r>
      <w:r>
        <w:rPr>
          <w:rFonts w:hAnsi="宋体"/>
          <w:iCs/>
          <w:szCs w:val="21"/>
        </w:rPr>
        <w:t>5</w:t>
      </w:r>
      <w:r>
        <w:rPr>
          <w:rFonts w:hint="eastAsia" w:hAnsi="宋体"/>
          <w:iCs/>
          <w:szCs w:val="21"/>
        </w:rPr>
        <w:t>年版附录</w:t>
      </w:r>
      <w:r>
        <w:rPr>
          <w:rFonts w:hAnsi="宋体"/>
          <w:iCs/>
          <w:szCs w:val="21"/>
        </w:rPr>
        <w:t>A</w:t>
      </w:r>
      <w:r>
        <w:rPr>
          <w:rFonts w:hint="eastAsia" w:hAnsi="宋体"/>
          <w:iCs/>
          <w:szCs w:val="21"/>
        </w:rPr>
        <w:t>）</w:t>
      </w:r>
      <w:r>
        <w:rPr>
          <w:rFonts w:hint="eastAsia" w:hAnsi="宋体"/>
          <w:iCs/>
          <w:szCs w:val="21"/>
          <w:lang w:eastAsia="zh-CN"/>
        </w:rPr>
        <w:t>。</w:t>
      </w:r>
    </w:p>
    <w:p w14:paraId="088708AC">
      <w:pPr>
        <w:pStyle w:val="258"/>
        <w:bidi w:val="0"/>
        <w:rPr>
          <w:rFonts w:hint="eastAsia"/>
          <w:lang w:eastAsia="zh-CN"/>
        </w:rPr>
      </w:pPr>
      <w:r>
        <w:rPr>
          <w:rFonts w:hint="eastAsia"/>
          <w:lang w:eastAsia="zh-CN"/>
        </w:rPr>
        <w:t>本文件由</w:t>
      </w:r>
      <w:r>
        <w:rPr>
          <w:rFonts w:hint="eastAsia" w:hAnsi="宋体"/>
          <w:szCs w:val="21"/>
        </w:rPr>
        <w:t>北京市城市管理委员会</w:t>
      </w:r>
      <w:r>
        <w:rPr>
          <w:rFonts w:hint="eastAsia"/>
          <w:lang w:eastAsia="zh-CN"/>
        </w:rPr>
        <w:t>提出</w:t>
      </w:r>
      <w:r>
        <w:rPr>
          <w:rFonts w:hint="eastAsia"/>
          <w:lang w:val="en-US" w:eastAsia="zh-CN"/>
        </w:rPr>
        <w:t>并</w:t>
      </w:r>
      <w:r>
        <w:rPr>
          <w:rFonts w:hint="eastAsia"/>
          <w:lang w:eastAsia="zh-CN"/>
        </w:rPr>
        <w:t>归口。</w:t>
      </w:r>
    </w:p>
    <w:p w14:paraId="7D7720ED">
      <w:pPr>
        <w:pStyle w:val="258"/>
        <w:bidi w:val="0"/>
        <w:rPr>
          <w:rFonts w:hint="eastAsia"/>
          <w:lang w:eastAsia="zh-CN"/>
        </w:rPr>
      </w:pPr>
      <w:r>
        <w:rPr>
          <w:rFonts w:hint="eastAsia"/>
        </w:rPr>
        <w:t>本文件由</w:t>
      </w:r>
      <w:r>
        <w:rPr>
          <w:rFonts w:hint="eastAsia" w:hAnsi="宋体"/>
          <w:szCs w:val="21"/>
        </w:rPr>
        <w:t>北京市城市管理委员会组织实施</w:t>
      </w:r>
      <w:r>
        <w:rPr>
          <w:rFonts w:hint="eastAsia"/>
        </w:rPr>
        <w:t>。</w:t>
      </w:r>
    </w:p>
    <w:p w14:paraId="2AB831C8">
      <w:pPr>
        <w:pStyle w:val="258"/>
        <w:bidi w:val="0"/>
        <w:rPr>
          <w:rFonts w:hint="default"/>
          <w:lang w:val="en-US" w:eastAsia="zh-CN"/>
        </w:rPr>
      </w:pPr>
      <w:r>
        <w:rPr>
          <w:rFonts w:hint="eastAsia"/>
          <w:lang w:eastAsia="zh-CN"/>
        </w:rPr>
        <w:t>本文件起草单位：</w:t>
      </w:r>
      <w:r>
        <w:rPr>
          <w:rFonts w:hint="eastAsia"/>
          <w:lang w:val="en-US" w:eastAsia="zh-CN"/>
        </w:rPr>
        <w:t>北京照明学会</w:t>
      </w:r>
    </w:p>
    <w:p w14:paraId="0AD6811F">
      <w:pPr>
        <w:pStyle w:val="258"/>
        <w:bidi w:val="0"/>
        <w:rPr>
          <w:rFonts w:hint="eastAsia"/>
          <w:lang w:eastAsia="zh-CN"/>
        </w:rPr>
      </w:pPr>
      <w:r>
        <w:rPr>
          <w:rFonts w:hint="eastAsia"/>
          <w:lang w:eastAsia="zh-CN"/>
        </w:rPr>
        <w:t>本文件主要起草人：</w:t>
      </w:r>
    </w:p>
    <w:p w14:paraId="20A71ABF">
      <w:pPr>
        <w:pStyle w:val="258"/>
        <w:bidi w:val="0"/>
        <w:rPr>
          <w:rFonts w:hint="eastAsia"/>
          <w:lang w:eastAsia="zh-CN"/>
        </w:rPr>
      </w:pPr>
    </w:p>
    <w:p w14:paraId="1E41E639">
      <w:pPr>
        <w:pStyle w:val="258"/>
        <w:ind w:firstLine="420"/>
      </w:pPr>
      <w:r>
        <w:rPr>
          <w:rFonts w:hint="eastAsia"/>
        </w:rPr>
        <w:t>本文件及其所代替文件的历次版本发布情况为：</w:t>
      </w:r>
    </w:p>
    <w:p w14:paraId="367268A4">
      <w:pPr>
        <w:pStyle w:val="285"/>
      </w:pPr>
      <w:r>
        <w:rPr>
          <w:rFonts w:hint="eastAsia" w:hAnsi="宋体"/>
          <w:color w:val="000000"/>
        </w:rPr>
        <w:t>2006</w:t>
      </w:r>
      <w:r>
        <w:rPr>
          <w:rFonts w:hint="eastAsia" w:ascii="宋体" w:hAnsi="Times New Roman" w:eastAsia="宋体" w:cs="Times New Roman"/>
          <w:sz w:val="21"/>
          <w:lang w:val="en-US" w:eastAsia="zh-CN" w:bidi="ar-SA"/>
        </w:rPr>
        <w:t>年首次发布为</w:t>
      </w:r>
      <w:r>
        <w:rPr>
          <w:rFonts w:hint="eastAsia"/>
        </w:rPr>
        <w:t>DB11/T 388.5—2006；2010年第一次修订；2015年第二次修订；</w:t>
      </w:r>
    </w:p>
    <w:p w14:paraId="40E0F3D9">
      <w:pPr>
        <w:pStyle w:val="285"/>
        <w:bidi w:val="0"/>
        <w:rPr>
          <w:rFonts w:hint="eastAsia"/>
          <w:lang w:eastAsia="zh-CN"/>
        </w:rPr>
        <w:sectPr>
          <w:pgSz w:w="11907" w:h="16839"/>
          <w:pgMar w:top="1418" w:right="1134" w:bottom="1134" w:left="1418" w:header="1418" w:footer="1134" w:gutter="0"/>
          <w:lnNumType w:countBy="0" w:restart="continuous"/>
          <w:pgNumType w:fmt="upperRoman"/>
          <w:cols w:space="425" w:num="1"/>
          <w:rtlGutter w:val="0"/>
          <w:docGrid w:type="lines" w:linePitch="312" w:charSpace="0"/>
        </w:sectPr>
      </w:pPr>
      <w:r>
        <w:rPr>
          <w:rFonts w:hint="eastAsia"/>
        </w:rPr>
        <w:t>本次为第三次修订</w:t>
      </w:r>
      <w:r>
        <w:rPr>
          <w:rFonts w:hint="eastAsia"/>
          <w:lang w:eastAsia="zh-CN"/>
        </w:rPr>
        <w:t>。</w:t>
      </w:r>
    </w:p>
    <w:p w14:paraId="1966ACD3">
      <w:pPr>
        <w:pStyle w:val="315"/>
        <w:bidi w:val="0"/>
        <w:rPr>
          <w:rFonts w:hint="eastAsia"/>
          <w:lang w:eastAsia="zh-CN"/>
        </w:rPr>
      </w:pPr>
      <w:bookmarkStart w:id="5" w:name="标准内容"/>
      <w:bookmarkEnd w:id="5"/>
      <w:r>
        <w:rPr>
          <w:rFonts w:hint="eastAsia"/>
          <w:lang w:eastAsia="zh-CN"/>
        </w:rPr>
        <w:t>城市景观照明技术规范</w:t>
      </w:r>
      <w:r>
        <w:rPr>
          <w:rFonts w:hint="eastAsia"/>
          <w:lang w:eastAsia="zh-CN"/>
        </w:rPr>
        <w:br w:type="textWrapping"/>
      </w:r>
      <w:r>
        <w:rPr>
          <w:rFonts w:hint="eastAsia"/>
          <w:lang w:eastAsia="zh-CN"/>
        </w:rPr>
        <w:t>第5部分：安全要求</w:t>
      </w:r>
    </w:p>
    <w:p w14:paraId="44637066">
      <w:pPr>
        <w:pStyle w:val="259"/>
      </w:pPr>
      <w:bookmarkStart w:id="6" w:name="_Toc24510"/>
      <w:r>
        <w:rPr>
          <w:rFonts w:hint="eastAsia"/>
        </w:rPr>
        <w:t>范围</w:t>
      </w:r>
      <w:bookmarkEnd w:id="6"/>
    </w:p>
    <w:p w14:paraId="6FFC4303">
      <w:pPr>
        <w:pStyle w:val="258"/>
        <w:tabs>
          <w:tab w:val="center" w:pos="4201"/>
          <w:tab w:val="right" w:leader="dot" w:pos="9298"/>
        </w:tabs>
        <w:ind w:firstLine="420"/>
      </w:pPr>
      <w:r>
        <w:rPr>
          <w:rFonts w:hint="eastAsia"/>
        </w:rPr>
        <w:t>本文件规定了景观照明工程的照明供配电、防雷、接地、照明设备、照明控制系统网络、照明设备安装、室外水池照明的安全要求。</w:t>
      </w:r>
    </w:p>
    <w:p w14:paraId="15D4ACDD">
      <w:pPr>
        <w:pStyle w:val="258"/>
        <w:ind w:firstLine="420"/>
      </w:pPr>
      <w:r>
        <w:rPr>
          <w:rFonts w:hint="eastAsia"/>
        </w:rPr>
        <w:t>本文件适用于建筑物、构筑物、街区、广场、桥梁、公园、风景名胜区等为载体的景观照明设施的安全要求。</w:t>
      </w:r>
    </w:p>
    <w:p w14:paraId="671BB329">
      <w:pPr>
        <w:pStyle w:val="259"/>
      </w:pPr>
      <w:bookmarkStart w:id="7" w:name="_Toc26986531"/>
      <w:bookmarkStart w:id="8" w:name="_Toc24129"/>
      <w:bookmarkStart w:id="9" w:name="_Toc26986772"/>
      <w:bookmarkStart w:id="10" w:name="_Toc26718931"/>
      <w:r>
        <w:rPr>
          <w:rFonts w:hint="eastAsia"/>
        </w:rPr>
        <w:t>规范性引用文件</w:t>
      </w:r>
      <w:bookmarkEnd w:id="7"/>
      <w:bookmarkEnd w:id="8"/>
      <w:bookmarkEnd w:id="9"/>
      <w:bookmarkEnd w:id="10"/>
    </w:p>
    <w:p w14:paraId="725DC46F">
      <w:pPr>
        <w:pStyle w:val="258"/>
        <w:ind w:firstLine="420"/>
      </w:pPr>
      <w:sdt>
        <w:sdtPr>
          <w:rPr>
            <w:rFonts w:hint="eastAsia"/>
          </w:rPr>
          <w:alias w:val="规范性引用文件文字描述选择"/>
          <w:tag w:val="规范性引用文件文字描述选择"/>
          <w:id w:val="715848253"/>
          <w:placeholder>
            <w:docPart w:val="628E8159288E40C2AB02C9C3B73C5026"/>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sdtContent>
      </w:sdt>
      <w:r>
        <w:tab/>
      </w:r>
    </w:p>
    <w:p w14:paraId="6E46B013">
      <w:pPr>
        <w:pStyle w:val="258"/>
        <w:tabs>
          <w:tab w:val="center" w:pos="4201"/>
          <w:tab w:val="right" w:leader="dot" w:pos="9298"/>
        </w:tabs>
        <w:ind w:firstLine="420"/>
      </w:pPr>
      <w:r>
        <w:rPr>
          <w:rFonts w:hint="eastAsia"/>
        </w:rPr>
        <w:t>GB</w:t>
      </w:r>
      <w:r>
        <w:t>/T</w:t>
      </w:r>
      <w:r>
        <w:rPr>
          <w:rFonts w:hint="eastAsia"/>
        </w:rPr>
        <w:t xml:space="preserve"> 4208</w:t>
      </w:r>
      <w:r>
        <w:rPr>
          <w:rFonts w:hint="eastAsia"/>
          <w:lang w:val="en-US" w:eastAsia="zh-CN"/>
        </w:rPr>
        <w:t xml:space="preserve">  </w:t>
      </w:r>
      <w:r>
        <w:rPr>
          <w:rFonts w:hint="eastAsia"/>
        </w:rPr>
        <w:t>外壳防护等级（IP代码）</w:t>
      </w:r>
    </w:p>
    <w:p w14:paraId="5A938BB1">
      <w:pPr>
        <w:pStyle w:val="258"/>
        <w:tabs>
          <w:tab w:val="center" w:pos="4201"/>
          <w:tab w:val="right" w:leader="dot" w:pos="9298"/>
        </w:tabs>
        <w:ind w:firstLine="420"/>
      </w:pPr>
      <w:r>
        <w:rPr>
          <w:rFonts w:hint="eastAsia"/>
        </w:rPr>
        <w:t>GB 4706.66</w:t>
      </w:r>
      <w:r>
        <w:rPr>
          <w:rFonts w:hint="eastAsia"/>
          <w:lang w:val="en-US" w:eastAsia="zh-CN"/>
        </w:rPr>
        <w:t xml:space="preserve">  </w:t>
      </w:r>
      <w:r>
        <w:rPr>
          <w:rFonts w:hint="eastAsia"/>
        </w:rPr>
        <w:t>家用和类似用途电器的安全 泵的特殊要求</w:t>
      </w:r>
    </w:p>
    <w:p w14:paraId="0E488185">
      <w:pPr>
        <w:pStyle w:val="258"/>
        <w:tabs>
          <w:tab w:val="center" w:pos="4201"/>
          <w:tab w:val="right" w:leader="dot" w:pos="9298"/>
        </w:tabs>
        <w:ind w:firstLine="420"/>
      </w:pPr>
      <w:r>
        <w:rPr>
          <w:rFonts w:hint="eastAsia"/>
        </w:rPr>
        <w:t>GB/T 5013.1</w:t>
      </w:r>
      <w:r>
        <w:rPr>
          <w:rFonts w:hint="eastAsia"/>
          <w:lang w:val="en-US" w:eastAsia="zh-CN"/>
        </w:rPr>
        <w:t xml:space="preserve">  </w:t>
      </w:r>
      <w:r>
        <w:rPr>
          <w:rFonts w:hint="eastAsia"/>
        </w:rPr>
        <w:t>额定电压450/750V及以下橡胶绝缘电缆 第1部分：一般要求</w:t>
      </w:r>
    </w:p>
    <w:p w14:paraId="4427943D">
      <w:pPr>
        <w:pStyle w:val="258"/>
        <w:tabs>
          <w:tab w:val="center" w:pos="4201"/>
          <w:tab w:val="right" w:leader="dot" w:pos="9298"/>
        </w:tabs>
        <w:ind w:firstLine="420"/>
      </w:pPr>
      <w:r>
        <w:rPr>
          <w:rFonts w:hint="eastAsia"/>
        </w:rPr>
        <w:t>GB/T 5013.4</w:t>
      </w:r>
      <w:r>
        <w:rPr>
          <w:rFonts w:hint="eastAsia"/>
          <w:lang w:val="en-US" w:eastAsia="zh-CN"/>
        </w:rPr>
        <w:t xml:space="preserve">  </w:t>
      </w:r>
      <w:r>
        <w:rPr>
          <w:rFonts w:hint="eastAsia"/>
        </w:rPr>
        <w:t>额定电压450/750V及以下橡胶绝缘电缆 第4部分：软线和软电缆</w:t>
      </w:r>
    </w:p>
    <w:p w14:paraId="111FF0FC">
      <w:pPr>
        <w:pStyle w:val="258"/>
        <w:tabs>
          <w:tab w:val="center" w:pos="4201"/>
          <w:tab w:val="right" w:leader="dot" w:pos="9298"/>
        </w:tabs>
        <w:ind w:firstLine="420"/>
      </w:pPr>
      <w:r>
        <w:rPr>
          <w:rFonts w:hint="eastAsia"/>
        </w:rPr>
        <w:t>GB/T 7000.1</w:t>
      </w:r>
      <w:r>
        <w:rPr>
          <w:rFonts w:hint="eastAsia"/>
          <w:lang w:val="en-US" w:eastAsia="zh-CN"/>
        </w:rPr>
        <w:t xml:space="preserve">  </w:t>
      </w:r>
      <w:r>
        <w:rPr>
          <w:rFonts w:hint="eastAsia"/>
        </w:rPr>
        <w:t>灯具 第1部分：一般要求与试验</w:t>
      </w:r>
    </w:p>
    <w:p w14:paraId="5FFA97E3">
      <w:pPr>
        <w:pStyle w:val="258"/>
        <w:tabs>
          <w:tab w:val="center" w:pos="4201"/>
          <w:tab w:val="right" w:leader="dot" w:pos="9298"/>
        </w:tabs>
        <w:ind w:firstLine="420"/>
      </w:pPr>
      <w:r>
        <w:rPr>
          <w:rFonts w:hint="eastAsia"/>
        </w:rPr>
        <w:t>GB/T 7000.218  灯具 第2-18 部分：特殊要求 游泳池和类似场所用灯具</w:t>
      </w:r>
    </w:p>
    <w:p w14:paraId="5C7ACF73">
      <w:pPr>
        <w:pStyle w:val="258"/>
        <w:tabs>
          <w:tab w:val="center" w:pos="4201"/>
          <w:tab w:val="right" w:leader="dot" w:pos="9298"/>
        </w:tabs>
        <w:ind w:firstLine="420"/>
      </w:pPr>
      <w:r>
        <w:rPr>
          <w:rFonts w:hint="eastAsia"/>
        </w:rPr>
        <w:t>GB/T 16895.19  低压电气装置 第7-702部分：特殊装置或场所的要求 游泳池和喷泉</w:t>
      </w:r>
    </w:p>
    <w:p w14:paraId="79344C94">
      <w:pPr>
        <w:pStyle w:val="258"/>
        <w:tabs>
          <w:tab w:val="center" w:pos="4201"/>
          <w:tab w:val="right" w:leader="dot" w:pos="9298"/>
        </w:tabs>
        <w:ind w:firstLine="420"/>
      </w:pPr>
      <w:r>
        <w:rPr>
          <w:rFonts w:hint="eastAsia"/>
        </w:rPr>
        <w:t>GB/T 20041.1</w:t>
      </w:r>
      <w:r>
        <w:rPr>
          <w:rFonts w:hint="eastAsia"/>
          <w:lang w:val="en-US" w:eastAsia="zh-CN"/>
        </w:rPr>
        <w:t xml:space="preserve">  </w:t>
      </w:r>
      <w:r>
        <w:rPr>
          <w:rFonts w:hint="eastAsia"/>
        </w:rPr>
        <w:t>电缆管理用导管系统 第1部分：通用要求</w:t>
      </w:r>
    </w:p>
    <w:p w14:paraId="48027E47">
      <w:pPr>
        <w:pStyle w:val="258"/>
        <w:tabs>
          <w:tab w:val="center" w:pos="4201"/>
          <w:tab w:val="right" w:leader="dot" w:pos="9298"/>
        </w:tabs>
        <w:ind w:firstLine="420"/>
      </w:pPr>
      <w:r>
        <w:rPr>
          <w:rFonts w:hint="eastAsia"/>
        </w:rPr>
        <w:t xml:space="preserve">GB/T 22239 </w:t>
      </w:r>
      <w:r>
        <w:rPr>
          <w:rFonts w:hint="eastAsia"/>
          <w:lang w:val="en-US" w:eastAsia="zh-CN"/>
        </w:rPr>
        <w:t xml:space="preserve"> </w:t>
      </w:r>
      <w:r>
        <w:rPr>
          <w:rFonts w:hint="eastAsia"/>
        </w:rPr>
        <w:t>信息安全技术 网络安全等级保护基本要求</w:t>
      </w:r>
    </w:p>
    <w:p w14:paraId="130B7947">
      <w:pPr>
        <w:pStyle w:val="258"/>
        <w:tabs>
          <w:tab w:val="center" w:pos="4201"/>
          <w:tab w:val="right" w:leader="dot" w:pos="9298"/>
        </w:tabs>
        <w:ind w:firstLine="420"/>
      </w:pPr>
      <w:r>
        <w:rPr>
          <w:rFonts w:hint="eastAsia"/>
        </w:rPr>
        <w:t>GB/T 37025</w:t>
      </w:r>
      <w:r>
        <w:rPr>
          <w:rFonts w:hint="eastAsia"/>
          <w:lang w:val="en-US" w:eastAsia="zh-CN"/>
        </w:rPr>
        <w:t xml:space="preserve">  </w:t>
      </w:r>
      <w:r>
        <w:rPr>
          <w:rFonts w:hint="eastAsia"/>
        </w:rPr>
        <w:t>信息安全技术 物联网数据传输安全技术要求</w:t>
      </w:r>
    </w:p>
    <w:p w14:paraId="373C31F2">
      <w:pPr>
        <w:pStyle w:val="258"/>
        <w:tabs>
          <w:tab w:val="center" w:pos="4201"/>
          <w:tab w:val="right" w:leader="dot" w:pos="9298"/>
        </w:tabs>
        <w:ind w:firstLine="420"/>
      </w:pPr>
      <w:r>
        <w:rPr>
          <w:rFonts w:hint="eastAsia"/>
        </w:rPr>
        <w:t>GB 55024</w:t>
      </w:r>
      <w:r>
        <w:rPr>
          <w:rFonts w:hint="eastAsia"/>
          <w:lang w:val="en-US" w:eastAsia="zh-CN"/>
        </w:rPr>
        <w:t xml:space="preserve">  </w:t>
      </w:r>
      <w:r>
        <w:rPr>
          <w:rFonts w:hint="eastAsia"/>
        </w:rPr>
        <w:t>建筑电气与智能化通用规范</w:t>
      </w:r>
    </w:p>
    <w:p w14:paraId="018E27B3">
      <w:pPr>
        <w:pStyle w:val="258"/>
        <w:tabs>
          <w:tab w:val="center" w:pos="4201"/>
          <w:tab w:val="right" w:leader="dot" w:pos="9298"/>
        </w:tabs>
        <w:ind w:firstLine="420"/>
      </w:pPr>
      <w:r>
        <w:rPr>
          <w:rFonts w:hint="eastAsia"/>
        </w:rPr>
        <w:t>GB 50054</w:t>
      </w:r>
      <w:r>
        <w:rPr>
          <w:rFonts w:hint="eastAsia"/>
          <w:lang w:val="en-US" w:eastAsia="zh-CN"/>
        </w:rPr>
        <w:t xml:space="preserve">  </w:t>
      </w:r>
      <w:r>
        <w:rPr>
          <w:rFonts w:hint="eastAsia"/>
        </w:rPr>
        <w:t>低压配电设计规范</w:t>
      </w:r>
    </w:p>
    <w:p w14:paraId="550625FB">
      <w:pPr>
        <w:pStyle w:val="258"/>
        <w:tabs>
          <w:tab w:val="center" w:pos="4201"/>
          <w:tab w:val="right" w:leader="dot" w:pos="9298"/>
        </w:tabs>
        <w:ind w:firstLine="420"/>
      </w:pPr>
      <w:r>
        <w:rPr>
          <w:rFonts w:hint="eastAsia"/>
        </w:rPr>
        <w:t>GB 50057</w:t>
      </w:r>
      <w:r>
        <w:rPr>
          <w:rFonts w:hint="eastAsia"/>
          <w:lang w:val="en-US" w:eastAsia="zh-CN"/>
        </w:rPr>
        <w:t xml:space="preserve">  </w:t>
      </w:r>
      <w:r>
        <w:rPr>
          <w:rFonts w:hint="eastAsia"/>
        </w:rPr>
        <w:t>建筑物防雷设计规范</w:t>
      </w:r>
    </w:p>
    <w:p w14:paraId="729CE97D">
      <w:pPr>
        <w:pStyle w:val="258"/>
        <w:tabs>
          <w:tab w:val="center" w:pos="4201"/>
          <w:tab w:val="right" w:leader="dot" w:pos="9298"/>
        </w:tabs>
        <w:ind w:firstLine="420"/>
      </w:pPr>
      <w:r>
        <w:rPr>
          <w:rFonts w:hint="eastAsia"/>
        </w:rPr>
        <w:t>GB 50343</w:t>
      </w:r>
      <w:r>
        <w:rPr>
          <w:rFonts w:hint="eastAsia"/>
          <w:lang w:val="en-US" w:eastAsia="zh-CN"/>
        </w:rPr>
        <w:t xml:space="preserve">  </w:t>
      </w:r>
      <w:r>
        <w:rPr>
          <w:rFonts w:hint="eastAsia"/>
        </w:rPr>
        <w:t>建筑物电子信息系统防雷技术规范</w:t>
      </w:r>
    </w:p>
    <w:p w14:paraId="5D39D357">
      <w:pPr>
        <w:pStyle w:val="258"/>
        <w:ind w:firstLine="420"/>
      </w:pPr>
      <w:r>
        <w:rPr>
          <w:rFonts w:hint="eastAsia"/>
        </w:rPr>
        <w:t>DB11/T 388.1</w:t>
      </w:r>
      <w:r>
        <w:rPr>
          <w:rFonts w:hint="eastAsia"/>
          <w:lang w:val="en-US" w:eastAsia="zh-CN"/>
        </w:rPr>
        <w:t xml:space="preserve">  </w:t>
      </w:r>
      <w:r>
        <w:rPr>
          <w:rFonts w:hint="eastAsia"/>
        </w:rPr>
        <w:t>城市景观照明技术规范 第1部分：总则</w:t>
      </w:r>
    </w:p>
    <w:p w14:paraId="4C29DF6F">
      <w:pPr>
        <w:pStyle w:val="259"/>
      </w:pPr>
      <w:bookmarkStart w:id="11" w:name="_Toc22884"/>
      <w:r>
        <w:rPr>
          <w:rFonts w:hint="eastAsia"/>
        </w:rPr>
        <w:t>术语和定义</w:t>
      </w:r>
      <w:bookmarkEnd w:id="11"/>
    </w:p>
    <w:p w14:paraId="44FC2583">
      <w:pPr>
        <w:pStyle w:val="258"/>
        <w:ind w:firstLine="420"/>
      </w:pPr>
      <w:bookmarkStart w:id="12" w:name="_Toc26986532"/>
      <w:bookmarkEnd w:id="12"/>
      <w:r>
        <w:rPr>
          <w:rFonts w:hint="eastAsia"/>
        </w:rPr>
        <w:t xml:space="preserve">DB11/T 388.1 </w:t>
      </w:r>
      <w:sdt>
        <w:sdtPr>
          <w:alias w:val="术语和定义文字描述选择"/>
          <w:tag w:val="术语和定义文字描述选择"/>
          <w:id w:val="-1909835108"/>
          <w:placeholder>
            <w:docPart w:val="628E8159288E40C2AB02C9C3B73C5026"/>
          </w:placeholder>
          <w:comboBox>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r>
            <w:rPr>
              <w:rFonts w:ascii="宋体" w:hAnsi="Times New Roman" w:eastAsia="宋体" w:cs="Times New Roman"/>
              <w:sz w:val="21"/>
              <w:lang w:val="en-US" w:eastAsia="zh-CN" w:bidi="ar-SA"/>
            </w:rPr>
            <w:t>界定的以及下列术语和定义适用于本文件。</w:t>
          </w:r>
        </w:sdtContent>
      </w:sdt>
    </w:p>
    <w:p w14:paraId="2C2EFD41">
      <w:pPr>
        <w:pStyle w:val="260"/>
        <w:bidi w:val="0"/>
      </w:pPr>
    </w:p>
    <w:p w14:paraId="6007669B">
      <w:pPr>
        <w:pStyle w:val="258"/>
        <w:ind w:firstLine="420"/>
        <w:rPr>
          <w:rFonts w:ascii="黑体" w:eastAsia="黑体"/>
        </w:rPr>
      </w:pPr>
      <w:r>
        <w:rPr>
          <w:rFonts w:hint="eastAsia" w:ascii="黑体" w:eastAsia="黑体"/>
        </w:rPr>
        <w:t>剩余电流 residual  current</w:t>
      </w:r>
    </w:p>
    <w:p w14:paraId="03B0165F">
      <w:pPr>
        <w:pStyle w:val="258"/>
        <w:rPr>
          <w:rFonts w:hint="eastAsia"/>
          <w:lang w:eastAsia="zh-CN"/>
        </w:rPr>
      </w:pPr>
      <w:r>
        <w:rPr>
          <w:rFonts w:hint="eastAsia"/>
        </w:rPr>
        <w:t>同一时刻，线路上的电气回路给定点处的所有带电体电流值的矢量和</w:t>
      </w:r>
      <w:r>
        <w:rPr>
          <w:rFonts w:hint="eastAsia"/>
          <w:lang w:eastAsia="zh-CN"/>
        </w:rPr>
        <w:t>。</w:t>
      </w:r>
    </w:p>
    <w:p w14:paraId="00813A6F">
      <w:pPr>
        <w:pStyle w:val="260"/>
        <w:bidi w:val="0"/>
        <w:rPr>
          <w:rFonts w:hint="eastAsia"/>
          <w:lang w:eastAsia="zh-CN"/>
        </w:rPr>
      </w:pPr>
    </w:p>
    <w:p w14:paraId="48A295AB">
      <w:pPr>
        <w:pStyle w:val="258"/>
        <w:ind w:firstLine="420"/>
        <w:rPr>
          <w:rFonts w:ascii="黑体" w:hAnsi="宋体" w:eastAsia="黑体" w:cs="宋体"/>
          <w:szCs w:val="21"/>
        </w:rPr>
      </w:pPr>
      <w:r>
        <w:rPr>
          <w:rFonts w:hint="eastAsia" w:ascii="黑体" w:hAnsi="宋体" w:eastAsia="黑体" w:cs="宋体"/>
          <w:szCs w:val="21"/>
        </w:rPr>
        <w:t>剩余电流（动作）保护器 residual current (operated) protective devices</w:t>
      </w:r>
    </w:p>
    <w:p w14:paraId="50D92B5E">
      <w:pPr>
        <w:pStyle w:val="258"/>
        <w:rPr>
          <w:rFonts w:hint="eastAsia"/>
          <w:lang w:eastAsia="zh-CN"/>
        </w:rPr>
      </w:pPr>
      <w:r>
        <w:rPr>
          <w:rFonts w:hint="eastAsia"/>
        </w:rPr>
        <w:t>在规定条件下，当剩余电流达到或超过整定值时能自动分断电路的机械开关电器或组合电器</w:t>
      </w:r>
      <w:r>
        <w:rPr>
          <w:rFonts w:hint="eastAsia"/>
          <w:lang w:eastAsia="zh-CN"/>
        </w:rPr>
        <w:t>。</w:t>
      </w:r>
    </w:p>
    <w:p w14:paraId="3B38DAC2">
      <w:pPr>
        <w:pStyle w:val="260"/>
        <w:bidi w:val="0"/>
        <w:rPr>
          <w:rFonts w:hint="eastAsia"/>
          <w:lang w:eastAsia="zh-CN"/>
        </w:rPr>
      </w:pPr>
    </w:p>
    <w:p w14:paraId="14C6C4FC">
      <w:pPr>
        <w:pStyle w:val="258"/>
        <w:ind w:firstLine="420"/>
        <w:rPr>
          <w:rFonts w:ascii="黑体" w:eastAsia="黑体"/>
        </w:rPr>
      </w:pPr>
      <w:r>
        <w:rPr>
          <w:rFonts w:hint="eastAsia" w:ascii="黑体" w:eastAsia="黑体"/>
        </w:rPr>
        <w:t>安全特低电压系统  safety extra-low voltage  (SELV) system</w:t>
      </w:r>
    </w:p>
    <w:p w14:paraId="4FE697C9">
      <w:pPr>
        <w:pStyle w:val="258"/>
        <w:rPr>
          <w:rFonts w:hint="eastAsia"/>
          <w:lang w:eastAsia="zh-CN"/>
        </w:rPr>
      </w:pPr>
      <w:r>
        <w:rPr>
          <w:rFonts w:hint="eastAsia"/>
        </w:rPr>
        <w:t>在正常条件下和单一故障条件下（包括其他电气回路的接地故障），电压均不能超过特低电压的电气系统，简称SELV系统</w:t>
      </w:r>
      <w:r>
        <w:rPr>
          <w:rFonts w:hint="eastAsia"/>
          <w:lang w:eastAsia="zh-CN"/>
        </w:rPr>
        <w:t>。</w:t>
      </w:r>
    </w:p>
    <w:p w14:paraId="1D7FB48C">
      <w:pPr>
        <w:pStyle w:val="260"/>
        <w:bidi w:val="0"/>
        <w:rPr>
          <w:rFonts w:hint="eastAsia"/>
          <w:lang w:eastAsia="zh-CN"/>
        </w:rPr>
      </w:pPr>
    </w:p>
    <w:p w14:paraId="6AAF730B">
      <w:pPr>
        <w:pStyle w:val="258"/>
        <w:ind w:firstLine="420"/>
        <w:rPr>
          <w:rFonts w:ascii="黑体" w:eastAsia="黑体"/>
        </w:rPr>
      </w:pPr>
      <w:r>
        <w:rPr>
          <w:rFonts w:hint="eastAsia" w:ascii="黑体" w:eastAsia="黑体"/>
        </w:rPr>
        <w:t>接地故障 earth  fault;  ground  fault</w:t>
      </w:r>
    </w:p>
    <w:p w14:paraId="6579BB06">
      <w:pPr>
        <w:pStyle w:val="258"/>
        <w:rPr>
          <w:rFonts w:hint="eastAsia"/>
          <w:lang w:eastAsia="zh-CN"/>
        </w:rPr>
      </w:pPr>
      <w:r>
        <w:rPr>
          <w:rFonts w:hint="eastAsia"/>
        </w:rPr>
        <w:t>带电导体和大地之间意外出现导电通路</w:t>
      </w:r>
      <w:r>
        <w:rPr>
          <w:rFonts w:hint="eastAsia"/>
          <w:lang w:eastAsia="zh-CN"/>
        </w:rPr>
        <w:t>。</w:t>
      </w:r>
    </w:p>
    <w:p w14:paraId="3EB352DB">
      <w:pPr>
        <w:pStyle w:val="260"/>
        <w:bidi w:val="0"/>
        <w:rPr>
          <w:rFonts w:hint="eastAsia"/>
          <w:lang w:eastAsia="zh-CN"/>
        </w:rPr>
      </w:pPr>
    </w:p>
    <w:p w14:paraId="27AEB7A9">
      <w:pPr>
        <w:pStyle w:val="258"/>
        <w:ind w:firstLine="420"/>
        <w:rPr>
          <w:rFonts w:ascii="黑体" w:eastAsia="黑体"/>
        </w:rPr>
      </w:pPr>
      <w:r>
        <w:rPr>
          <w:rFonts w:hint="eastAsia" w:ascii="黑体" w:eastAsia="黑体"/>
        </w:rPr>
        <w:t>等电位联结  equipotential  bonding</w:t>
      </w:r>
    </w:p>
    <w:p w14:paraId="18686076">
      <w:pPr>
        <w:pStyle w:val="258"/>
        <w:rPr>
          <w:rFonts w:hint="eastAsia"/>
          <w:lang w:eastAsia="zh-CN"/>
        </w:rPr>
      </w:pPr>
      <w:r>
        <w:rPr>
          <w:rFonts w:hint="eastAsia"/>
        </w:rPr>
        <w:t>为达到等电位，多个可导电部分间的电连接</w:t>
      </w:r>
      <w:r>
        <w:rPr>
          <w:rFonts w:hint="eastAsia"/>
          <w:lang w:eastAsia="zh-CN"/>
        </w:rPr>
        <w:t>。</w:t>
      </w:r>
    </w:p>
    <w:p w14:paraId="61FF8F2A">
      <w:pPr>
        <w:pStyle w:val="260"/>
        <w:bidi w:val="0"/>
        <w:rPr>
          <w:rFonts w:hint="eastAsia"/>
          <w:lang w:eastAsia="zh-CN"/>
        </w:rPr>
      </w:pPr>
    </w:p>
    <w:p w14:paraId="70B3554F">
      <w:pPr>
        <w:pStyle w:val="258"/>
        <w:ind w:firstLine="420"/>
        <w:rPr>
          <w:rFonts w:ascii="黑体" w:eastAsia="黑体"/>
        </w:rPr>
      </w:pPr>
      <w:r>
        <w:rPr>
          <w:rFonts w:hint="eastAsia" w:ascii="黑体" w:eastAsia="黑体"/>
        </w:rPr>
        <w:t>外露可导电部分  exposed-conductive part</w:t>
      </w:r>
    </w:p>
    <w:p w14:paraId="7D304C2F">
      <w:pPr>
        <w:pStyle w:val="258"/>
        <w:rPr>
          <w:rFonts w:hint="eastAsia"/>
          <w:lang w:eastAsia="zh-CN"/>
        </w:rPr>
      </w:pPr>
      <w:r>
        <w:rPr>
          <w:rFonts w:hint="eastAsia"/>
        </w:rPr>
        <w:t>电气设备上人能触及到的可导电部分，它在正常状况下不带电，但是在基本绝缘损坏时会带电</w:t>
      </w:r>
      <w:r>
        <w:rPr>
          <w:rFonts w:hint="eastAsia"/>
          <w:lang w:eastAsia="zh-CN"/>
        </w:rPr>
        <w:t>。</w:t>
      </w:r>
    </w:p>
    <w:p w14:paraId="4B3933BC">
      <w:pPr>
        <w:pStyle w:val="260"/>
        <w:bidi w:val="0"/>
        <w:rPr>
          <w:rFonts w:hint="eastAsia"/>
          <w:lang w:eastAsia="zh-CN"/>
        </w:rPr>
      </w:pPr>
    </w:p>
    <w:p w14:paraId="441CF046">
      <w:pPr>
        <w:pStyle w:val="258"/>
        <w:ind w:firstLine="420"/>
        <w:rPr>
          <w:rFonts w:ascii="黑体" w:eastAsia="黑体"/>
        </w:rPr>
      </w:pPr>
      <w:r>
        <w:rPr>
          <w:rFonts w:hint="eastAsia" w:ascii="黑体" w:eastAsia="黑体"/>
        </w:rPr>
        <w:t>基本绝缘  basic insulation</w:t>
      </w:r>
    </w:p>
    <w:p w14:paraId="1F949B83">
      <w:pPr>
        <w:pStyle w:val="258"/>
        <w:rPr>
          <w:rFonts w:hint="eastAsia"/>
          <w:lang w:eastAsia="zh-CN"/>
        </w:rPr>
      </w:pPr>
      <w:r>
        <w:rPr>
          <w:rFonts w:hint="eastAsia"/>
        </w:rPr>
        <w:t>能够提供基本防护的危险带电部分上的绝缘</w:t>
      </w:r>
      <w:r>
        <w:rPr>
          <w:rFonts w:hint="eastAsia"/>
          <w:lang w:eastAsia="zh-CN"/>
        </w:rPr>
        <w:t>。</w:t>
      </w:r>
    </w:p>
    <w:p w14:paraId="3199D604">
      <w:pPr>
        <w:pStyle w:val="260"/>
        <w:bidi w:val="0"/>
        <w:rPr>
          <w:rFonts w:hint="eastAsia"/>
          <w:lang w:eastAsia="zh-CN"/>
        </w:rPr>
      </w:pPr>
    </w:p>
    <w:p w14:paraId="38B9ACB2">
      <w:pPr>
        <w:pStyle w:val="258"/>
        <w:ind w:firstLine="420"/>
        <w:rPr>
          <w:rFonts w:ascii="黑体" w:eastAsia="黑体"/>
        </w:rPr>
      </w:pPr>
      <w:r>
        <w:rPr>
          <w:rFonts w:hint="eastAsia" w:ascii="黑体" w:eastAsia="黑体"/>
        </w:rPr>
        <w:t>双重绝缘  double insulation</w:t>
      </w:r>
    </w:p>
    <w:p w14:paraId="19AF0F6D">
      <w:pPr>
        <w:pStyle w:val="258"/>
        <w:rPr>
          <w:rFonts w:hint="eastAsia"/>
          <w:lang w:eastAsia="zh-CN"/>
        </w:rPr>
      </w:pPr>
      <w:r>
        <w:rPr>
          <w:rFonts w:hint="eastAsia"/>
        </w:rPr>
        <w:t>由基本绝缘和附加绝缘组成的绝缘</w:t>
      </w:r>
      <w:r>
        <w:rPr>
          <w:rFonts w:hint="eastAsia"/>
          <w:lang w:eastAsia="zh-CN"/>
        </w:rPr>
        <w:t>。</w:t>
      </w:r>
    </w:p>
    <w:p w14:paraId="4AC21996">
      <w:pPr>
        <w:pStyle w:val="260"/>
        <w:bidi w:val="0"/>
        <w:rPr>
          <w:rFonts w:hint="eastAsia"/>
          <w:lang w:eastAsia="zh-CN"/>
        </w:rPr>
      </w:pPr>
    </w:p>
    <w:p w14:paraId="673CACC3">
      <w:pPr>
        <w:pStyle w:val="258"/>
        <w:ind w:firstLine="420"/>
        <w:rPr>
          <w:rFonts w:ascii="黑体" w:eastAsia="黑体"/>
        </w:rPr>
      </w:pPr>
      <w:r>
        <w:rPr>
          <w:rFonts w:hint="eastAsia" w:ascii="黑体" w:eastAsia="黑体"/>
        </w:rPr>
        <w:t>加强绝缘  reinforced insulation</w:t>
      </w:r>
    </w:p>
    <w:p w14:paraId="5BF5ACCC">
      <w:pPr>
        <w:pStyle w:val="258"/>
        <w:rPr>
          <w:rFonts w:hint="eastAsia"/>
          <w:lang w:eastAsia="zh-CN"/>
        </w:rPr>
      </w:pPr>
      <w:r>
        <w:rPr>
          <w:rFonts w:hint="eastAsia"/>
        </w:rPr>
        <w:t>危险带电部分上具有相当于双重绝缘的电击防护等级的绝缘</w:t>
      </w:r>
      <w:r>
        <w:rPr>
          <w:rFonts w:hint="eastAsia"/>
          <w:lang w:eastAsia="zh-CN"/>
        </w:rPr>
        <w:t>。</w:t>
      </w:r>
    </w:p>
    <w:p w14:paraId="73148290">
      <w:pPr>
        <w:pStyle w:val="260"/>
        <w:bidi w:val="0"/>
        <w:rPr>
          <w:rFonts w:hint="eastAsia"/>
          <w:lang w:eastAsia="zh-CN"/>
        </w:rPr>
      </w:pPr>
    </w:p>
    <w:p w14:paraId="2DF5FF80">
      <w:pPr>
        <w:pStyle w:val="258"/>
        <w:ind w:firstLine="420"/>
        <w:rPr>
          <w:rFonts w:ascii="黑体" w:eastAsia="黑体"/>
        </w:rPr>
      </w:pPr>
      <w:r>
        <w:rPr>
          <w:rFonts w:hint="eastAsia" w:ascii="黑体" w:eastAsia="黑体"/>
        </w:rPr>
        <w:t>IP代码  IP code （International  Protection的缩写）</w:t>
      </w:r>
    </w:p>
    <w:p w14:paraId="6525EC1F">
      <w:pPr>
        <w:pStyle w:val="258"/>
        <w:rPr>
          <w:rFonts w:hint="eastAsia"/>
          <w:lang w:eastAsia="zh-CN"/>
        </w:rPr>
      </w:pPr>
      <w:r>
        <w:rPr>
          <w:rFonts w:hint="eastAsia"/>
        </w:rPr>
        <w:t>表明外壳对人接近危险部件、防止固体异物或水进入的防护等级以及这些防护有关的附加信息的代码系统（防护等级I</w:t>
      </w:r>
      <w:r>
        <w:t>P</w:t>
      </w:r>
      <w:r>
        <w:rPr>
          <w:rFonts w:hint="eastAsia"/>
        </w:rPr>
        <w:t>数字的说明</w:t>
      </w:r>
      <w:r>
        <w:rPr>
          <w:rFonts w:hint="eastAsia"/>
          <w:lang w:val="en-US" w:eastAsia="zh-CN"/>
        </w:rPr>
        <w:t>参</w:t>
      </w:r>
      <w:r>
        <w:rPr>
          <w:rFonts w:hint="eastAsia"/>
        </w:rPr>
        <w:t>见附录A）</w:t>
      </w:r>
      <w:r>
        <w:rPr>
          <w:rFonts w:hint="eastAsia"/>
          <w:lang w:eastAsia="zh-CN"/>
        </w:rPr>
        <w:t>。</w:t>
      </w:r>
    </w:p>
    <w:p w14:paraId="2418F013">
      <w:pPr>
        <w:pStyle w:val="260"/>
        <w:bidi w:val="0"/>
        <w:rPr>
          <w:rFonts w:hint="eastAsia"/>
          <w:lang w:eastAsia="zh-CN"/>
        </w:rPr>
      </w:pPr>
    </w:p>
    <w:p w14:paraId="424C8CAF">
      <w:pPr>
        <w:pStyle w:val="258"/>
        <w:ind w:firstLine="420"/>
        <w:rPr>
          <w:rFonts w:ascii="黑体" w:eastAsia="黑体"/>
        </w:rPr>
      </w:pPr>
      <w:r>
        <w:rPr>
          <w:rFonts w:hint="eastAsia" w:ascii="黑体" w:eastAsia="黑体"/>
        </w:rPr>
        <w:t>电气设备  electrical equipment</w:t>
      </w:r>
    </w:p>
    <w:p w14:paraId="5F5BE5BD">
      <w:pPr>
        <w:pStyle w:val="258"/>
        <w:rPr>
          <w:rFonts w:hint="eastAsia"/>
          <w:lang w:eastAsia="zh-CN"/>
        </w:rPr>
      </w:pPr>
      <w:r>
        <w:rPr>
          <w:rFonts w:hint="eastAsia"/>
        </w:rPr>
        <w:t>用于发电、变电、输电、配电或利用电能的设备</w:t>
      </w:r>
      <w:r>
        <w:rPr>
          <w:rFonts w:hint="eastAsia"/>
          <w:lang w:eastAsia="zh-CN"/>
        </w:rPr>
        <w:t>。</w:t>
      </w:r>
    </w:p>
    <w:p w14:paraId="1FB8AD96">
      <w:pPr>
        <w:pStyle w:val="260"/>
        <w:bidi w:val="0"/>
        <w:rPr>
          <w:rFonts w:hint="eastAsia"/>
          <w:lang w:eastAsia="zh-CN"/>
        </w:rPr>
      </w:pPr>
    </w:p>
    <w:p w14:paraId="73B75CFD">
      <w:pPr>
        <w:pStyle w:val="258"/>
        <w:ind w:firstLine="420"/>
        <w:rPr>
          <w:rFonts w:ascii="黑体" w:eastAsia="黑体"/>
        </w:rPr>
      </w:pPr>
      <w:r>
        <w:rPr>
          <w:rFonts w:hint="eastAsia" w:ascii="黑体" w:eastAsia="黑体"/>
        </w:rPr>
        <w:t xml:space="preserve">文物建筑 </w:t>
      </w:r>
      <w:r>
        <w:rPr>
          <w:rFonts w:ascii="黑体" w:eastAsia="黑体"/>
        </w:rPr>
        <w:t xml:space="preserve"> historical and cultural relic</w:t>
      </w:r>
    </w:p>
    <w:p w14:paraId="5E460CAE">
      <w:pPr>
        <w:pStyle w:val="258"/>
        <w:rPr>
          <w:rFonts w:hint="eastAsia" w:eastAsia="宋体"/>
          <w:lang w:eastAsia="zh-CN"/>
        </w:rPr>
      </w:pPr>
      <w:r>
        <w:rPr>
          <w:rFonts w:hint="eastAsia"/>
        </w:rPr>
        <w:t>被公布或登记为不可移动文物，具有历史价值 、科学价值和艺术价值的古建筑、纪念建筑及优秀近现代建筑</w:t>
      </w:r>
      <w:r>
        <w:rPr>
          <w:rFonts w:hint="eastAsia"/>
          <w:lang w:eastAsia="zh-CN"/>
        </w:rPr>
        <w:t>。</w:t>
      </w:r>
    </w:p>
    <w:p w14:paraId="1EF5470A">
      <w:pPr>
        <w:pStyle w:val="260"/>
        <w:bidi w:val="0"/>
      </w:pPr>
    </w:p>
    <w:p w14:paraId="03496121">
      <w:pPr>
        <w:pStyle w:val="258"/>
        <w:ind w:firstLine="420"/>
        <w:rPr>
          <w:rFonts w:ascii="黑体" w:eastAsia="黑体"/>
        </w:rPr>
      </w:pPr>
      <w:r>
        <w:rPr>
          <w:rFonts w:hint="eastAsia" w:ascii="黑体" w:eastAsia="黑体"/>
        </w:rPr>
        <w:t>历史建筑  historic building</w:t>
      </w:r>
    </w:p>
    <w:p w14:paraId="694943E6">
      <w:pPr>
        <w:pStyle w:val="258"/>
        <w:rPr>
          <w:rFonts w:hint="eastAsia" w:hAnsi="宋体"/>
          <w:lang w:eastAsia="zh-CN"/>
        </w:rPr>
      </w:pPr>
      <w:r>
        <w:rPr>
          <w:rFonts w:hint="eastAsia" w:hAnsi="宋体"/>
        </w:rPr>
        <w:t>经城市、县人民政府确定公布的具有一定保护价值，能够反映历史风貌和地方特色的建筑物、构筑物</w:t>
      </w:r>
      <w:r>
        <w:rPr>
          <w:rFonts w:hint="eastAsia" w:hAnsi="宋体"/>
          <w:lang w:eastAsia="zh-CN"/>
        </w:rPr>
        <w:t>。</w:t>
      </w:r>
    </w:p>
    <w:p w14:paraId="2B70584E">
      <w:pPr>
        <w:pStyle w:val="260"/>
        <w:bidi w:val="0"/>
        <w:rPr>
          <w:rFonts w:hint="eastAsia"/>
          <w:lang w:eastAsia="zh-CN"/>
        </w:rPr>
      </w:pPr>
    </w:p>
    <w:p w14:paraId="77E77230">
      <w:pPr>
        <w:pStyle w:val="258"/>
        <w:ind w:firstLine="420"/>
        <w:rPr>
          <w:rFonts w:ascii="黑体" w:eastAsia="黑体"/>
        </w:rPr>
      </w:pPr>
      <w:r>
        <w:rPr>
          <w:rFonts w:hint="eastAsia" w:ascii="黑体" w:eastAsia="黑体"/>
        </w:rPr>
        <w:t>网络安全 network security</w:t>
      </w:r>
    </w:p>
    <w:p w14:paraId="7B9B9C76">
      <w:pPr>
        <w:pStyle w:val="258"/>
        <w:rPr>
          <w:rFonts w:hint="eastAsia" w:hAnsi="宋体"/>
          <w:lang w:eastAsia="zh-CN"/>
        </w:rPr>
      </w:pPr>
      <w:r>
        <w:rPr>
          <w:rFonts w:hint="eastAsia" w:hAnsi="宋体"/>
        </w:rPr>
        <w:t>通过采取必要措施，防范对网络的攻击、侵入、干扰、破坏和非法使用以及意外事故，使网络处于稳定可靠运行的状态,以及保障网络数据的完整性、保密性、可用性的能力</w:t>
      </w:r>
      <w:r>
        <w:rPr>
          <w:rFonts w:hint="eastAsia" w:hAnsi="宋体"/>
          <w:lang w:eastAsia="zh-CN"/>
        </w:rPr>
        <w:t>。</w:t>
      </w:r>
    </w:p>
    <w:p w14:paraId="75420E53">
      <w:pPr>
        <w:pStyle w:val="260"/>
        <w:bidi w:val="0"/>
        <w:rPr>
          <w:rFonts w:hint="eastAsia"/>
          <w:lang w:eastAsia="zh-CN"/>
        </w:rPr>
      </w:pPr>
    </w:p>
    <w:p w14:paraId="6F02ECFE">
      <w:pPr>
        <w:pStyle w:val="258"/>
        <w:ind w:firstLine="420"/>
        <w:rPr>
          <w:rFonts w:ascii="黑体" w:eastAsia="黑体"/>
        </w:rPr>
      </w:pPr>
      <w:r>
        <w:rPr>
          <w:rFonts w:hint="eastAsia" w:ascii="黑体" w:eastAsia="黑体"/>
        </w:rPr>
        <w:t>网络安全等级保护 Internet security of classified protection</w:t>
      </w:r>
    </w:p>
    <w:p w14:paraId="223D9050">
      <w:pPr>
        <w:pStyle w:val="258"/>
        <w:rPr>
          <w:rFonts w:hint="eastAsia" w:hAnsi="宋体"/>
          <w:lang w:eastAsia="zh-CN"/>
        </w:rPr>
      </w:pPr>
      <w:r>
        <w:rPr>
          <w:rFonts w:hint="eastAsia" w:hAnsi="宋体"/>
        </w:rPr>
        <w:t>根据网络安全的程度进行等级划分，对网络产品或系统分等级进行保护和管理，对网络信息安全事件分等级响应和处理</w:t>
      </w:r>
      <w:r>
        <w:rPr>
          <w:rFonts w:hint="eastAsia" w:hAnsi="宋体"/>
          <w:lang w:eastAsia="zh-CN"/>
        </w:rPr>
        <w:t>。</w:t>
      </w:r>
    </w:p>
    <w:p w14:paraId="36BD3869">
      <w:pPr>
        <w:pStyle w:val="259"/>
        <w:bidi w:val="0"/>
        <w:rPr>
          <w:rFonts w:hint="eastAsia"/>
          <w:lang w:eastAsia="zh-CN"/>
        </w:rPr>
      </w:pPr>
      <w:bookmarkStart w:id="13" w:name="_Toc30693"/>
      <w:bookmarkStart w:id="14" w:name="_Toc193232856"/>
      <w:bookmarkStart w:id="15" w:name="_Toc7261"/>
      <w:r>
        <w:rPr>
          <w:rFonts w:hint="eastAsia"/>
        </w:rPr>
        <w:t>照明供配电</w:t>
      </w:r>
      <w:bookmarkEnd w:id="13"/>
      <w:bookmarkEnd w:id="14"/>
      <w:bookmarkEnd w:id="15"/>
    </w:p>
    <w:p w14:paraId="4C910FC7">
      <w:pPr>
        <w:pStyle w:val="330"/>
        <w:bidi w:val="0"/>
        <w:rPr>
          <w:rFonts w:hint="eastAsia"/>
          <w:lang w:eastAsia="zh-CN"/>
        </w:rPr>
      </w:pPr>
      <w:r>
        <w:rPr>
          <w:rFonts w:hint="eastAsia" w:ascii="宋体" w:hAnsi="宋体" w:eastAsia="宋体"/>
        </w:rPr>
        <w:t>照明供配电应</w:t>
      </w:r>
      <w:r>
        <w:rPr>
          <w:rFonts w:hint="eastAsia"/>
        </w:rPr>
        <w:t>符合</w:t>
      </w:r>
      <w:r>
        <w:rPr>
          <w:rFonts w:ascii="宋体" w:hAnsi="宋体" w:eastAsia="宋体"/>
        </w:rPr>
        <w:t xml:space="preserve">GB 55024 </w:t>
      </w:r>
      <w:r>
        <w:rPr>
          <w:rFonts w:hint="eastAsia" w:ascii="宋体" w:hAnsi="宋体" w:eastAsia="宋体"/>
        </w:rPr>
        <w:t>、GB 50054的要求</w:t>
      </w:r>
      <w:r>
        <w:rPr>
          <w:rFonts w:hint="eastAsia" w:ascii="宋体" w:hAnsi="宋体" w:eastAsia="宋体"/>
          <w:lang w:eastAsia="zh-CN"/>
        </w:rPr>
        <w:t>。</w:t>
      </w:r>
    </w:p>
    <w:p w14:paraId="592C1CAB">
      <w:pPr>
        <w:pStyle w:val="330"/>
        <w:bidi w:val="0"/>
        <w:rPr>
          <w:rFonts w:hint="eastAsia"/>
          <w:lang w:eastAsia="zh-CN"/>
        </w:rPr>
      </w:pPr>
      <w:r>
        <w:rPr>
          <w:rFonts w:hint="eastAsia" w:ascii="宋体" w:hAnsi="宋体" w:eastAsia="宋体"/>
        </w:rPr>
        <w:t>照明照明设备额定电压应与供配电系统的标称电压一致</w:t>
      </w:r>
      <w:r>
        <w:rPr>
          <w:rFonts w:hint="eastAsia" w:ascii="宋体" w:hAnsi="宋体" w:eastAsia="宋体"/>
          <w:lang w:eastAsia="zh-CN"/>
        </w:rPr>
        <w:t>。</w:t>
      </w:r>
    </w:p>
    <w:p w14:paraId="62059B78">
      <w:pPr>
        <w:pStyle w:val="330"/>
        <w:bidi w:val="0"/>
        <w:rPr>
          <w:rFonts w:hint="eastAsia"/>
          <w:lang w:eastAsia="zh-CN"/>
        </w:rPr>
      </w:pPr>
      <w:r>
        <w:rPr>
          <w:rFonts w:hint="eastAsia"/>
        </w:rPr>
        <w:t>I类照明设备安装在2.5m及以下人能触及的场所时，宜采用供电电压不大于交流50V、直流120V的特低电压供电；当供电电压大于交流50V、直流120V时，应采用</w:t>
      </w:r>
      <w:r>
        <w:rPr>
          <w:rFonts w:hint="eastAsia" w:ascii="宋体" w:hAnsi="宋体" w:eastAsia="宋体"/>
        </w:rPr>
        <w:t>额定剩余动作电流不大于30mA的</w:t>
      </w:r>
      <w:r>
        <w:rPr>
          <w:rFonts w:hint="eastAsia"/>
        </w:rPr>
        <w:t>剩余电流动作保护电器作附加防护</w:t>
      </w:r>
      <w:r>
        <w:rPr>
          <w:rFonts w:hint="eastAsia"/>
          <w:lang w:eastAsia="zh-CN"/>
        </w:rPr>
        <w:t>。</w:t>
      </w:r>
    </w:p>
    <w:p w14:paraId="1A907712">
      <w:pPr>
        <w:pStyle w:val="330"/>
        <w:bidi w:val="0"/>
        <w:rPr>
          <w:rFonts w:hint="eastAsia"/>
          <w:lang w:eastAsia="zh-CN"/>
        </w:rPr>
      </w:pPr>
      <w:r>
        <w:rPr>
          <w:rFonts w:hint="eastAsia" w:ascii="宋体" w:hAnsi="宋体" w:eastAsia="宋体"/>
        </w:rPr>
        <w:t>安装在建筑幕墙上的灯具，宜采用供电电压</w:t>
      </w:r>
      <w:bookmarkStart w:id="16" w:name="OLE_LINK3"/>
      <w:bookmarkStart w:id="17" w:name="OLE_LINK4"/>
      <w:r>
        <w:rPr>
          <w:rFonts w:hint="eastAsia" w:ascii="宋体" w:hAnsi="宋体" w:eastAsia="宋体"/>
        </w:rPr>
        <w:t>不大于交流</w:t>
      </w:r>
      <w:r>
        <w:rPr>
          <w:rFonts w:ascii="宋体" w:hAnsi="宋体" w:eastAsia="宋体"/>
        </w:rPr>
        <w:t>25</w:t>
      </w:r>
      <w:r>
        <w:rPr>
          <w:rFonts w:hint="eastAsia" w:ascii="宋体" w:hAnsi="宋体" w:eastAsia="宋体"/>
        </w:rPr>
        <w:t>V、直流</w:t>
      </w:r>
      <w:r>
        <w:rPr>
          <w:rFonts w:ascii="宋体" w:hAnsi="宋体" w:eastAsia="宋体"/>
        </w:rPr>
        <w:t>6</w:t>
      </w:r>
      <w:r>
        <w:rPr>
          <w:rFonts w:hint="eastAsia" w:ascii="宋体" w:hAnsi="宋体" w:eastAsia="宋体"/>
        </w:rPr>
        <w:t>0V的特低电压供电，</w:t>
      </w:r>
      <w:r>
        <w:rPr>
          <w:rFonts w:hint="eastAsia"/>
        </w:rPr>
        <w:t>在2.5m以上的</w:t>
      </w:r>
      <w:r>
        <w:rPr>
          <w:rFonts w:hint="eastAsia" w:ascii="宋体" w:hAnsi="宋体" w:eastAsia="宋体"/>
        </w:rPr>
        <w:t>建筑幕墙上的灯具，</w:t>
      </w:r>
      <w:bookmarkEnd w:id="16"/>
      <w:bookmarkEnd w:id="17"/>
      <w:r>
        <w:rPr>
          <w:rFonts w:hint="eastAsia" w:ascii="宋体" w:hAnsi="宋体" w:eastAsia="宋体"/>
        </w:rPr>
        <w:t>可采用供电电压不大于交流</w:t>
      </w:r>
      <w:r>
        <w:rPr>
          <w:rFonts w:ascii="宋体" w:hAnsi="宋体" w:eastAsia="宋体"/>
        </w:rPr>
        <w:t>50</w:t>
      </w:r>
      <w:r>
        <w:rPr>
          <w:rFonts w:hint="eastAsia" w:ascii="宋体" w:hAnsi="宋体" w:eastAsia="宋体"/>
        </w:rPr>
        <w:t>V、直流</w:t>
      </w:r>
      <w:r>
        <w:rPr>
          <w:rFonts w:ascii="宋体" w:hAnsi="宋体" w:eastAsia="宋体"/>
        </w:rPr>
        <w:t>12</w:t>
      </w:r>
      <w:r>
        <w:rPr>
          <w:rFonts w:hint="eastAsia" w:ascii="宋体" w:hAnsi="宋体" w:eastAsia="宋体"/>
        </w:rPr>
        <w:t>0V的特低电压供电</w:t>
      </w:r>
      <w:r>
        <w:rPr>
          <w:rFonts w:hint="eastAsia" w:ascii="宋体" w:hAnsi="宋体" w:eastAsia="宋体"/>
          <w:lang w:eastAsia="zh-CN"/>
        </w:rPr>
        <w:t>。</w:t>
      </w:r>
    </w:p>
    <w:p w14:paraId="3A05E35F">
      <w:pPr>
        <w:pStyle w:val="330"/>
        <w:bidi w:val="0"/>
        <w:rPr>
          <w:rFonts w:hint="eastAsia"/>
          <w:lang w:eastAsia="zh-CN"/>
        </w:rPr>
      </w:pPr>
      <w:r>
        <w:rPr>
          <w:rFonts w:hint="eastAsia"/>
        </w:rPr>
        <w:t>照明设备安装在能够进人的水下时，照明设备</w:t>
      </w:r>
      <w:r>
        <w:rPr>
          <w:rFonts w:hint="eastAsia" w:ascii="宋体" w:hAnsi="宋体" w:eastAsia="宋体"/>
        </w:rPr>
        <w:t>供电</w:t>
      </w:r>
      <w:r>
        <w:rPr>
          <w:rFonts w:hint="eastAsia"/>
        </w:rPr>
        <w:t>应</w:t>
      </w:r>
      <w:r>
        <w:rPr>
          <w:rFonts w:hint="eastAsia" w:ascii="宋体" w:hAnsi="宋体" w:eastAsia="宋体"/>
        </w:rPr>
        <w:t>按照戏水池的防电击要求执行</w:t>
      </w:r>
      <w:r>
        <w:rPr>
          <w:rFonts w:hint="eastAsia" w:ascii="宋体" w:hAnsi="宋体" w:eastAsia="宋体"/>
          <w:lang w:eastAsia="zh-CN"/>
        </w:rPr>
        <w:t>。</w:t>
      </w:r>
    </w:p>
    <w:p w14:paraId="6E4512DD">
      <w:pPr>
        <w:pStyle w:val="330"/>
        <w:bidi w:val="0"/>
        <w:rPr>
          <w:rFonts w:hint="eastAsia"/>
          <w:lang w:eastAsia="zh-CN"/>
        </w:rPr>
      </w:pPr>
      <w:r>
        <w:rPr>
          <w:rFonts w:hint="eastAsia" w:ascii="宋体" w:hAnsi="宋体" w:eastAsia="宋体"/>
        </w:rPr>
        <w:t>人员能触及的I类照明设备</w:t>
      </w:r>
      <w:r>
        <w:rPr>
          <w:rFonts w:hint="eastAsia"/>
        </w:rPr>
        <w:t>终端回路应装设短路保护、过负荷保护和接地故障保护，室外照明配电终端回路还应设置剩余电流动作保护电器作为附加防护</w:t>
      </w:r>
      <w:r>
        <w:rPr>
          <w:rFonts w:hint="eastAsia"/>
          <w:lang w:eastAsia="zh-CN"/>
        </w:rPr>
        <w:t>，</w:t>
      </w:r>
    </w:p>
    <w:p w14:paraId="11552DAF">
      <w:pPr>
        <w:pStyle w:val="330"/>
      </w:pPr>
      <w:r>
        <w:rPr>
          <w:rFonts w:ascii="宋体" w:hAnsi="宋体" w:eastAsia="宋体"/>
        </w:rPr>
        <w:t>1</w:t>
      </w:r>
      <w:r>
        <w:rPr>
          <w:rFonts w:hint="eastAsia" w:ascii="宋体" w:hAnsi="宋体" w:eastAsia="宋体"/>
        </w:rPr>
        <w:t>50W及以上的照明装置宜在每个灯具配电分支处单独设置短路保护，人员能触及灯具或金属灯杆时，还应设置额定剩余动作电流不大于30mA的剩余电流动作保护电器作附加防护。</w:t>
      </w:r>
    </w:p>
    <w:p w14:paraId="74C75BBE">
      <w:pPr>
        <w:pStyle w:val="330"/>
        <w:bidi w:val="0"/>
        <w:rPr>
          <w:rFonts w:hint="eastAsia"/>
          <w:lang w:eastAsia="zh-CN"/>
        </w:rPr>
      </w:pPr>
      <w:r>
        <w:rPr>
          <w:rFonts w:hint="eastAsia" w:ascii="宋体" w:hAnsi="宋体" w:eastAsia="宋体"/>
        </w:rPr>
        <w:t>浸在水中工作的灯具，当露出水面会出现安全故障时，其配电回路应采取低水位断电保护措施</w:t>
      </w:r>
      <w:r>
        <w:rPr>
          <w:rFonts w:hint="eastAsia"/>
          <w:lang w:eastAsia="zh-CN"/>
        </w:rPr>
        <w:t>。</w:t>
      </w:r>
    </w:p>
    <w:p w14:paraId="66279A74">
      <w:pPr>
        <w:pStyle w:val="330"/>
        <w:bidi w:val="0"/>
        <w:rPr>
          <w:rFonts w:hint="eastAsia"/>
          <w:lang w:eastAsia="zh-CN"/>
        </w:rPr>
      </w:pPr>
      <w:r>
        <w:rPr>
          <w:rFonts w:hint="eastAsia" w:ascii="宋体" w:hAnsi="宋体" w:eastAsia="宋体"/>
        </w:rPr>
        <w:t>景观照明线缆应选用铜芯电缆或电线，绝缘类型应按敷设方式及环境条件选择，绝缘特性应符合工作电压的要求</w:t>
      </w:r>
      <w:r>
        <w:rPr>
          <w:rFonts w:hint="eastAsia" w:ascii="宋体" w:hAnsi="宋体" w:eastAsia="宋体"/>
          <w:lang w:eastAsia="zh-CN"/>
        </w:rPr>
        <w:t>。</w:t>
      </w:r>
    </w:p>
    <w:p w14:paraId="37FCA139">
      <w:pPr>
        <w:pStyle w:val="330"/>
        <w:bidi w:val="0"/>
        <w:rPr>
          <w:rFonts w:hint="eastAsia"/>
          <w:lang w:eastAsia="zh-CN"/>
        </w:rPr>
      </w:pPr>
      <w:r>
        <w:rPr>
          <w:rFonts w:hint="eastAsia" w:ascii="宋体" w:hAnsi="宋体" w:eastAsia="宋体"/>
          <w:color w:val="000000"/>
        </w:rPr>
        <w:t>应考虑谐波对电网的骚扰，当不能确定是否采取谐波治理措施时，宜预留设置滤波器的空间</w:t>
      </w:r>
      <w:r>
        <w:rPr>
          <w:rFonts w:hint="eastAsia" w:ascii="宋体" w:hAnsi="宋体" w:eastAsia="宋体"/>
          <w:color w:val="000000"/>
          <w:lang w:eastAsia="zh-CN"/>
        </w:rPr>
        <w:t>。</w:t>
      </w:r>
    </w:p>
    <w:p w14:paraId="1E3C037F">
      <w:pPr>
        <w:pStyle w:val="330"/>
        <w:bidi w:val="0"/>
        <w:rPr>
          <w:rFonts w:hint="eastAsia"/>
          <w:lang w:eastAsia="zh-CN"/>
        </w:rPr>
      </w:pPr>
      <w:r>
        <w:rPr>
          <w:rFonts w:hint="eastAsia" w:ascii="宋体" w:hAnsi="宋体" w:eastAsia="宋体"/>
        </w:rPr>
        <w:t>照明控制采用自动控制方式时，应具备手动控制功能</w:t>
      </w:r>
      <w:r>
        <w:rPr>
          <w:rFonts w:hint="eastAsia" w:ascii="宋体" w:hAnsi="宋体" w:eastAsia="宋体"/>
          <w:lang w:eastAsia="zh-CN"/>
        </w:rPr>
        <w:t>。</w:t>
      </w:r>
    </w:p>
    <w:p w14:paraId="6E84ABCA">
      <w:pPr>
        <w:pStyle w:val="259"/>
        <w:bidi w:val="0"/>
        <w:rPr>
          <w:rFonts w:hint="eastAsia"/>
          <w:lang w:eastAsia="zh-CN"/>
        </w:rPr>
      </w:pPr>
      <w:bookmarkStart w:id="18" w:name="_Toc231199248"/>
      <w:bookmarkStart w:id="19" w:name="_Toc170841241"/>
      <w:bookmarkStart w:id="20" w:name="_Toc20689"/>
      <w:bookmarkStart w:id="21" w:name="_Toc24094"/>
      <w:bookmarkStart w:id="22" w:name="_Toc231199090"/>
      <w:bookmarkStart w:id="23" w:name="_Toc231199278"/>
      <w:bookmarkStart w:id="24" w:name="_Toc197324744"/>
      <w:bookmarkStart w:id="25" w:name="_Toc231972990"/>
      <w:bookmarkStart w:id="26" w:name="_Toc4348"/>
      <w:bookmarkStart w:id="27" w:name="_Toc165653553"/>
      <w:bookmarkStart w:id="28" w:name="_Toc231969117"/>
      <w:bookmarkStart w:id="29" w:name="_Toc397082316"/>
      <w:bookmarkStart w:id="30" w:name="_Toc193232857"/>
      <w:bookmarkStart w:id="31" w:name="_Toc231199148"/>
      <w:bookmarkStart w:id="32" w:name="_Toc30239"/>
      <w:r>
        <w:rPr>
          <w:rFonts w:hint="eastAsia" w:hAnsi="宋体"/>
          <w:szCs w:val="21"/>
        </w:rPr>
        <w:t>防雷、接地</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380A7A13">
      <w:pPr>
        <w:pStyle w:val="260"/>
        <w:bidi w:val="0"/>
        <w:rPr>
          <w:rFonts w:hint="eastAsia"/>
          <w:lang w:eastAsia="zh-CN"/>
        </w:rPr>
      </w:pPr>
      <w:r>
        <w:rPr>
          <w:rFonts w:hint="eastAsia" w:hAnsi="宋体"/>
        </w:rPr>
        <w:t>接地系统的选择</w:t>
      </w:r>
    </w:p>
    <w:p w14:paraId="25F4C7CF">
      <w:pPr>
        <w:pStyle w:val="326"/>
        <w:bidi w:val="0"/>
        <w:rPr>
          <w:rFonts w:hint="eastAsia"/>
          <w:lang w:eastAsia="zh-CN"/>
        </w:rPr>
      </w:pPr>
      <w:r>
        <w:rPr>
          <w:rFonts w:hint="eastAsia" w:ascii="宋体" w:hAnsi="宋体" w:eastAsia="宋体"/>
        </w:rPr>
        <w:t>安装于建筑物本体上，并直接由该建筑物内部电源供电的景观照明装置，配电系统的接地型式应与该建筑物内配电系统的接地型式一致</w:t>
      </w:r>
      <w:r>
        <w:rPr>
          <w:rFonts w:hint="eastAsia" w:ascii="宋体" w:hAnsi="宋体" w:eastAsia="宋体"/>
          <w:lang w:eastAsia="zh-CN"/>
        </w:rPr>
        <w:t>。</w:t>
      </w:r>
    </w:p>
    <w:p w14:paraId="5B51CA6A">
      <w:pPr>
        <w:pStyle w:val="326"/>
        <w:bidi w:val="0"/>
        <w:rPr>
          <w:rFonts w:hint="eastAsia"/>
          <w:lang w:eastAsia="zh-CN"/>
        </w:rPr>
      </w:pPr>
      <w:r>
        <w:rPr>
          <w:rFonts w:hint="eastAsia" w:ascii="宋体" w:hAnsi="宋体" w:eastAsia="宋体"/>
        </w:rPr>
        <w:t>室外景观照明装置由建筑物内引出供电电源时，距建筑外墙 20m 以内的设施应与室内配电系统的接地型式相一致；距建筑物外墙 20m 以外的配电回路宜采用 TT系统</w:t>
      </w:r>
      <w:r>
        <w:rPr>
          <w:rFonts w:hint="eastAsia" w:ascii="宋体" w:hAnsi="宋体" w:eastAsia="宋体"/>
          <w:lang w:eastAsia="zh-CN"/>
        </w:rPr>
        <w:t>。</w:t>
      </w:r>
    </w:p>
    <w:p w14:paraId="1173F2D0">
      <w:pPr>
        <w:pStyle w:val="326"/>
        <w:bidi w:val="0"/>
        <w:rPr>
          <w:rFonts w:hint="eastAsia"/>
          <w:lang w:eastAsia="zh-CN"/>
        </w:rPr>
      </w:pPr>
      <w:r>
        <w:rPr>
          <w:rFonts w:hint="eastAsia" w:ascii="宋体" w:hAnsi="宋体" w:eastAsia="宋体"/>
        </w:rPr>
        <w:t>安装于桥梁上的照明设备，配电系统的接地型式宜采用TN-S系统，并宜作等电位联结（</w:t>
      </w:r>
      <w:r>
        <w:rPr>
          <w:rFonts w:hint="eastAsia" w:ascii="宋体" w:hAnsi="宋体" w:eastAsia="宋体"/>
          <w:lang w:val="en-US" w:eastAsia="zh-CN"/>
        </w:rPr>
        <w:t>参</w:t>
      </w:r>
      <w:r>
        <w:rPr>
          <w:rFonts w:hint="eastAsia" w:ascii="宋体" w:hAnsi="宋体" w:eastAsia="宋体"/>
        </w:rPr>
        <w:t>见附录</w:t>
      </w:r>
      <w:r>
        <w:rPr>
          <w:rFonts w:ascii="宋体" w:hAnsi="宋体" w:eastAsia="宋体"/>
        </w:rPr>
        <w:t>A</w:t>
      </w:r>
      <w:r>
        <w:rPr>
          <w:rFonts w:hint="eastAsia" w:ascii="宋体" w:hAnsi="宋体" w:eastAsia="宋体"/>
        </w:rPr>
        <w:t>）</w:t>
      </w:r>
      <w:r>
        <w:rPr>
          <w:rFonts w:hint="eastAsia" w:ascii="宋体" w:hAnsi="宋体" w:eastAsia="宋体"/>
          <w:lang w:eastAsia="zh-CN"/>
        </w:rPr>
        <w:t>。</w:t>
      </w:r>
    </w:p>
    <w:p w14:paraId="67E8889D">
      <w:pPr>
        <w:pStyle w:val="326"/>
        <w:bidi w:val="0"/>
        <w:rPr>
          <w:rFonts w:hint="eastAsia"/>
          <w:lang w:eastAsia="zh-CN"/>
        </w:rPr>
      </w:pPr>
      <w:r>
        <w:rPr>
          <w:rFonts w:hint="eastAsia" w:ascii="宋体" w:hAnsi="宋体" w:eastAsia="宋体"/>
        </w:rPr>
        <w:t>道路、广场、公园等照明配电系统的接地型式宜采用TT系统</w:t>
      </w:r>
      <w:r>
        <w:rPr>
          <w:rFonts w:hint="eastAsia" w:ascii="宋体" w:hAnsi="宋体" w:eastAsia="宋体"/>
          <w:lang w:eastAsia="zh-CN"/>
        </w:rPr>
        <w:t>。</w:t>
      </w:r>
    </w:p>
    <w:p w14:paraId="01B4B23E">
      <w:pPr>
        <w:pStyle w:val="260"/>
        <w:bidi w:val="0"/>
        <w:rPr>
          <w:rFonts w:hint="eastAsia"/>
          <w:lang w:eastAsia="zh-CN"/>
        </w:rPr>
      </w:pPr>
      <w:r>
        <w:rPr>
          <w:rFonts w:hint="eastAsia" w:hAnsi="宋体"/>
        </w:rPr>
        <w:t>接地故障保护</w:t>
      </w:r>
    </w:p>
    <w:p w14:paraId="30F98EDF">
      <w:pPr>
        <w:pStyle w:val="326"/>
        <w:bidi w:val="0"/>
        <w:rPr>
          <w:rFonts w:hint="eastAsia"/>
          <w:lang w:eastAsia="zh-CN"/>
        </w:rPr>
      </w:pPr>
      <w:r>
        <w:rPr>
          <w:rFonts w:hint="eastAsia" w:ascii="宋体" w:hAnsi="宋体" w:eastAsia="宋体"/>
        </w:rPr>
        <w:t>当采用TN-S系统时，室外照明配电应采用剩余电流动作保护电器作附加防护</w:t>
      </w:r>
      <w:r>
        <w:rPr>
          <w:rFonts w:hint="eastAsia" w:ascii="宋体" w:hAnsi="宋体" w:eastAsia="宋体"/>
          <w:lang w:eastAsia="zh-CN"/>
        </w:rPr>
        <w:t>。</w:t>
      </w:r>
    </w:p>
    <w:p w14:paraId="7599F2B3">
      <w:pPr>
        <w:pStyle w:val="326"/>
        <w:bidi w:val="0"/>
        <w:rPr>
          <w:rFonts w:hint="eastAsia"/>
          <w:lang w:eastAsia="zh-CN"/>
        </w:rPr>
      </w:pPr>
      <w:r>
        <w:rPr>
          <w:rFonts w:hint="eastAsia" w:ascii="宋体" w:hAnsi="宋体" w:eastAsia="宋体"/>
        </w:rPr>
        <w:t>当采用TT系统时，室外照明配电应采用多级剩余电流动作保护电器作线路保护，上下级剩余电流动作保护电器应具有选择性。剩余电流动作保护电器额定动作电流不宜小于该段线路正常运行时最大泄漏电流的 （2.0～2.5 ）倍</w:t>
      </w:r>
      <w:r>
        <w:rPr>
          <w:rFonts w:hint="eastAsia" w:ascii="宋体" w:hAnsi="宋体" w:eastAsia="宋体"/>
          <w:lang w:eastAsia="zh-CN"/>
        </w:rPr>
        <w:t>。</w:t>
      </w:r>
    </w:p>
    <w:p w14:paraId="1E20C92C">
      <w:pPr>
        <w:pStyle w:val="326"/>
        <w:bidi w:val="0"/>
        <w:rPr>
          <w:rFonts w:hint="eastAsia"/>
          <w:lang w:eastAsia="zh-CN"/>
        </w:rPr>
      </w:pPr>
      <w:r>
        <w:rPr>
          <w:rFonts w:hint="eastAsia" w:ascii="宋体" w:hAnsi="宋体" w:eastAsia="宋体"/>
        </w:rPr>
        <w:t>建筑物本体上安装的灯具，其电源总进线宜采用</w:t>
      </w:r>
      <w:r>
        <w:rPr>
          <w:rFonts w:ascii="宋体" w:hAnsi="宋体" w:eastAsia="宋体"/>
        </w:rPr>
        <w:t>3</w:t>
      </w:r>
      <w:r>
        <w:rPr>
          <w:rFonts w:hint="eastAsia" w:ascii="宋体" w:hAnsi="宋体" w:eastAsia="宋体"/>
        </w:rPr>
        <w:t>0</w:t>
      </w:r>
      <w:r>
        <w:rPr>
          <w:rFonts w:ascii="宋体" w:hAnsi="宋体" w:eastAsia="宋体"/>
        </w:rPr>
        <w:t>0</w:t>
      </w:r>
      <w:r>
        <w:rPr>
          <w:rFonts w:hint="eastAsia" w:ascii="宋体" w:hAnsi="宋体" w:eastAsia="宋体"/>
        </w:rPr>
        <w:t>mA或5</w:t>
      </w:r>
      <w:r>
        <w:rPr>
          <w:rFonts w:ascii="宋体" w:hAnsi="宋体" w:eastAsia="宋体"/>
        </w:rPr>
        <w:t>00</w:t>
      </w:r>
      <w:r>
        <w:rPr>
          <w:rFonts w:hint="eastAsia" w:ascii="宋体" w:hAnsi="宋体" w:eastAsia="宋体"/>
        </w:rPr>
        <w:t>mA延时型剩余电流动作保护电器作防火保护（参见附录</w:t>
      </w:r>
      <w:r>
        <w:rPr>
          <w:rFonts w:ascii="宋体" w:hAnsi="宋体" w:eastAsia="宋体"/>
        </w:rPr>
        <w:t>B</w:t>
      </w:r>
      <w:r>
        <w:rPr>
          <w:rFonts w:hint="eastAsia" w:ascii="宋体" w:hAnsi="宋体" w:eastAsia="宋体"/>
        </w:rPr>
        <w:t>）</w:t>
      </w:r>
      <w:r>
        <w:rPr>
          <w:rFonts w:hint="eastAsia" w:ascii="宋体" w:hAnsi="宋体" w:eastAsia="宋体"/>
          <w:lang w:eastAsia="zh-CN"/>
        </w:rPr>
        <w:t>。</w:t>
      </w:r>
    </w:p>
    <w:p w14:paraId="1BA124A1">
      <w:pPr>
        <w:pStyle w:val="326"/>
      </w:pPr>
      <w:r>
        <w:rPr>
          <w:rFonts w:hint="eastAsia" w:ascii="宋体" w:hAnsi="宋体" w:eastAsia="宋体"/>
        </w:rPr>
        <w:t>当采用TN-S系统时，宜作等电位联结，并应与建筑物或构筑物共用接地装置；当采用TT接地系统时，接地电阻值应符合式（1）的要求</w:t>
      </w:r>
      <w:r>
        <w:rPr>
          <w:rFonts w:hint="eastAsia" w:ascii="宋体" w:hAnsi="宋体" w:eastAsia="宋体"/>
          <w:lang w:eastAsia="zh-CN"/>
        </w:rPr>
        <w:t>：</w:t>
      </w:r>
      <w:r>
        <w:t xml:space="preserve"> </w:t>
      </w:r>
    </w:p>
    <w:p w14:paraId="42C9A885">
      <w:pPr>
        <w:pStyle w:val="326"/>
        <w:numPr>
          <w:ilvl w:val="0"/>
          <w:numId w:val="0"/>
        </w:numPr>
        <w:jc w:val="right"/>
        <w:rPr>
          <w:rFonts w:ascii="宋体" w:hAnsi="宋体" w:eastAsia="宋体"/>
        </w:rPr>
      </w:pPr>
      <w:bookmarkStart w:id="33" w:name="OLE_LINK2"/>
      <w:bookmarkStart w:id="34" w:name="OLE_LINK1"/>
      <w:r>
        <w:rPr>
          <w:rFonts w:hint="eastAsia" w:ascii="宋体" w:hAnsi="宋体" w:eastAsia="宋体"/>
        </w:rPr>
        <w:t>I</w:t>
      </w:r>
      <w:r>
        <w:rPr>
          <w:rFonts w:hint="eastAsia" w:ascii="宋体" w:hAnsi="宋体" w:eastAsia="宋体"/>
          <w:vertAlign w:val="subscript"/>
        </w:rPr>
        <w:t>△</w:t>
      </w:r>
      <w:r>
        <w:rPr>
          <w:rFonts w:ascii="宋体" w:hAnsi="宋体" w:eastAsia="宋体"/>
          <w:vertAlign w:val="subscript"/>
        </w:rPr>
        <w:t>n</w:t>
      </w:r>
      <w:bookmarkEnd w:id="33"/>
      <w:bookmarkEnd w:id="34"/>
      <w:r>
        <w:rPr>
          <w:rFonts w:hint="eastAsia" w:ascii="宋体" w:hAnsi="宋体" w:eastAsia="宋体"/>
        </w:rPr>
        <w:t>×R</w:t>
      </w:r>
      <w:r>
        <w:rPr>
          <w:rFonts w:hint="eastAsia" w:ascii="宋体" w:hAnsi="宋体" w:eastAsia="宋体"/>
          <w:vertAlign w:val="subscript"/>
        </w:rPr>
        <w:t>A</w:t>
      </w:r>
      <w:r>
        <w:rPr>
          <w:rFonts w:hint="eastAsia" w:ascii="宋体" w:hAnsi="宋体" w:eastAsia="宋体"/>
        </w:rPr>
        <w:t>≤50V</w:t>
      </w:r>
      <w:r>
        <w:rPr>
          <w:rFonts w:ascii="宋体" w:hAnsi="宋体" w:eastAsia="宋体"/>
        </w:rPr>
        <w:t xml:space="preserve"> </w:t>
      </w:r>
      <w:r>
        <w:rPr>
          <w:rFonts w:hint="eastAsia" w:ascii="宋体" w:hAnsi="宋体" w:eastAsia="宋体"/>
          <w:lang w:eastAsia="zh-CN"/>
        </w:rPr>
        <w:t>…………………………………………………</w:t>
      </w:r>
      <w:r>
        <w:rPr>
          <w:rFonts w:hint="eastAsia" w:ascii="宋体" w:hAnsi="宋体" w:eastAsia="宋体"/>
        </w:rPr>
        <w:t>（1）</w:t>
      </w:r>
    </w:p>
    <w:p w14:paraId="5F08AED9">
      <w:pPr>
        <w:pStyle w:val="326"/>
        <w:numPr>
          <w:ilvl w:val="2"/>
          <w:numId w:val="0"/>
        </w:numPr>
        <w:ind w:firstLine="420" w:firstLineChars="200"/>
        <w:rPr>
          <w:rFonts w:ascii="宋体" w:hAnsi="宋体" w:eastAsia="宋体"/>
        </w:rPr>
      </w:pPr>
      <w:r>
        <w:rPr>
          <w:rFonts w:hint="eastAsia" w:ascii="宋体" w:hAnsi="宋体" w:eastAsia="宋体"/>
        </w:rPr>
        <w:t>式中：</w:t>
      </w:r>
    </w:p>
    <w:p w14:paraId="5B5F66F8">
      <w:pPr>
        <w:pStyle w:val="285"/>
        <w:numPr>
          <w:numId w:val="0"/>
        </w:numPr>
        <w:ind w:left="420" w:leftChars="0"/>
        <w:rPr>
          <w:rFonts w:hint="eastAsia"/>
        </w:rPr>
      </w:pPr>
      <w:r>
        <w:rPr>
          <w:rFonts w:hint="eastAsia"/>
        </w:rPr>
        <w:t>R</w:t>
      </w:r>
      <w:r>
        <w:rPr>
          <w:rFonts w:hint="eastAsia"/>
          <w:vertAlign w:val="subscript"/>
        </w:rPr>
        <w:t>A</w:t>
      </w:r>
      <w:r>
        <w:rPr>
          <w:rFonts w:hint="eastAsia"/>
          <w:vertAlign w:val="subscript"/>
          <w:lang w:val="en-US" w:eastAsia="zh-CN"/>
        </w:rPr>
        <w:t xml:space="preserve">    </w:t>
      </w:r>
      <w:r>
        <w:rPr>
          <w:rFonts w:hint="eastAsia"/>
          <w:lang w:eastAsia="zh-CN"/>
        </w:rPr>
        <w:t>——</w:t>
      </w:r>
      <w:r>
        <w:rPr>
          <w:rFonts w:hint="eastAsia"/>
        </w:rPr>
        <w:t>外露可导电部分的接地极和保护接地导体的电阻之和，单位为欧姆(Ω)；</w:t>
      </w:r>
    </w:p>
    <w:p w14:paraId="1B62D82B">
      <w:pPr>
        <w:pStyle w:val="258"/>
        <w:tabs>
          <w:tab w:val="center" w:pos="4201"/>
          <w:tab w:val="right" w:leader="dot" w:pos="9298"/>
        </w:tabs>
        <w:rPr>
          <w:rFonts w:hint="eastAsia" w:hAnsi="宋体"/>
          <w:lang w:eastAsia="zh-CN"/>
        </w:rPr>
      </w:pPr>
      <w:r>
        <w:rPr>
          <w:rFonts w:hint="eastAsia" w:hAnsi="宋体"/>
          <w:u w:val="single"/>
        </w:rPr>
        <w:t>I</w:t>
      </w:r>
      <w:r>
        <w:rPr>
          <w:rFonts w:hint="eastAsia" w:hAnsi="宋体"/>
          <w:u w:val="single"/>
          <w:vertAlign w:val="subscript"/>
        </w:rPr>
        <w:t>△</w:t>
      </w:r>
      <w:r>
        <w:rPr>
          <w:rFonts w:hAnsi="宋体"/>
          <w:u w:val="single"/>
          <w:vertAlign w:val="subscript"/>
        </w:rPr>
        <w:t>n</w:t>
      </w:r>
      <w:r>
        <w:rPr>
          <w:rFonts w:hint="eastAsia"/>
        </w:rPr>
        <w:t xml:space="preserve"> </w:t>
      </w:r>
      <w:r>
        <w:rPr>
          <w:rFonts w:hint="eastAsia"/>
          <w:lang w:eastAsia="zh-CN"/>
        </w:rPr>
        <w:t>——</w:t>
      </w:r>
      <w:r>
        <w:rPr>
          <w:rFonts w:hint="eastAsia"/>
        </w:rPr>
        <w:t>R</w:t>
      </w:r>
      <w:r>
        <w:t>CD</w:t>
      </w:r>
      <w:r>
        <w:rPr>
          <w:rFonts w:hint="eastAsia"/>
        </w:rPr>
        <w:t>的额定剩余动作电流，单位为安培(A)</w:t>
      </w:r>
      <w:r>
        <w:rPr>
          <w:rFonts w:hint="eastAsia" w:hAnsi="宋体"/>
          <w:lang w:eastAsia="zh-CN"/>
        </w:rPr>
        <w:t>。</w:t>
      </w:r>
    </w:p>
    <w:p w14:paraId="22FAAE35">
      <w:pPr>
        <w:pStyle w:val="326"/>
        <w:bidi w:val="0"/>
        <w:rPr>
          <w:rFonts w:hint="eastAsia"/>
          <w:lang w:eastAsia="zh-CN"/>
        </w:rPr>
      </w:pPr>
      <w:r>
        <w:rPr>
          <w:rFonts w:hint="eastAsia" w:ascii="宋体" w:hAnsi="宋体" w:eastAsia="宋体"/>
        </w:rPr>
        <w:t>安装灯具的金属构架、配电箱外露可导电部分及金属管应可靠接地，且有标识</w:t>
      </w:r>
      <w:r>
        <w:rPr>
          <w:rFonts w:hint="eastAsia" w:ascii="宋体" w:hAnsi="宋体" w:eastAsia="宋体"/>
          <w:lang w:eastAsia="zh-CN"/>
        </w:rPr>
        <w:t>。</w:t>
      </w:r>
    </w:p>
    <w:p w14:paraId="05BC0F3C">
      <w:pPr>
        <w:pStyle w:val="326"/>
        <w:bidi w:val="0"/>
        <w:rPr>
          <w:rFonts w:hint="eastAsia"/>
          <w:lang w:eastAsia="zh-CN"/>
        </w:rPr>
      </w:pPr>
      <w:r>
        <w:rPr>
          <w:rFonts w:hint="eastAsia" w:ascii="宋体" w:hAnsi="宋体" w:eastAsia="宋体"/>
        </w:rPr>
        <w:t>安全特低电压供电应采用安全隔离变压器，其二次侧不应作保护接地</w:t>
      </w:r>
      <w:r>
        <w:rPr>
          <w:rFonts w:hint="eastAsia" w:ascii="宋体" w:hAnsi="宋体" w:eastAsia="宋体"/>
          <w:lang w:eastAsia="zh-CN"/>
        </w:rPr>
        <w:t>。</w:t>
      </w:r>
    </w:p>
    <w:p w14:paraId="2F1A2169">
      <w:pPr>
        <w:pStyle w:val="260"/>
        <w:bidi w:val="0"/>
        <w:rPr>
          <w:rFonts w:hint="eastAsia"/>
          <w:lang w:eastAsia="zh-CN"/>
        </w:rPr>
      </w:pPr>
      <w:r>
        <w:rPr>
          <w:rFonts w:hint="eastAsia"/>
        </w:rPr>
        <w:t>防雷</w:t>
      </w:r>
    </w:p>
    <w:p w14:paraId="531F82C8">
      <w:pPr>
        <w:pStyle w:val="326"/>
        <w:bidi w:val="0"/>
        <w:rPr>
          <w:rFonts w:hint="eastAsia"/>
          <w:lang w:eastAsia="zh-CN"/>
        </w:rPr>
      </w:pPr>
      <w:r>
        <w:rPr>
          <w:rFonts w:hint="eastAsia" w:ascii="宋体" w:hAnsi="宋体" w:eastAsia="宋体"/>
        </w:rPr>
        <w:t>景观照明装置的防雷应符合GB 50057、GB 50343的要求。户外照明配电箱电源进线处应设置I级试验的电涌保护装置（SPD）</w:t>
      </w:r>
      <w:r>
        <w:rPr>
          <w:rFonts w:hint="eastAsia" w:ascii="宋体" w:hAnsi="宋体" w:eastAsia="宋体"/>
          <w:lang w:eastAsia="zh-CN"/>
        </w:rPr>
        <w:t>。</w:t>
      </w:r>
    </w:p>
    <w:p w14:paraId="2EC68186">
      <w:pPr>
        <w:pStyle w:val="326"/>
        <w:bidi w:val="0"/>
        <w:rPr>
          <w:rFonts w:hint="eastAsia"/>
          <w:lang w:eastAsia="zh-CN"/>
        </w:rPr>
      </w:pPr>
      <w:r>
        <w:rPr>
          <w:rFonts w:hint="eastAsia" w:ascii="宋体" w:hAnsi="宋体" w:eastAsia="宋体"/>
        </w:rPr>
        <w:t>建筑上装设的景观照明灯具，应采取防雷措施</w:t>
      </w:r>
      <w:r>
        <w:rPr>
          <w:rFonts w:hint="eastAsia" w:ascii="宋体" w:hAnsi="宋体" w:eastAsia="宋体"/>
          <w:lang w:eastAsia="zh-CN"/>
        </w:rPr>
        <w:t>。</w:t>
      </w:r>
    </w:p>
    <w:p w14:paraId="341F5C33">
      <w:pPr>
        <w:pStyle w:val="259"/>
        <w:bidi w:val="0"/>
        <w:rPr>
          <w:rFonts w:hint="eastAsia"/>
          <w:lang w:eastAsia="zh-CN"/>
        </w:rPr>
      </w:pPr>
      <w:bookmarkStart w:id="35" w:name="_Toc165653554"/>
      <w:bookmarkStart w:id="36" w:name="_Toc15411"/>
      <w:bookmarkStart w:id="37" w:name="_Toc231199279"/>
      <w:bookmarkStart w:id="38" w:name="_Toc7430"/>
      <w:bookmarkStart w:id="39" w:name="_Toc231969118"/>
      <w:bookmarkStart w:id="40" w:name="_Toc29160"/>
      <w:bookmarkStart w:id="41" w:name="_Toc17081"/>
      <w:bookmarkStart w:id="42" w:name="_Toc193232858"/>
      <w:bookmarkStart w:id="43" w:name="_Toc231199249"/>
      <w:bookmarkStart w:id="44" w:name="_Toc231972991"/>
      <w:bookmarkStart w:id="45" w:name="_Toc231199149"/>
      <w:bookmarkStart w:id="46" w:name="_Toc397082317"/>
      <w:bookmarkStart w:id="47" w:name="_Toc170841242"/>
      <w:bookmarkStart w:id="48" w:name="_Toc231199091"/>
      <w:bookmarkStart w:id="49" w:name="_Toc197324745"/>
      <w:r>
        <w:rPr>
          <w:rFonts w:hint="eastAsia"/>
        </w:rPr>
        <w:t>照明设备</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48970080">
      <w:pPr>
        <w:pStyle w:val="330"/>
        <w:bidi w:val="0"/>
        <w:rPr>
          <w:rFonts w:hint="eastAsia"/>
          <w:lang w:eastAsia="zh-CN"/>
        </w:rPr>
      </w:pPr>
      <w:r>
        <w:rPr>
          <w:rFonts w:hint="eastAsia" w:ascii="宋体" w:hAnsi="宋体" w:eastAsia="宋体"/>
        </w:rPr>
        <w:t>灯具安全性能应符合GB/T 7000.1的规定。选择的灯具应与其使用场所相适应，应根据应用场所选用电击防护类别为Ⅰ类、Ⅱ类或Ⅲ类灯具（</w:t>
      </w:r>
      <w:r>
        <w:rPr>
          <w:rFonts w:hint="eastAsia" w:ascii="宋体" w:hAnsi="宋体" w:eastAsia="宋体"/>
          <w:lang w:val="en-US" w:eastAsia="zh-CN"/>
        </w:rPr>
        <w:t>参</w:t>
      </w:r>
      <w:r>
        <w:rPr>
          <w:rFonts w:hint="eastAsia" w:ascii="宋体" w:hAnsi="宋体" w:eastAsia="宋体"/>
        </w:rPr>
        <w:t>见附录</w:t>
      </w:r>
      <w:r>
        <w:rPr>
          <w:rFonts w:ascii="宋体" w:hAnsi="宋体" w:eastAsia="宋体"/>
        </w:rPr>
        <w:t>C</w:t>
      </w:r>
      <w:r>
        <w:rPr>
          <w:rFonts w:hint="eastAsia" w:ascii="宋体" w:hAnsi="宋体" w:eastAsia="宋体"/>
        </w:rPr>
        <w:t>）；观礼台、桥梁等防护栏（墙）上人体可触及的灯具宜选用Ⅲ类灯具，若选用非Ⅲ类灯具，应采用相应的电击防护措施</w:t>
      </w:r>
      <w:r>
        <w:rPr>
          <w:rFonts w:hint="eastAsia" w:ascii="宋体" w:hAnsi="宋体" w:eastAsia="宋体"/>
          <w:lang w:eastAsia="zh-CN"/>
        </w:rPr>
        <w:t>。</w:t>
      </w:r>
    </w:p>
    <w:p w14:paraId="24040325">
      <w:pPr>
        <w:pStyle w:val="330"/>
        <w:bidi w:val="0"/>
        <w:rPr>
          <w:rFonts w:hint="eastAsia"/>
          <w:lang w:eastAsia="zh-CN"/>
        </w:rPr>
      </w:pPr>
      <w:r>
        <w:rPr>
          <w:rFonts w:hint="eastAsia" w:ascii="宋体" w:hAnsi="宋体" w:eastAsia="宋体"/>
        </w:rPr>
        <w:t>选择的照明设备应符合谐波电流发射限值的规定</w:t>
      </w:r>
      <w:r>
        <w:rPr>
          <w:rFonts w:hint="eastAsia" w:ascii="宋体" w:hAnsi="宋体" w:eastAsia="宋体"/>
          <w:lang w:eastAsia="zh-CN"/>
        </w:rPr>
        <w:t>。</w:t>
      </w:r>
    </w:p>
    <w:p w14:paraId="6926B250">
      <w:pPr>
        <w:pStyle w:val="330"/>
        <w:bidi w:val="0"/>
        <w:rPr>
          <w:rFonts w:hint="eastAsia"/>
          <w:lang w:eastAsia="zh-CN"/>
        </w:rPr>
      </w:pPr>
      <w:r>
        <w:rPr>
          <w:rFonts w:hint="eastAsia" w:ascii="宋体" w:hAnsi="宋体" w:eastAsia="宋体"/>
        </w:rPr>
        <w:t>安装在有遮挡的棚或檐下灯具防护等级不应低于IP54，道路照明灯具防护等级不应低于IP65，埋地灯具防护等级不应低于IP67，水下灯具防护等级应为IP68(</w:t>
      </w:r>
      <w:r>
        <w:rPr>
          <w:rFonts w:hint="eastAsia" w:ascii="宋体" w:hAnsi="宋体" w:eastAsia="宋体"/>
          <w:lang w:val="en-US" w:eastAsia="zh-CN"/>
        </w:rPr>
        <w:t>参</w:t>
      </w:r>
      <w:r>
        <w:rPr>
          <w:rFonts w:hint="eastAsia" w:ascii="宋体" w:hAnsi="宋体" w:eastAsia="宋体"/>
        </w:rPr>
        <w:t>见附录</w:t>
      </w:r>
      <w:r>
        <w:rPr>
          <w:rFonts w:ascii="宋体" w:hAnsi="宋体" w:eastAsia="宋体"/>
        </w:rPr>
        <w:t>D</w:t>
      </w:r>
      <w:r>
        <w:rPr>
          <w:rFonts w:hint="eastAsia" w:ascii="宋体" w:hAnsi="宋体" w:eastAsia="宋体"/>
        </w:rPr>
        <w:t>)</w:t>
      </w:r>
      <w:r>
        <w:rPr>
          <w:rFonts w:hint="eastAsia" w:ascii="宋体" w:hAnsi="宋体" w:eastAsia="宋体"/>
          <w:lang w:eastAsia="zh-CN"/>
        </w:rPr>
        <w:t>。</w:t>
      </w:r>
    </w:p>
    <w:p w14:paraId="78BB8314">
      <w:pPr>
        <w:pStyle w:val="330"/>
        <w:bidi w:val="0"/>
        <w:rPr>
          <w:rFonts w:hint="eastAsia"/>
          <w:lang w:eastAsia="zh-CN"/>
        </w:rPr>
      </w:pPr>
      <w:r>
        <w:rPr>
          <w:rFonts w:hint="eastAsia" w:ascii="宋体" w:hAnsi="宋体" w:eastAsia="宋体"/>
        </w:rPr>
        <w:t>照明设备所有带电部分应采用绝缘、遮拦或外护物保护；室外照明配电箱、控制箱等的防护等级不应低于IP</w:t>
      </w:r>
      <w:r>
        <w:rPr>
          <w:rFonts w:ascii="宋体" w:hAnsi="宋体" w:eastAsia="宋体"/>
        </w:rPr>
        <w:t>5</w:t>
      </w:r>
      <w:r>
        <w:rPr>
          <w:rFonts w:hint="eastAsia" w:ascii="宋体" w:hAnsi="宋体" w:eastAsia="宋体"/>
        </w:rPr>
        <w:t>4(</w:t>
      </w:r>
      <w:r>
        <w:rPr>
          <w:rFonts w:hint="eastAsia" w:ascii="宋体" w:hAnsi="宋体" w:eastAsia="宋体"/>
          <w:lang w:val="en-US" w:eastAsia="zh-CN"/>
        </w:rPr>
        <w:t>参</w:t>
      </w:r>
      <w:r>
        <w:rPr>
          <w:rFonts w:hint="eastAsia" w:ascii="宋体" w:hAnsi="宋体" w:eastAsia="宋体"/>
        </w:rPr>
        <w:t>见附录</w:t>
      </w:r>
      <w:r>
        <w:rPr>
          <w:rFonts w:ascii="宋体" w:hAnsi="宋体" w:eastAsia="宋体"/>
        </w:rPr>
        <w:t>D</w:t>
      </w:r>
      <w:r>
        <w:rPr>
          <w:rFonts w:hint="eastAsia" w:ascii="宋体" w:hAnsi="宋体" w:eastAsia="宋体"/>
        </w:rPr>
        <w:t>)</w:t>
      </w:r>
      <w:r>
        <w:rPr>
          <w:rFonts w:hint="eastAsia" w:ascii="宋体" w:hAnsi="宋体" w:eastAsia="宋体"/>
          <w:lang w:eastAsia="zh-CN"/>
        </w:rPr>
        <w:t>。</w:t>
      </w:r>
    </w:p>
    <w:p w14:paraId="234FE398">
      <w:pPr>
        <w:pStyle w:val="330"/>
        <w:bidi w:val="0"/>
        <w:rPr>
          <w:rFonts w:hint="eastAsia"/>
          <w:lang w:eastAsia="zh-CN"/>
        </w:rPr>
      </w:pPr>
      <w:r>
        <w:rPr>
          <w:rFonts w:hint="eastAsia" w:ascii="宋体" w:hAnsi="宋体" w:eastAsia="宋体"/>
        </w:rPr>
        <w:t>每套灯具的导电部分对地绝缘电阻值应大于2 MΩ。</w:t>
      </w:r>
    </w:p>
    <w:p w14:paraId="6C4A9379">
      <w:pPr>
        <w:pStyle w:val="330"/>
        <w:bidi w:val="0"/>
        <w:rPr>
          <w:rFonts w:hint="eastAsia"/>
          <w:lang w:eastAsia="zh-CN"/>
        </w:rPr>
      </w:pPr>
      <w:r>
        <w:rPr>
          <w:rFonts w:hint="eastAsia" w:ascii="宋体" w:hAnsi="宋体" w:eastAsia="宋体"/>
        </w:rPr>
        <w:t>距地面2.5m以下的照明设备应借助于工具才能开启。</w:t>
      </w:r>
    </w:p>
    <w:p w14:paraId="3F9093C7">
      <w:pPr>
        <w:pStyle w:val="330"/>
        <w:bidi w:val="0"/>
        <w:rPr>
          <w:rFonts w:hint="eastAsia"/>
          <w:lang w:eastAsia="zh-CN"/>
        </w:rPr>
      </w:pPr>
      <w:r>
        <w:rPr>
          <w:rFonts w:hint="eastAsia" w:ascii="宋体" w:hAnsi="宋体" w:eastAsia="宋体"/>
        </w:rPr>
        <w:t>浸在水中才能安全工作的灯具，灯具应标明“只能浸入水中使用”的标识。</w:t>
      </w:r>
    </w:p>
    <w:p w14:paraId="0D3CF0A9">
      <w:pPr>
        <w:pStyle w:val="259"/>
        <w:bidi w:val="0"/>
        <w:rPr>
          <w:rFonts w:hint="eastAsia"/>
          <w:lang w:eastAsia="zh-CN"/>
        </w:rPr>
      </w:pPr>
      <w:bookmarkStart w:id="50" w:name="_Toc170841243"/>
      <w:bookmarkStart w:id="51" w:name="_Toc22848"/>
      <w:bookmarkStart w:id="52" w:name="_Toc193232859"/>
      <w:bookmarkStart w:id="53" w:name="_Toc7501"/>
      <w:bookmarkStart w:id="54" w:name="_Toc15908"/>
      <w:bookmarkStart w:id="55" w:name="_Toc23736"/>
      <w:r>
        <w:rPr>
          <w:rFonts w:hint="eastAsia"/>
        </w:rPr>
        <w:t>照明控制系统网络</w:t>
      </w:r>
      <w:bookmarkEnd w:id="50"/>
      <w:bookmarkEnd w:id="51"/>
      <w:bookmarkEnd w:id="52"/>
      <w:bookmarkEnd w:id="53"/>
      <w:bookmarkEnd w:id="54"/>
      <w:bookmarkEnd w:id="55"/>
    </w:p>
    <w:p w14:paraId="21D49986">
      <w:pPr>
        <w:pStyle w:val="330"/>
        <w:bidi w:val="0"/>
        <w:rPr>
          <w:rFonts w:hint="eastAsia"/>
          <w:lang w:eastAsia="zh-CN"/>
        </w:rPr>
      </w:pPr>
      <w:r>
        <w:rPr>
          <w:rFonts w:hint="eastAsia" w:ascii="宋体" w:hAnsi="宋体" w:eastAsia="宋体"/>
        </w:rPr>
        <w:t>照明控制系统采用网络传输方式时，应确保信息安全；信息安全宜包括网络安全、传输安全、运行安全、存储安全、制度安全，并应满足下列规定：</w:t>
      </w:r>
    </w:p>
    <w:p w14:paraId="299571E1">
      <w:pPr>
        <w:pStyle w:val="305"/>
        <w:bidi w:val="0"/>
        <w:ind w:left="839" w:leftChars="0" w:hanging="419" w:firstLineChars="0"/>
        <w:rPr>
          <w:rFonts w:hint="eastAsia"/>
          <w:lang w:eastAsia="zh-CN"/>
        </w:rPr>
      </w:pPr>
      <w:r>
        <w:rPr>
          <w:rFonts w:hint="eastAsia"/>
        </w:rPr>
        <w:t>网络安全应采取措施保障网络数据的完整性、保密性、可用性，并应符合GB/T 22239的有关规定</w:t>
      </w:r>
      <w:r>
        <w:rPr>
          <w:rFonts w:hint="eastAsia"/>
          <w:lang w:eastAsia="zh-CN"/>
        </w:rPr>
        <w:t>；</w:t>
      </w:r>
    </w:p>
    <w:p w14:paraId="6A346520">
      <w:pPr>
        <w:pStyle w:val="305"/>
        <w:bidi w:val="0"/>
        <w:ind w:left="839" w:leftChars="0" w:hanging="419" w:firstLineChars="0"/>
        <w:rPr>
          <w:rFonts w:hint="eastAsia"/>
          <w:lang w:eastAsia="zh-CN"/>
        </w:rPr>
      </w:pPr>
      <w:r>
        <w:rPr>
          <w:rFonts w:hint="eastAsia"/>
        </w:rPr>
        <w:t>传输安全应通过身份认证、传输加密、数据校验等方式确保数据传输的安全性，并宜满足GB/T 37025中规定的基本级要求；</w:t>
      </w:r>
    </w:p>
    <w:p w14:paraId="0F9387C1">
      <w:pPr>
        <w:pStyle w:val="305"/>
        <w:bidi w:val="0"/>
        <w:ind w:left="839" w:leftChars="0" w:hanging="419" w:firstLineChars="0"/>
        <w:rPr>
          <w:rFonts w:hint="eastAsia"/>
          <w:lang w:eastAsia="zh-CN"/>
        </w:rPr>
      </w:pPr>
      <w:r>
        <w:rPr>
          <w:rFonts w:hint="eastAsia"/>
        </w:rPr>
        <w:t>传输安全应通过身份认证、传输加密、数据校验等方式确保数据传输的安全性，并宜满足GB/T 37025中规定的基本级要求；</w:t>
      </w:r>
    </w:p>
    <w:p w14:paraId="1BFF752D">
      <w:pPr>
        <w:pStyle w:val="305"/>
        <w:bidi w:val="0"/>
        <w:ind w:left="839" w:leftChars="0" w:hanging="419" w:firstLineChars="0"/>
        <w:rPr>
          <w:rFonts w:hint="eastAsia"/>
          <w:lang w:eastAsia="zh-CN"/>
        </w:rPr>
      </w:pPr>
      <w:r>
        <w:rPr>
          <w:rFonts w:hint="eastAsia"/>
        </w:rPr>
        <w:t>存储安全应按照相应的网络安全规范进行身份认证、访问控制，数据进行云存储时，应加强数据存储和传输的保密性；</w:t>
      </w:r>
    </w:p>
    <w:p w14:paraId="3E733425">
      <w:pPr>
        <w:pStyle w:val="305"/>
        <w:bidi w:val="0"/>
        <w:ind w:left="839" w:leftChars="0" w:hanging="419" w:firstLineChars="0"/>
        <w:rPr>
          <w:rFonts w:hint="eastAsia"/>
          <w:lang w:eastAsia="zh-CN"/>
        </w:rPr>
      </w:pPr>
      <w:r>
        <w:rPr>
          <w:rFonts w:hint="eastAsia"/>
        </w:rPr>
        <w:t>制度安全应满足合规进入、授权使用、加密传输、安全存储、审核输出、记录流程的要求。</w:t>
      </w:r>
    </w:p>
    <w:p w14:paraId="0D83D681">
      <w:pPr>
        <w:pStyle w:val="330"/>
        <w:bidi w:val="0"/>
        <w:rPr>
          <w:rFonts w:hint="eastAsia"/>
          <w:lang w:eastAsia="zh-CN"/>
        </w:rPr>
      </w:pPr>
      <w:r>
        <w:rPr>
          <w:rFonts w:hint="eastAsia" w:ascii="宋体" w:eastAsia="宋体"/>
          <w:szCs w:val="20"/>
        </w:rPr>
        <w:t>控制系统网络故障时，系统状态数据应能自保持；网络恢复后，应能自动恢复系统联网功能。</w:t>
      </w:r>
    </w:p>
    <w:p w14:paraId="609FDB67">
      <w:pPr>
        <w:pStyle w:val="330"/>
        <w:bidi w:val="0"/>
        <w:rPr>
          <w:rFonts w:hint="eastAsia"/>
          <w:lang w:eastAsia="zh-CN"/>
        </w:rPr>
      </w:pPr>
      <w:r>
        <w:rPr>
          <w:rFonts w:hint="eastAsia" w:ascii="宋体" w:eastAsia="宋体"/>
          <w:szCs w:val="20"/>
        </w:rPr>
        <w:t>采用媒体立面照明方式等具备信息发布能力的景观照明系统，应对网络安全等级保护对象进行安全等级分级，单体建筑其安全保护等级不宜低于二级，重要街区、城市级联动的照明系统其安全保护等级不宜低于三级。</w:t>
      </w:r>
    </w:p>
    <w:p w14:paraId="4204E91F">
      <w:pPr>
        <w:pStyle w:val="259"/>
        <w:bidi w:val="0"/>
        <w:rPr>
          <w:rFonts w:hint="eastAsia"/>
          <w:lang w:eastAsia="zh-CN"/>
        </w:rPr>
      </w:pPr>
      <w:bookmarkStart w:id="56" w:name="_Toc170841244"/>
      <w:bookmarkStart w:id="57" w:name="_Toc32305"/>
      <w:bookmarkStart w:id="58" w:name="_Toc21953"/>
      <w:bookmarkStart w:id="59" w:name="_Toc16472"/>
      <w:bookmarkStart w:id="60" w:name="_Toc16176"/>
      <w:bookmarkStart w:id="61" w:name="_Toc193232860"/>
      <w:r>
        <w:rPr>
          <w:rFonts w:hint="eastAsia"/>
        </w:rPr>
        <w:t>照明设备</w:t>
      </w:r>
      <w:bookmarkEnd w:id="56"/>
      <w:bookmarkEnd w:id="57"/>
      <w:bookmarkEnd w:id="58"/>
      <w:bookmarkEnd w:id="59"/>
      <w:r>
        <w:rPr>
          <w:rFonts w:hint="eastAsia"/>
        </w:rPr>
        <w:t>安装</w:t>
      </w:r>
      <w:bookmarkEnd w:id="60"/>
      <w:bookmarkEnd w:id="61"/>
    </w:p>
    <w:p w14:paraId="0BB533C9">
      <w:pPr>
        <w:pStyle w:val="330"/>
        <w:bidi w:val="0"/>
        <w:rPr>
          <w:rFonts w:hint="eastAsia"/>
          <w:lang w:eastAsia="zh-CN"/>
        </w:rPr>
      </w:pPr>
      <w:r>
        <w:rPr>
          <w:rFonts w:hint="eastAsia" w:ascii="宋体" w:hAnsi="宋体" w:eastAsia="宋体"/>
        </w:rPr>
        <w:t>室外落地配电箱不应安装在低洼处，箱底距地不宜低于300mm。</w:t>
      </w:r>
    </w:p>
    <w:p w14:paraId="204CE788">
      <w:pPr>
        <w:pStyle w:val="330"/>
        <w:bidi w:val="0"/>
        <w:rPr>
          <w:rFonts w:hint="eastAsia"/>
          <w:lang w:eastAsia="zh-CN"/>
        </w:rPr>
      </w:pPr>
      <w:r>
        <w:rPr>
          <w:rFonts w:hint="eastAsia" w:ascii="宋体" w:hAnsi="宋体" w:eastAsia="宋体"/>
        </w:rPr>
        <w:t>灯具固定应可靠，在振动场所使用的灯具应采取防振措施，高空安装的灯具应采取抗风压、防坠落措施，需固定投射方向的灯具应具有便于调整、牢固锁定的装置。灯具安装所需的支架及零部件均应作防腐处理。</w:t>
      </w:r>
    </w:p>
    <w:p w14:paraId="40B7ACFB">
      <w:pPr>
        <w:pStyle w:val="330"/>
        <w:bidi w:val="0"/>
        <w:rPr>
          <w:rFonts w:hint="eastAsia"/>
          <w:lang w:eastAsia="zh-CN"/>
        </w:rPr>
      </w:pPr>
      <w:r>
        <w:rPr>
          <w:rFonts w:hint="eastAsia" w:ascii="宋体" w:hAnsi="宋体" w:eastAsia="宋体"/>
        </w:rPr>
        <w:t>灯具安装应便于检修及更换光源。</w:t>
      </w:r>
    </w:p>
    <w:p w14:paraId="34BD25D2">
      <w:pPr>
        <w:pStyle w:val="330"/>
        <w:bidi w:val="0"/>
        <w:rPr>
          <w:rFonts w:hint="eastAsia"/>
          <w:lang w:eastAsia="zh-CN"/>
        </w:rPr>
      </w:pPr>
      <w:r>
        <w:rPr>
          <w:rFonts w:hint="eastAsia" w:ascii="宋体" w:hAnsi="宋体" w:eastAsia="宋体"/>
        </w:rPr>
        <w:t>安装在人员密集场所的灯具，应采用防撞击、防玻璃破碎等措施。人员可触及的照明设备表面温度高于60℃时应采取隔离保护措施。</w:t>
      </w:r>
    </w:p>
    <w:p w14:paraId="0698B017">
      <w:pPr>
        <w:pStyle w:val="330"/>
        <w:bidi w:val="0"/>
        <w:rPr>
          <w:rFonts w:hint="eastAsia"/>
          <w:lang w:eastAsia="zh-CN"/>
        </w:rPr>
      </w:pPr>
      <w:r>
        <w:rPr>
          <w:rFonts w:hint="eastAsia" w:ascii="宋体" w:hAnsi="宋体" w:eastAsia="宋体"/>
        </w:rPr>
        <w:t>人员能触及的灯具，无遮拦或外护物保护时，安装高度距地面应在2.5m以上。</w:t>
      </w:r>
    </w:p>
    <w:p w14:paraId="5C704F35">
      <w:pPr>
        <w:pStyle w:val="330"/>
        <w:bidi w:val="0"/>
        <w:rPr>
          <w:rFonts w:hint="eastAsia"/>
          <w:lang w:eastAsia="zh-CN"/>
        </w:rPr>
      </w:pPr>
      <w:r>
        <w:rPr>
          <w:rFonts w:hint="eastAsia"/>
        </w:rPr>
        <w:t>文物建筑上不应直接安装灯具，</w:t>
      </w:r>
      <w:r>
        <w:rPr>
          <w:rFonts w:hint="eastAsia" w:ascii="宋体" w:hAnsi="宋体" w:eastAsia="宋体"/>
        </w:rPr>
        <w:t>在文物建筑外安装灯具时，要保持安全距离；</w:t>
      </w:r>
      <w:r>
        <w:rPr>
          <w:rFonts w:hint="eastAsia"/>
        </w:rPr>
        <w:t>安装在历史建筑上的灯具应采取防火措施。</w:t>
      </w:r>
    </w:p>
    <w:p w14:paraId="53C1551D">
      <w:pPr>
        <w:pStyle w:val="259"/>
        <w:bidi w:val="0"/>
        <w:rPr>
          <w:rFonts w:hint="eastAsia"/>
          <w:lang w:eastAsia="zh-CN"/>
        </w:rPr>
      </w:pPr>
      <w:bookmarkStart w:id="62" w:name="_Toc193232861"/>
      <w:bookmarkStart w:id="63" w:name="_Toc231199152"/>
      <w:bookmarkStart w:id="64" w:name="_Toc231199282"/>
      <w:bookmarkStart w:id="65" w:name="_Toc15646"/>
      <w:bookmarkStart w:id="66" w:name="_Toc231199252"/>
      <w:bookmarkStart w:id="67" w:name="_Toc165653557"/>
      <w:bookmarkStart w:id="68" w:name="_Toc231199094"/>
      <w:bookmarkStart w:id="69" w:name="_Toc231972994"/>
      <w:bookmarkStart w:id="70" w:name="_Toc19405"/>
      <w:bookmarkStart w:id="71" w:name="_Toc397082320"/>
      <w:bookmarkStart w:id="72" w:name="_Toc32050"/>
      <w:bookmarkStart w:id="73" w:name="_Toc170841245"/>
      <w:bookmarkStart w:id="74" w:name="_Toc22446"/>
      <w:bookmarkStart w:id="75" w:name="_Toc231969121"/>
      <w:bookmarkStart w:id="76" w:name="_Toc197324748"/>
      <w:r>
        <w:rPr>
          <w:rFonts w:hint="eastAsia"/>
        </w:rPr>
        <w:t>室外水池照明</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08857E65">
      <w:pPr>
        <w:pStyle w:val="260"/>
        <w:bidi w:val="0"/>
        <w:rPr>
          <w:rFonts w:hint="eastAsia"/>
          <w:lang w:eastAsia="zh-CN"/>
        </w:rPr>
      </w:pPr>
      <w:r>
        <w:rPr>
          <w:rFonts w:hint="eastAsia" w:hAnsi="宋体"/>
        </w:rPr>
        <w:t>戏水池防电击要求</w:t>
      </w:r>
    </w:p>
    <w:p w14:paraId="3CDC7DDA">
      <w:pPr>
        <w:pStyle w:val="326"/>
        <w:bidi w:val="0"/>
        <w:rPr>
          <w:rFonts w:hint="eastAsia"/>
          <w:lang w:eastAsia="zh-CN"/>
        </w:rPr>
      </w:pPr>
      <w:r>
        <w:rPr>
          <w:rFonts w:hint="eastAsia" w:ascii="宋体" w:hAnsi="宋体" w:eastAsia="宋体"/>
        </w:rPr>
        <w:t>戏水池区域划分按GB 16895.19执行（见附录E的图E.1、图E.2）。</w:t>
      </w:r>
    </w:p>
    <w:p w14:paraId="35E50F3E">
      <w:pPr>
        <w:pStyle w:val="326"/>
        <w:bidi w:val="0"/>
        <w:rPr>
          <w:rFonts w:hint="eastAsia"/>
          <w:lang w:eastAsia="zh-CN"/>
        </w:rPr>
      </w:pPr>
      <w:r>
        <w:rPr>
          <w:rFonts w:hint="eastAsia" w:ascii="宋体" w:hAnsi="宋体" w:eastAsia="宋体"/>
        </w:rPr>
        <w:t>0 区和 1 区内电气设备应采用额定电压不超过交流 12V 或直流 30V 的安全特低电压（SELV) 供电，供电电源装置应安装在 0 区和 1 区之外。</w:t>
      </w:r>
    </w:p>
    <w:p w14:paraId="45BDC4FC">
      <w:pPr>
        <w:pStyle w:val="326"/>
        <w:bidi w:val="0"/>
        <w:rPr>
          <w:rFonts w:hint="eastAsia"/>
          <w:lang w:eastAsia="zh-CN"/>
        </w:rPr>
      </w:pPr>
      <w:r>
        <w:rPr>
          <w:rFonts w:hint="eastAsia"/>
        </w:rPr>
        <w:t>当在2区内安装SELV的电源时，电源设备前的供电回路应采用额定剩余动作电流不超过30 mA的剩余电流动作保护电器</w:t>
      </w:r>
      <w:r>
        <w:rPr>
          <w:rFonts w:hint="eastAsia" w:ascii="宋体" w:hAnsi="宋体" w:eastAsia="宋体"/>
        </w:rPr>
        <w:t>作为附加防护。</w:t>
      </w:r>
    </w:p>
    <w:p w14:paraId="359B6195">
      <w:pPr>
        <w:pStyle w:val="326"/>
        <w:bidi w:val="0"/>
        <w:rPr>
          <w:rFonts w:hint="eastAsia"/>
          <w:lang w:eastAsia="zh-CN"/>
        </w:rPr>
      </w:pPr>
      <w:r>
        <w:rPr>
          <w:rFonts w:hint="eastAsia" w:ascii="宋体" w:hAnsi="宋体" w:eastAsia="宋体"/>
        </w:rPr>
        <w:t>0 区和 1 区内应只能安装水池专用的固定式电气设备。</w:t>
      </w:r>
    </w:p>
    <w:p w14:paraId="1D6EB751">
      <w:pPr>
        <w:pStyle w:val="326"/>
        <w:bidi w:val="0"/>
        <w:rPr>
          <w:rFonts w:hint="eastAsia"/>
          <w:lang w:eastAsia="zh-CN"/>
        </w:rPr>
      </w:pPr>
      <w:r>
        <w:rPr>
          <w:rFonts w:hint="eastAsia" w:ascii="宋体" w:hAnsi="宋体" w:eastAsia="宋体"/>
        </w:rPr>
        <w:t>0 区内不应安装开关设备、控制设备。</w:t>
      </w:r>
    </w:p>
    <w:p w14:paraId="132AB6A4">
      <w:pPr>
        <w:pStyle w:val="326"/>
        <w:bidi w:val="0"/>
        <w:rPr>
          <w:rFonts w:hint="eastAsia"/>
          <w:lang w:eastAsia="zh-CN"/>
        </w:rPr>
      </w:pPr>
      <w:r>
        <w:rPr>
          <w:rFonts w:hint="eastAsia" w:ascii="宋体" w:hAnsi="宋体" w:eastAsia="宋体"/>
        </w:rPr>
        <w:t>0 区内照明设备防护等级当不用</w:t>
      </w:r>
      <w:bookmarkStart w:id="77" w:name="OLE_LINK5"/>
      <w:bookmarkStart w:id="78" w:name="OLE_LINK6"/>
      <w:r>
        <w:rPr>
          <w:rFonts w:hint="eastAsia" w:ascii="宋体" w:hAnsi="宋体" w:eastAsia="宋体"/>
        </w:rPr>
        <w:t>喷水进行清洗时，应不低于IPX8</w:t>
      </w:r>
      <w:bookmarkEnd w:id="77"/>
      <w:bookmarkEnd w:id="78"/>
      <w:r>
        <w:rPr>
          <w:rFonts w:hint="eastAsia" w:ascii="宋体" w:hAnsi="宋体" w:eastAsia="宋体"/>
        </w:rPr>
        <w:t>，当采用</w:t>
      </w:r>
      <w:r>
        <w:rPr>
          <w:rFonts w:hint="eastAsia" w:ascii="宋体" w:hAnsi="宋体"/>
        </w:rPr>
        <w:t>喷水进行清洗时，应不低于IPX</w:t>
      </w:r>
      <w:r>
        <w:rPr>
          <w:rFonts w:ascii="宋体" w:hAnsi="宋体"/>
        </w:rPr>
        <w:t>5/</w:t>
      </w:r>
      <w:r>
        <w:rPr>
          <w:rFonts w:hint="eastAsia" w:ascii="宋体" w:hAnsi="宋体"/>
        </w:rPr>
        <w:t>IPX8</w:t>
      </w:r>
      <w:r>
        <w:rPr>
          <w:rFonts w:hint="eastAsia" w:ascii="宋体" w:hAnsi="宋体" w:eastAsia="宋体"/>
        </w:rPr>
        <w:t>； 1区、 2区内不低于IPX5。</w:t>
      </w:r>
    </w:p>
    <w:p w14:paraId="0B4DDBBE">
      <w:pPr>
        <w:pStyle w:val="326"/>
        <w:bidi w:val="0"/>
        <w:rPr>
          <w:rFonts w:hint="eastAsia"/>
          <w:lang w:eastAsia="zh-CN"/>
        </w:rPr>
      </w:pPr>
      <w:r>
        <w:rPr>
          <w:rFonts w:hint="eastAsia" w:ascii="宋体" w:hAnsi="宋体" w:eastAsia="宋体"/>
        </w:rPr>
        <w:t>戏水池专用的供水泵或其他特殊电气设备安装在戏水池近旁1区和2区之外的房间或某一场所内，人需通过地面上的人孔或门进入才可接近这些电气设备，否则这些电气设备应采用下列之一的保护措施：</w:t>
      </w:r>
    </w:p>
    <w:p w14:paraId="1EFF9277">
      <w:pPr>
        <w:pStyle w:val="305"/>
        <w:numPr>
          <w:numId w:val="31"/>
        </w:numPr>
        <w:bidi w:val="0"/>
        <w:ind w:left="839" w:leftChars="0" w:hanging="419" w:firstLineChars="0"/>
        <w:rPr>
          <w:rFonts w:hint="eastAsia"/>
          <w:highlight w:val="none"/>
          <w:lang w:eastAsia="zh-CN"/>
        </w:rPr>
      </w:pPr>
      <w:r>
        <w:rPr>
          <w:rFonts w:hint="eastAsia"/>
          <w:highlight w:val="none"/>
        </w:rPr>
        <w:t>不大于交流12 V或直流30 V的SELV，其供电电源装在0区和1区之外。当SELV的电源装在2区时，电源设备前的供电回路应采用额定剩余动作电流不大于30 mA的剩余电流动作保护器；</w:t>
      </w:r>
    </w:p>
    <w:p w14:paraId="5483315A">
      <w:pPr>
        <w:pStyle w:val="305"/>
        <w:numPr>
          <w:numId w:val="31"/>
        </w:numPr>
        <w:bidi w:val="0"/>
        <w:ind w:left="839" w:leftChars="0" w:hanging="419" w:firstLineChars="0"/>
        <w:rPr>
          <w:rFonts w:hint="eastAsia"/>
          <w:lang w:eastAsia="zh-CN"/>
        </w:rPr>
      </w:pPr>
      <w:r>
        <w:rPr>
          <w:rFonts w:hint="eastAsia"/>
          <w:highlight w:val="none"/>
        </w:rPr>
        <w:t>满足电气分</w:t>
      </w:r>
      <w:r>
        <w:rPr>
          <w:rFonts w:hint="eastAsia"/>
        </w:rPr>
        <w:t>隔的规定，并同时满足下列条件：</w:t>
      </w:r>
    </w:p>
    <w:p w14:paraId="2E168607">
      <w:pPr>
        <w:pStyle w:val="522"/>
        <w:bidi w:val="0"/>
        <w:rPr>
          <w:rFonts w:hint="eastAsia"/>
          <w:lang w:eastAsia="zh-CN"/>
        </w:rPr>
      </w:pPr>
      <w:r>
        <w:rPr>
          <w:rFonts w:hint="eastAsia"/>
        </w:rPr>
        <w:t>泵或其他设备应采用非导电材料的连接水管连接到戏水池内；</w:t>
      </w:r>
    </w:p>
    <w:p w14:paraId="373F0945">
      <w:pPr>
        <w:pStyle w:val="522"/>
        <w:bidi w:val="0"/>
        <w:rPr>
          <w:rFonts w:hint="eastAsia"/>
          <w:lang w:eastAsia="zh-CN"/>
        </w:rPr>
      </w:pPr>
      <w:r>
        <w:rPr>
          <w:rFonts w:hint="eastAsia"/>
        </w:rPr>
        <w:t>只能用钥匙或工具才能开启入孔盖或门；</w:t>
      </w:r>
    </w:p>
    <w:p w14:paraId="71554A87">
      <w:pPr>
        <w:pStyle w:val="522"/>
        <w:bidi w:val="0"/>
        <w:rPr>
          <w:rFonts w:hint="eastAsia"/>
          <w:lang w:eastAsia="zh-CN"/>
        </w:rPr>
      </w:pPr>
      <w:r>
        <w:rPr>
          <w:rFonts w:hint="eastAsia"/>
        </w:rPr>
        <w:t>装设在该房间或某一场所内的所有设备， 应具有至少IPX5防护等级或采用外护物（外壳）来达到该防护等级的保护要求；</w:t>
      </w:r>
    </w:p>
    <w:p w14:paraId="4A599672">
      <w:pPr>
        <w:pStyle w:val="305"/>
        <w:numPr>
          <w:numId w:val="0"/>
        </w:numPr>
        <w:bidi w:val="0"/>
        <w:ind w:left="420" w:leftChars="0"/>
        <w:rPr>
          <w:rFonts w:hint="eastAsia"/>
          <w:lang w:eastAsia="zh-CN"/>
        </w:rPr>
      </w:pPr>
      <w:r>
        <w:rPr>
          <w:rFonts w:hint="eastAsia"/>
          <w:lang w:val="en-US" w:eastAsia="zh-CN"/>
        </w:rPr>
        <w:t>c）</w:t>
      </w:r>
      <w:r>
        <w:rPr>
          <w:rFonts w:hint="eastAsia"/>
        </w:rPr>
        <w:t>采用自动切断供电电源措施，并同时满足下列条件：</w:t>
      </w:r>
    </w:p>
    <w:p w14:paraId="4C86E7FC">
      <w:pPr>
        <w:pStyle w:val="522"/>
        <w:bidi w:val="0"/>
        <w:rPr>
          <w:rFonts w:hint="eastAsia"/>
          <w:lang w:eastAsia="zh-CN"/>
        </w:rPr>
      </w:pPr>
      <w:r>
        <w:rPr>
          <w:rFonts w:hint="eastAsia"/>
        </w:rPr>
        <w:t>当泵或其他设备连接到戏水池内时，应采用电气绝缘材料制成的水管或将金属水管纳入水池等电位联结系统内；</w:t>
      </w:r>
    </w:p>
    <w:p w14:paraId="4D782164">
      <w:pPr>
        <w:pStyle w:val="522"/>
        <w:bidi w:val="0"/>
        <w:rPr>
          <w:rFonts w:hint="eastAsia"/>
          <w:lang w:eastAsia="zh-CN"/>
        </w:rPr>
      </w:pPr>
      <w:r>
        <w:rPr>
          <w:rFonts w:hint="eastAsia"/>
        </w:rPr>
        <w:t>只能用钥匙或工具才能开启上述的入孔盖或门；</w:t>
      </w:r>
    </w:p>
    <w:p w14:paraId="4FF1525D">
      <w:pPr>
        <w:pStyle w:val="522"/>
        <w:bidi w:val="0"/>
        <w:rPr>
          <w:rFonts w:hint="eastAsia"/>
          <w:lang w:eastAsia="zh-CN"/>
        </w:rPr>
      </w:pPr>
      <w:r>
        <w:rPr>
          <w:rFonts w:hint="eastAsia"/>
        </w:rPr>
        <w:t>装在上述房间或某一场所内的所有电气设备应具有至少为IPX5防护等级或采用外护物（外壳）来达到该防护等级的保护要求；</w:t>
      </w:r>
    </w:p>
    <w:p w14:paraId="4A07F967">
      <w:pPr>
        <w:pStyle w:val="522"/>
        <w:bidi w:val="0"/>
        <w:rPr>
          <w:rFonts w:hint="eastAsia"/>
          <w:lang w:eastAsia="zh-CN"/>
        </w:rPr>
      </w:pPr>
      <w:r>
        <w:rPr>
          <w:rFonts w:hint="eastAsia"/>
        </w:rPr>
        <w:t>辅助等电位联结；</w:t>
      </w:r>
    </w:p>
    <w:p w14:paraId="63EE6B4C">
      <w:pPr>
        <w:pStyle w:val="522"/>
        <w:bidi w:val="0"/>
        <w:rPr>
          <w:rFonts w:hint="eastAsia"/>
          <w:lang w:eastAsia="zh-CN"/>
        </w:rPr>
      </w:pPr>
      <w:bookmarkStart w:id="91" w:name="_GoBack"/>
      <w:bookmarkEnd w:id="91"/>
      <w:r>
        <w:rPr>
          <w:rFonts w:hint="eastAsia"/>
        </w:rPr>
        <w:t>电气设备应装设额定剩余动作电流不大于30 mA的剩余电流动作保护器。</w:t>
      </w:r>
    </w:p>
    <w:p w14:paraId="74B70911">
      <w:pPr>
        <w:pStyle w:val="326"/>
        <w:bidi w:val="0"/>
        <w:rPr>
          <w:rFonts w:hint="eastAsia"/>
          <w:lang w:eastAsia="zh-CN"/>
        </w:rPr>
      </w:pPr>
      <w:r>
        <w:rPr>
          <w:rFonts w:hint="eastAsia" w:ascii="宋体" w:hAnsi="宋体" w:eastAsia="宋体"/>
        </w:rPr>
        <w:t>用于水下或与水接触的灯具应符合GB/T 7000.218的规定。安装于符合水密要求的观察窗后面并从此面向水池内照射的水下灯具的，应做到水下灯具的任何外露可导电部分和观察窗的任何可导电部分之间不存在有意或无意的导电连通。</w:t>
      </w:r>
    </w:p>
    <w:p w14:paraId="0A5E21B2">
      <w:pPr>
        <w:pStyle w:val="326"/>
        <w:bidi w:val="0"/>
        <w:rPr>
          <w:rFonts w:hint="eastAsia"/>
          <w:lang w:eastAsia="zh-CN"/>
        </w:rPr>
      </w:pPr>
      <w:r>
        <w:rPr>
          <w:rFonts w:hint="eastAsia" w:ascii="宋体" w:hAnsi="宋体" w:eastAsia="宋体"/>
        </w:rPr>
        <w:t>电气线路应采用非金属护套或非金属套管的双重绝缘线路，在0区内不应安装接线盒，在1区内只允许为SELV回路安装接线盒。在0区、1区和2区内的所有装置外可导电部分，应以等电位联结导体和这些区域内的设备外露可导电部分的保护导体相连接。</w:t>
      </w:r>
    </w:p>
    <w:p w14:paraId="304ECD9B">
      <w:pPr>
        <w:pStyle w:val="260"/>
        <w:bidi w:val="0"/>
        <w:rPr>
          <w:rFonts w:hint="eastAsia"/>
          <w:lang w:eastAsia="zh-CN"/>
        </w:rPr>
      </w:pPr>
      <w:r>
        <w:rPr>
          <w:rFonts w:hint="eastAsia" w:hAnsi="宋体"/>
        </w:rPr>
        <w:t>喷水池防电击要求</w:t>
      </w:r>
    </w:p>
    <w:p w14:paraId="5AEED259">
      <w:pPr>
        <w:pStyle w:val="326"/>
        <w:bidi w:val="0"/>
        <w:rPr>
          <w:rFonts w:hint="eastAsia"/>
          <w:lang w:eastAsia="zh-CN"/>
        </w:rPr>
      </w:pPr>
      <w:r>
        <w:rPr>
          <w:rFonts w:hint="eastAsia" w:ascii="宋体" w:hAnsi="宋体" w:eastAsia="宋体"/>
        </w:rPr>
        <w:t>喷水池区域划分按GB 16895.19执行（见附录E的图E.3）。</w:t>
      </w:r>
    </w:p>
    <w:p w14:paraId="5090641F">
      <w:pPr>
        <w:pStyle w:val="326"/>
        <w:bidi w:val="0"/>
        <w:rPr>
          <w:rFonts w:hint="eastAsia"/>
          <w:lang w:eastAsia="zh-CN"/>
        </w:rPr>
      </w:pPr>
      <w:r>
        <w:rPr>
          <w:rFonts w:hint="eastAsia" w:ascii="宋体" w:hAnsi="宋体" w:eastAsia="宋体"/>
        </w:rPr>
        <w:t>喷水池在电源未切断前，不允许人员进入池内（包括涉水），否则应按照戏水池的要求处理。</w:t>
      </w:r>
    </w:p>
    <w:p w14:paraId="01C9D2FD">
      <w:pPr>
        <w:pStyle w:val="326"/>
        <w:bidi w:val="0"/>
        <w:rPr>
          <w:rFonts w:hint="eastAsia"/>
          <w:lang w:eastAsia="zh-CN"/>
        </w:rPr>
      </w:pPr>
      <w:r>
        <w:rPr>
          <w:rFonts w:hint="eastAsia" w:ascii="宋体" w:hAnsi="宋体" w:eastAsia="宋体"/>
        </w:rPr>
        <w:t>不允许人员进入的喷水池，0 区和 1 区的电击防护措施应采取下列一种或多种保护措施：</w:t>
      </w:r>
    </w:p>
    <w:p w14:paraId="0070DF7A">
      <w:pPr>
        <w:pStyle w:val="305"/>
        <w:numPr>
          <w:ilvl w:val="0"/>
          <w:numId w:val="32"/>
        </w:numPr>
        <w:bidi w:val="0"/>
        <w:ind w:left="839" w:leftChars="0" w:hanging="419" w:firstLineChars="0"/>
        <w:rPr>
          <w:rFonts w:hint="eastAsia"/>
          <w:lang w:eastAsia="zh-CN"/>
        </w:rPr>
      </w:pPr>
      <w:r>
        <w:rPr>
          <w:rFonts w:hint="eastAsia"/>
        </w:rPr>
        <w:t>SELV供电，其供电电源装在0区和1区之外；</w:t>
      </w:r>
    </w:p>
    <w:p w14:paraId="71775C1B">
      <w:pPr>
        <w:pStyle w:val="305"/>
        <w:numPr>
          <w:ilvl w:val="0"/>
          <w:numId w:val="32"/>
        </w:numPr>
        <w:bidi w:val="0"/>
        <w:ind w:left="839" w:leftChars="0" w:hanging="419" w:firstLineChars="0"/>
        <w:rPr>
          <w:rFonts w:hint="eastAsia"/>
          <w:lang w:eastAsia="zh-CN"/>
        </w:rPr>
      </w:pPr>
      <w:r>
        <w:rPr>
          <w:rFonts w:hint="eastAsia"/>
        </w:rPr>
        <w:t>采用额定剩余动作电流不大于30 mA的剩余电流动作保护电器自动切断电源；</w:t>
      </w:r>
    </w:p>
    <w:p w14:paraId="2EC6FE0F">
      <w:pPr>
        <w:pStyle w:val="305"/>
        <w:numPr>
          <w:ilvl w:val="0"/>
          <w:numId w:val="32"/>
        </w:numPr>
        <w:bidi w:val="0"/>
        <w:ind w:left="839" w:leftChars="0" w:hanging="419" w:firstLineChars="0"/>
        <w:rPr>
          <w:rFonts w:hint="eastAsia"/>
          <w:lang w:eastAsia="zh-CN"/>
        </w:rPr>
      </w:pPr>
      <w:r>
        <w:rPr>
          <w:rFonts w:hint="eastAsia"/>
        </w:rPr>
        <w:t>电气分隔，分隔电源仅向一台设备供电，其供电电源装在0区和1区之外。</w:t>
      </w:r>
    </w:p>
    <w:p w14:paraId="4F30814B">
      <w:pPr>
        <w:pStyle w:val="326"/>
        <w:bidi w:val="0"/>
        <w:rPr>
          <w:rFonts w:hint="eastAsia"/>
          <w:lang w:eastAsia="zh-CN"/>
        </w:rPr>
      </w:pPr>
      <w:r>
        <w:rPr>
          <w:rFonts w:hint="eastAsia" w:ascii="宋体" w:hAnsi="宋体" w:eastAsia="宋体"/>
        </w:rPr>
        <w:t>线缆应采用符合GB/T 5013系列规定的 66型电缆或至少具有与其等效性能的电缆。该电缆除符合GB/T 5013.1和GB/T 5013.4的要求外，还应适用于与水长久的接触。</w:t>
      </w:r>
    </w:p>
    <w:p w14:paraId="1600CC58">
      <w:pPr>
        <w:pStyle w:val="326"/>
        <w:bidi w:val="0"/>
        <w:rPr>
          <w:rFonts w:hint="eastAsia"/>
          <w:lang w:eastAsia="zh-CN"/>
        </w:rPr>
      </w:pPr>
      <w:r>
        <w:rPr>
          <w:rFonts w:hint="eastAsia" w:ascii="宋体" w:hAnsi="宋体" w:eastAsia="宋体"/>
        </w:rPr>
        <w:t>导管应采用符合GB/T 20041.1规定的防撞击性能、X5XX编码类别的导管。并应满足下列的附加要求：</w:t>
      </w:r>
    </w:p>
    <w:p w14:paraId="0BC9D453">
      <w:pPr>
        <w:pStyle w:val="305"/>
        <w:numPr>
          <w:ilvl w:val="0"/>
          <w:numId w:val="33"/>
        </w:numPr>
        <w:bidi w:val="0"/>
        <w:ind w:left="839" w:leftChars="0" w:hanging="419" w:firstLineChars="0"/>
        <w:rPr>
          <w:rFonts w:hint="eastAsia"/>
          <w:lang w:eastAsia="zh-CN"/>
        </w:rPr>
      </w:pPr>
      <w:r>
        <w:rPr>
          <w:rFonts w:hint="eastAsia"/>
        </w:rPr>
        <w:t>0区内电气设备的敷设在非金属导管中的电缆或绝缘导体，应尽量远离水池的外边缘，在水池内的线路应尽量以最短的路径接到设备上，这些电缆应敷设在导管中以便换线；</w:t>
      </w:r>
    </w:p>
    <w:p w14:paraId="0CBEC3FD">
      <w:pPr>
        <w:pStyle w:val="305"/>
        <w:numPr>
          <w:ilvl w:val="0"/>
          <w:numId w:val="33"/>
        </w:numPr>
        <w:bidi w:val="0"/>
        <w:ind w:left="839" w:leftChars="0" w:hanging="419" w:firstLineChars="0"/>
        <w:rPr>
          <w:rFonts w:hint="eastAsia"/>
          <w:lang w:eastAsia="zh-CN"/>
        </w:rPr>
      </w:pPr>
      <w:r>
        <w:rPr>
          <w:rFonts w:hint="eastAsia"/>
        </w:rPr>
        <w:t>0区内和1区内敷设在非金属导管中的电缆或绝缘导体，应有合适的机械保护。</w:t>
      </w:r>
    </w:p>
    <w:p w14:paraId="3A1ACF96">
      <w:pPr>
        <w:pStyle w:val="326"/>
        <w:bidi w:val="0"/>
        <w:rPr>
          <w:rFonts w:hint="eastAsia"/>
          <w:lang w:eastAsia="zh-CN"/>
        </w:rPr>
      </w:pPr>
      <w:r>
        <w:rPr>
          <w:rFonts w:hint="eastAsia" w:ascii="宋体" w:hAnsi="宋体" w:eastAsia="宋体"/>
        </w:rPr>
        <w:t>0区和1区的电气设备应是不可能被触及的；电动泵应符合GB 4706.66的要求。</w:t>
      </w:r>
    </w:p>
    <w:p w14:paraId="4B9413DF">
      <w:pPr>
        <w:pStyle w:val="326"/>
        <w:bidi w:val="0"/>
        <w:rPr>
          <w:rFonts w:hint="eastAsia"/>
          <w:lang w:eastAsia="zh-CN"/>
        </w:rPr>
      </w:pPr>
      <w:r>
        <w:rPr>
          <w:rFonts w:hint="eastAsia" w:ascii="宋体" w:hAnsi="宋体" w:eastAsia="宋体"/>
        </w:rPr>
        <w:t>在0区内不应安装开关设备、控制设备、电源插座和接线盒；在1区内只允许为SELV回路安装接线盒。</w:t>
      </w:r>
    </w:p>
    <w:p w14:paraId="27C2E4AA">
      <w:pPr>
        <w:pStyle w:val="326"/>
        <w:bidi w:val="0"/>
        <w:rPr>
          <w:rFonts w:hint="eastAsia"/>
          <w:lang w:eastAsia="zh-CN"/>
        </w:rPr>
      </w:pPr>
      <w:r>
        <w:rPr>
          <w:rFonts w:hint="eastAsia" w:ascii="宋体" w:hAnsi="宋体" w:eastAsia="宋体"/>
        </w:rPr>
        <w:t>喷水池应做辅助等电位联结。</w:t>
      </w:r>
    </w:p>
    <w:p w14:paraId="39201ADE">
      <w:pPr>
        <w:pStyle w:val="326"/>
        <w:bidi w:val="0"/>
        <w:rPr>
          <w:rFonts w:hint="eastAsia"/>
          <w:lang w:eastAsia="zh-CN"/>
        </w:rPr>
        <w:sectPr>
          <w:headerReference r:id="rId13" w:type="first"/>
          <w:footerReference r:id="rId14" w:type="first"/>
          <w:pgSz w:w="11907" w:h="16839"/>
          <w:pgMar w:top="1418" w:right="1134" w:bottom="1134" w:left="1418" w:header="1418" w:footer="1134" w:gutter="0"/>
          <w:lnNumType w:countBy="0" w:restart="continuous"/>
          <w:pgNumType w:fmt="decimal" w:start="1"/>
          <w:cols w:space="425" w:num="1"/>
          <w:rtlGutter w:val="0"/>
          <w:docGrid w:type="lines" w:linePitch="312" w:charSpace="0"/>
        </w:sectPr>
      </w:pPr>
    </w:p>
    <w:p w14:paraId="6FF7F78A">
      <w:pPr>
        <w:pStyle w:val="347"/>
        <w:bidi w:val="0"/>
      </w:pPr>
      <w:bookmarkStart w:id="79" w:name="标准附录"/>
      <w:bookmarkEnd w:id="79"/>
      <w:bookmarkStart w:id="80" w:name="附录头部信息书签_1"/>
    </w:p>
    <w:p w14:paraId="20E54435">
      <w:pPr>
        <w:pStyle w:val="348"/>
        <w:bidi w:val="0"/>
      </w:pPr>
    </w:p>
    <w:p w14:paraId="3547F69E">
      <w:pPr>
        <w:pStyle w:val="274"/>
        <w:bidi w:val="0"/>
        <w:jc w:val="center"/>
      </w:pPr>
      <w:bookmarkStart w:id="81" w:name="_Toc16127"/>
      <w:r>
        <w:br w:type="textWrapping"/>
      </w:r>
      <w:r>
        <w:rPr>
          <w:rFonts w:hint="eastAsia"/>
          <w:lang w:eastAsia="zh-CN"/>
        </w:rPr>
        <w:t>（资料性）</w:t>
      </w:r>
      <w:r>
        <w:rPr>
          <w:rFonts w:hint="eastAsia"/>
          <w:lang w:eastAsia="zh-CN"/>
        </w:rPr>
        <w:br w:type="textWrapping"/>
      </w:r>
      <w:r>
        <w:rPr>
          <w:rFonts w:hint="eastAsia"/>
          <w:lang w:eastAsia="zh-CN"/>
        </w:rPr>
        <w:t>低压配电系统接地型式</w:t>
      </w:r>
      <w:bookmarkEnd w:id="80"/>
      <w:bookmarkEnd w:id="81"/>
    </w:p>
    <w:p w14:paraId="3042FEA5">
      <w:pPr>
        <w:pStyle w:val="276"/>
        <w:bidi w:val="0"/>
      </w:pPr>
      <w:r>
        <w:rPr>
          <w:rFonts w:hint="eastAsia"/>
        </w:rPr>
        <w:t>TN系统</w:t>
      </w:r>
    </w:p>
    <w:p w14:paraId="47BF3AC4">
      <w:pPr>
        <w:pStyle w:val="258"/>
        <w:ind w:firstLine="420"/>
      </w:pPr>
      <w:r>
        <w:rPr>
          <w:rFonts w:hint="eastAsia"/>
        </w:rPr>
        <w:t>电源系统有一点直接接地，负载设备的外露可导电部分通过保护导体连接到此接地点的系统。根据中性导体和保护导体的布置，TN系统的型式有以下三种：</w:t>
      </w:r>
    </w:p>
    <w:p w14:paraId="67C4EC35">
      <w:pPr>
        <w:pStyle w:val="305"/>
        <w:numPr>
          <w:ilvl w:val="0"/>
          <w:numId w:val="34"/>
        </w:numPr>
        <w:ind w:left="1260" w:hanging="420"/>
      </w:pPr>
      <w:r>
        <w:rPr>
          <w:rFonts w:hint="eastAsia"/>
        </w:rPr>
        <w:t>TN-C系统：在整个系统中，中性导体和保护导体是合一的（PEN线）；</w:t>
      </w:r>
    </w:p>
    <w:p w14:paraId="38A0E624">
      <w:pPr>
        <w:pStyle w:val="305"/>
        <w:numPr>
          <w:ilvl w:val="0"/>
          <w:numId w:val="34"/>
        </w:numPr>
        <w:ind w:left="1260" w:hanging="420"/>
      </w:pPr>
      <w:r>
        <w:rPr>
          <w:rFonts w:hint="eastAsia"/>
        </w:rPr>
        <w:t>TN-C-S系统：系统中有一部分中性导体和保护导体是合一的（PEN线）；</w:t>
      </w:r>
    </w:p>
    <w:p w14:paraId="31F2C3A2">
      <w:pPr>
        <w:pStyle w:val="305"/>
        <w:numPr>
          <w:ilvl w:val="0"/>
          <w:numId w:val="34"/>
        </w:numPr>
        <w:ind w:left="1260" w:hanging="420"/>
      </w:pPr>
      <w:r>
        <w:rPr>
          <w:rFonts w:hint="eastAsia"/>
        </w:rPr>
        <w:t>TN-S系统：在整个系统中中性导体和保护导体是分开的。</w:t>
      </w:r>
    </w:p>
    <w:p w14:paraId="46184956">
      <w:pPr>
        <w:pStyle w:val="303"/>
        <w:rPr>
          <w:rFonts w:hint="eastAsia" w:ascii="宋体" w:hAnsi="Times New Roman" w:eastAsia="宋体" w:cs="Times New Roman"/>
          <w:sz w:val="21"/>
          <w:szCs w:val="20"/>
          <w:lang w:val="en-US" w:eastAsia="zh-CN" w:bidi="ar-SA"/>
        </w:rPr>
      </w:pPr>
      <w:r>
        <w:rPr>
          <w:rFonts w:hint="eastAsia"/>
          <w:lang w:val="en-US" w:eastAsia="zh-CN"/>
        </w:rPr>
        <w:t>第一个字母T表示电源系统的一点直接接地</w:t>
      </w:r>
      <w:r>
        <w:rPr>
          <w:rFonts w:hint="eastAsia" w:ascii="宋体" w:hAnsi="Times New Roman" w:eastAsia="宋体" w:cs="Times New Roman"/>
          <w:kern w:val="0"/>
          <w:sz w:val="18"/>
          <w:szCs w:val="18"/>
          <w:lang w:val="en-US" w:eastAsia="zh-CN" w:bidi="ar-SA"/>
        </w:rPr>
        <w:t>；</w:t>
      </w:r>
    </w:p>
    <w:p w14:paraId="75BCA3BC">
      <w:pPr>
        <w:ind w:firstLine="720" w:firstLineChars="400"/>
        <w:rPr>
          <w:rFonts w:hint="eastAsia" w:ascii="宋体" w:hAnsi="Times New Roman" w:eastAsia="宋体" w:cs="Times New Roman"/>
          <w:kern w:val="0"/>
          <w:sz w:val="18"/>
          <w:szCs w:val="18"/>
          <w:lang w:val="en-US" w:eastAsia="zh-CN" w:bidi="ar-SA"/>
        </w:rPr>
      </w:pPr>
      <w:r>
        <w:rPr>
          <w:rFonts w:hint="eastAsia" w:ascii="宋体" w:hAnsi="Times New Roman" w:eastAsia="宋体" w:cs="Times New Roman"/>
          <w:kern w:val="0"/>
          <w:sz w:val="18"/>
          <w:szCs w:val="18"/>
          <w:lang w:val="en-US" w:eastAsia="zh-CN" w:bidi="ar-SA"/>
        </w:rPr>
        <w:t>第二个字母N表示设备的外露可导电部分与电源系统接地点直接电气连接；</w:t>
      </w:r>
    </w:p>
    <w:p w14:paraId="112ABCB6">
      <w:pPr>
        <w:ind w:firstLine="720" w:firstLineChars="400"/>
        <w:rPr>
          <w:rFonts w:hint="eastAsia" w:ascii="宋体" w:hAnsi="Times New Roman" w:eastAsia="宋体" w:cs="Times New Roman"/>
          <w:kern w:val="0"/>
          <w:sz w:val="18"/>
          <w:szCs w:val="18"/>
          <w:lang w:val="en-US" w:eastAsia="zh-CN" w:bidi="ar-SA"/>
        </w:rPr>
      </w:pPr>
      <w:r>
        <w:rPr>
          <w:rFonts w:hint="eastAsia" w:ascii="宋体" w:hAnsi="Times New Roman" w:eastAsia="宋体" w:cs="Times New Roman"/>
          <w:kern w:val="0"/>
          <w:sz w:val="18"/>
          <w:szCs w:val="18"/>
          <w:lang w:val="en-US" w:eastAsia="zh-CN" w:bidi="ar-SA"/>
        </w:rPr>
        <w:t>字母S表示中性导体和保护导体是分开的；</w:t>
      </w:r>
    </w:p>
    <w:p w14:paraId="05732D2B">
      <w:pPr>
        <w:ind w:firstLine="720" w:firstLineChars="400"/>
        <w:rPr>
          <w:rFonts w:hint="eastAsia" w:ascii="宋体" w:hAnsi="Times New Roman" w:eastAsia="宋体" w:cs="Times New Roman"/>
          <w:kern w:val="0"/>
          <w:sz w:val="18"/>
          <w:szCs w:val="18"/>
          <w:lang w:val="en-US" w:eastAsia="zh-CN" w:bidi="ar-SA"/>
        </w:rPr>
      </w:pPr>
      <w:r>
        <w:rPr>
          <w:rFonts w:hint="eastAsia" w:ascii="宋体" w:hAnsi="Times New Roman" w:eastAsia="宋体" w:cs="Times New Roman"/>
          <w:kern w:val="0"/>
          <w:sz w:val="18"/>
          <w:szCs w:val="18"/>
          <w:lang w:val="en-US" w:eastAsia="zh-CN" w:bidi="ar-SA"/>
        </w:rPr>
        <w:t>字母C表示中性导体和保护导体是合一的（PEN线）。</w:t>
      </w:r>
    </w:p>
    <w:p w14:paraId="3C5443EA">
      <w:pPr>
        <w:jc w:val="center"/>
      </w:pPr>
      <w:r>
        <w:drawing>
          <wp:inline distT="0" distB="0" distL="0" distR="0">
            <wp:extent cx="4057650" cy="319087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6"/>
                    <a:stretch>
                      <a:fillRect/>
                    </a:stretch>
                  </pic:blipFill>
                  <pic:spPr>
                    <a:xfrm>
                      <a:off x="0" y="0"/>
                      <a:ext cx="4057650" cy="3190875"/>
                    </a:xfrm>
                    <a:prstGeom prst="rect">
                      <a:avLst/>
                    </a:prstGeom>
                  </pic:spPr>
                </pic:pic>
              </a:graphicData>
            </a:graphic>
          </wp:inline>
        </w:drawing>
      </w:r>
    </w:p>
    <w:p w14:paraId="0741D99C">
      <w:pPr>
        <w:pStyle w:val="281"/>
        <w:bidi w:val="0"/>
      </w:pPr>
      <w:r>
        <w:rPr>
          <w:rFonts w:hint="eastAsia"/>
        </w:rPr>
        <w:t>TN-C系统</w:t>
      </w:r>
    </w:p>
    <w:p w14:paraId="20D9C692">
      <w:pPr>
        <w:jc w:val="center"/>
      </w:pPr>
      <w:r>
        <w:drawing>
          <wp:inline distT="0" distB="0" distL="0" distR="0">
            <wp:extent cx="3886200" cy="26860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7"/>
                    <a:stretch>
                      <a:fillRect/>
                    </a:stretch>
                  </pic:blipFill>
                  <pic:spPr>
                    <a:xfrm>
                      <a:off x="0" y="0"/>
                      <a:ext cx="3886200" cy="2686050"/>
                    </a:xfrm>
                    <a:prstGeom prst="rect">
                      <a:avLst/>
                    </a:prstGeom>
                  </pic:spPr>
                </pic:pic>
              </a:graphicData>
            </a:graphic>
          </wp:inline>
        </w:drawing>
      </w:r>
    </w:p>
    <w:p w14:paraId="4C4D0F55">
      <w:pPr>
        <w:pStyle w:val="281"/>
        <w:bidi w:val="0"/>
      </w:pPr>
      <w:r>
        <w:rPr>
          <w:rFonts w:hint="eastAsia"/>
        </w:rPr>
        <w:t>TN-C-S系统</w:t>
      </w:r>
    </w:p>
    <w:p w14:paraId="3EA29225">
      <w:pPr>
        <w:jc w:val="center"/>
      </w:pPr>
      <w:r>
        <w:drawing>
          <wp:inline distT="0" distB="0" distL="0" distR="0">
            <wp:extent cx="3762375" cy="287655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8"/>
                    <a:stretch>
                      <a:fillRect/>
                    </a:stretch>
                  </pic:blipFill>
                  <pic:spPr>
                    <a:xfrm>
                      <a:off x="0" y="0"/>
                      <a:ext cx="3762375" cy="2876550"/>
                    </a:xfrm>
                    <a:prstGeom prst="rect">
                      <a:avLst/>
                    </a:prstGeom>
                  </pic:spPr>
                </pic:pic>
              </a:graphicData>
            </a:graphic>
          </wp:inline>
        </w:drawing>
      </w:r>
    </w:p>
    <w:p w14:paraId="377334FD">
      <w:pPr>
        <w:pStyle w:val="281"/>
        <w:bidi w:val="0"/>
      </w:pPr>
      <w:r>
        <w:rPr>
          <w:rFonts w:hint="eastAsia"/>
        </w:rPr>
        <w:t>TN-S系统</w:t>
      </w:r>
    </w:p>
    <w:p w14:paraId="421587D5">
      <w:pPr>
        <w:pStyle w:val="276"/>
        <w:bidi w:val="0"/>
      </w:pPr>
      <w:r>
        <w:rPr>
          <w:rFonts w:hint="eastAsia"/>
        </w:rPr>
        <w:t>TT系统</w:t>
      </w:r>
    </w:p>
    <w:p w14:paraId="2AF96BB0">
      <w:pPr>
        <w:pStyle w:val="258"/>
        <w:rPr>
          <w:rFonts w:hint="eastAsia"/>
          <w:lang w:eastAsia="zh-CN"/>
        </w:rPr>
      </w:pPr>
      <w:r>
        <w:rPr>
          <w:rFonts w:hint="eastAsia"/>
        </w:rPr>
        <w:t>电源系统有一点直接接地，设备外露导电部分的接地与电源系统的接地电气上无关的系统</w:t>
      </w:r>
      <w:r>
        <w:rPr>
          <w:rFonts w:hint="eastAsia"/>
          <w:lang w:eastAsia="zh-CN"/>
        </w:rPr>
        <w:t>。</w:t>
      </w:r>
    </w:p>
    <w:p w14:paraId="41DB3BF1">
      <w:pPr>
        <w:pStyle w:val="303"/>
      </w:pPr>
      <w:r>
        <w:rPr>
          <w:rFonts w:hint="eastAsia"/>
        </w:rPr>
        <w:t>第一个字母T表示电源系统的一点直接接地；</w:t>
      </w:r>
    </w:p>
    <w:p w14:paraId="6329C3FB">
      <w:pPr>
        <w:pStyle w:val="303"/>
        <w:keepNext w:val="0"/>
        <w:keepLines w:val="0"/>
        <w:pageBreakBefore w:val="0"/>
        <w:widowControl w:val="0"/>
        <w:numPr>
          <w:ilvl w:val="0"/>
          <w:numId w:val="0"/>
        </w:numPr>
        <w:kinsoku/>
        <w:wordWrap/>
        <w:overflowPunct/>
        <w:topLinePunct w:val="0"/>
        <w:autoSpaceDE w:val="0"/>
        <w:autoSpaceDN w:val="0"/>
        <w:bidi w:val="0"/>
        <w:adjustRightInd/>
        <w:snapToGrid/>
        <w:ind w:left="363" w:leftChars="0" w:firstLine="360" w:firstLineChars="200"/>
        <w:textAlignment w:val="auto"/>
        <w:rPr>
          <w:rFonts w:hint="eastAsia"/>
          <w:lang w:eastAsia="zh-CN"/>
        </w:rPr>
      </w:pPr>
      <w:r>
        <w:rPr>
          <w:rFonts w:hint="eastAsia"/>
        </w:rPr>
        <w:t>第二个字母T表示设备外露导电部分的接地与电源系统的接地电气上无关</w:t>
      </w:r>
      <w:r>
        <w:rPr>
          <w:rFonts w:hint="eastAsia"/>
          <w:lang w:eastAsia="zh-CN"/>
        </w:rPr>
        <w:t>。</w:t>
      </w:r>
    </w:p>
    <w:p w14:paraId="5776188F">
      <w:pPr>
        <w:jc w:val="center"/>
      </w:pPr>
      <w:r>
        <w:drawing>
          <wp:inline distT="0" distB="0" distL="0" distR="0">
            <wp:extent cx="3952875" cy="2809875"/>
            <wp:effectExtent l="0" t="0" r="952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9"/>
                    <a:stretch>
                      <a:fillRect/>
                    </a:stretch>
                  </pic:blipFill>
                  <pic:spPr>
                    <a:xfrm>
                      <a:off x="0" y="0"/>
                      <a:ext cx="3952875" cy="2809875"/>
                    </a:xfrm>
                    <a:prstGeom prst="rect">
                      <a:avLst/>
                    </a:prstGeom>
                  </pic:spPr>
                </pic:pic>
              </a:graphicData>
            </a:graphic>
          </wp:inline>
        </w:drawing>
      </w:r>
    </w:p>
    <w:p w14:paraId="5C76D027">
      <w:pPr>
        <w:pStyle w:val="281"/>
        <w:bidi w:val="0"/>
        <w:rPr>
          <w:rFonts w:hint="eastAsia"/>
          <w:lang w:eastAsia="zh-CN"/>
        </w:rPr>
      </w:pPr>
      <w:r>
        <w:t>TT</w:t>
      </w:r>
      <w:r>
        <w:rPr>
          <w:rFonts w:hint="eastAsia"/>
        </w:rPr>
        <w:t>系统</w:t>
      </w:r>
    </w:p>
    <w:p w14:paraId="34945369">
      <w:pPr>
        <w:pStyle w:val="258"/>
      </w:pPr>
    </w:p>
    <w:p w14:paraId="58911C1A">
      <w:pPr>
        <w:pStyle w:val="258"/>
        <w:bidi w:val="0"/>
        <w:sectPr>
          <w:pgSz w:w="11907" w:h="16839"/>
          <w:pgMar w:top="1418" w:right="1134" w:bottom="1134" w:left="1418" w:header="1418" w:footer="1134" w:gutter="0"/>
          <w:lnNumType w:countBy="0" w:restart="continuous"/>
          <w:pgNumType w:fmt="decimal"/>
          <w:cols w:space="425" w:num="1"/>
          <w:rtlGutter w:val="0"/>
          <w:docGrid w:type="lines" w:linePitch="312" w:charSpace="0"/>
        </w:sectPr>
      </w:pPr>
    </w:p>
    <w:p w14:paraId="4800A9C4">
      <w:pPr>
        <w:pStyle w:val="347"/>
        <w:bidi w:val="0"/>
      </w:pPr>
      <w:bookmarkStart w:id="82" w:name="附录头部信息书签_2"/>
    </w:p>
    <w:p w14:paraId="36EA67C5">
      <w:pPr>
        <w:pStyle w:val="348"/>
        <w:bidi w:val="0"/>
      </w:pPr>
    </w:p>
    <w:p w14:paraId="20013BAF">
      <w:pPr>
        <w:pStyle w:val="274"/>
        <w:bidi w:val="0"/>
        <w:jc w:val="center"/>
      </w:pPr>
      <w:bookmarkStart w:id="83" w:name="_Toc4875"/>
      <w:r>
        <w:br w:type="textWrapping"/>
      </w:r>
      <w:r>
        <w:rPr>
          <w:rFonts w:hint="eastAsia"/>
          <w:lang w:eastAsia="zh-CN"/>
        </w:rPr>
        <w:t>（资料性）</w:t>
      </w:r>
      <w:r>
        <w:rPr>
          <w:rFonts w:hint="eastAsia"/>
          <w:lang w:eastAsia="zh-CN"/>
        </w:rPr>
        <w:br w:type="textWrapping"/>
      </w:r>
      <w:r>
        <w:rPr>
          <w:rFonts w:hint="eastAsia"/>
          <w:lang w:eastAsia="zh-CN"/>
        </w:rPr>
        <w:t>电流对人和家畜的效应</w:t>
      </w:r>
      <w:bookmarkEnd w:id="82"/>
      <w:bookmarkEnd w:id="83"/>
    </w:p>
    <w:p w14:paraId="44E5B14A">
      <w:pPr>
        <w:pStyle w:val="276"/>
        <w:bidi w:val="0"/>
      </w:pPr>
      <w:r>
        <w:rPr>
          <w:rFonts w:hint="eastAsia"/>
        </w:rPr>
        <w:t>电流对人体时的效应图示</w:t>
      </w:r>
    </w:p>
    <w:p w14:paraId="32F8505F">
      <w:pPr>
        <w:pStyle w:val="258"/>
        <w:rPr>
          <w:rFonts w:hint="eastAsia"/>
        </w:rPr>
      </w:pPr>
      <w:r>
        <w:rPr>
          <w:rFonts w:hint="eastAsia"/>
        </w:rPr>
        <w:drawing>
          <wp:inline distT="0" distB="0" distL="114300" distR="114300">
            <wp:extent cx="5067300" cy="3202940"/>
            <wp:effectExtent l="0" t="0" r="0" b="16510"/>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067300" cy="3202940"/>
                    </a:xfrm>
                    <a:prstGeom prst="rect">
                      <a:avLst/>
                    </a:prstGeom>
                    <a:noFill/>
                  </pic:spPr>
                </pic:pic>
              </a:graphicData>
            </a:graphic>
          </wp:inline>
        </w:drawing>
      </w:r>
    </w:p>
    <w:p w14:paraId="40AF1E33">
      <w:pPr>
        <w:pStyle w:val="281"/>
        <w:bidi w:val="0"/>
        <w:rPr>
          <w:rFonts w:hint="eastAsia"/>
        </w:rPr>
      </w:pPr>
      <w:r>
        <w:rPr>
          <w:rFonts w:hint="eastAsia"/>
        </w:rPr>
        <w:t>电流路径左手到双脚的交流电流（</w:t>
      </w:r>
      <w:r>
        <w:t>15Hz</w:t>
      </w:r>
      <w:r>
        <w:rPr>
          <w:rFonts w:hint="eastAsia"/>
        </w:rPr>
        <w:t>至</w:t>
      </w:r>
      <w:r>
        <w:t>100Hz</w:t>
      </w:r>
      <w:r>
        <w:rPr>
          <w:rFonts w:hint="eastAsia"/>
        </w:rPr>
        <w:t>）对人效应的约定时间</w:t>
      </w:r>
      <w:r>
        <w:t xml:space="preserve">/ </w:t>
      </w:r>
      <w:r>
        <w:rPr>
          <w:rFonts w:hint="eastAsia"/>
        </w:rPr>
        <w:t>电流区域</w:t>
      </w:r>
    </w:p>
    <w:p w14:paraId="0151CA9C">
      <w:pPr>
        <w:pStyle w:val="275"/>
        <w:bidi w:val="0"/>
        <w:rPr>
          <w:rFonts w:hint="eastAsia"/>
        </w:rPr>
      </w:pPr>
      <w:r>
        <w:rPr>
          <w:rFonts w:hint="eastAsia" w:hAnsi="宋体"/>
          <w:bCs/>
          <w:color w:val="000000"/>
        </w:rPr>
        <w:t>一手到双脚的通路，交流</w:t>
      </w:r>
      <w:r>
        <w:rPr>
          <w:rFonts w:hAnsi="宋体"/>
          <w:bCs/>
          <w:color w:val="000000"/>
        </w:rPr>
        <w:t>15Hz</w:t>
      </w:r>
      <w:r>
        <w:rPr>
          <w:rFonts w:hint="eastAsia" w:hAnsi="宋体"/>
          <w:bCs/>
          <w:color w:val="000000"/>
        </w:rPr>
        <w:t>至</w:t>
      </w:r>
      <w:r>
        <w:rPr>
          <w:rFonts w:hAnsi="宋体"/>
          <w:bCs/>
          <w:color w:val="000000"/>
        </w:rPr>
        <w:t>100Hz</w:t>
      </w:r>
      <w:r>
        <w:rPr>
          <w:rFonts w:hint="eastAsia" w:hAnsi="宋体"/>
          <w:bCs/>
          <w:color w:val="000000"/>
        </w:rPr>
        <w:t>的时间</w:t>
      </w:r>
      <w:r>
        <w:rPr>
          <w:rFonts w:hAnsi="宋体"/>
          <w:bCs/>
          <w:color w:val="000000"/>
        </w:rPr>
        <w:t xml:space="preserve">/ </w:t>
      </w:r>
      <w:r>
        <w:rPr>
          <w:rFonts w:hint="eastAsia" w:hAnsi="宋体"/>
          <w:bCs/>
          <w:color w:val="000000"/>
        </w:rPr>
        <w:t>电流区域（图</w:t>
      </w:r>
      <w:r>
        <w:rPr>
          <w:rFonts w:hAnsi="宋体"/>
          <w:bCs/>
          <w:color w:val="000000"/>
        </w:rPr>
        <w:t>1</w:t>
      </w:r>
      <w:r>
        <w:rPr>
          <w:rFonts w:hint="eastAsia" w:hAnsi="宋体"/>
          <w:bCs/>
          <w:color w:val="000000"/>
        </w:rPr>
        <w:t>区域的简要说明）</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2160"/>
        <w:gridCol w:w="5745"/>
      </w:tblGrid>
      <w:tr w14:paraId="1612F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vAlign w:val="center"/>
          </w:tcPr>
          <w:p w14:paraId="00499FC5">
            <w:pPr>
              <w:jc w:val="center"/>
              <w:rPr>
                <w:rFonts w:ascii="宋体"/>
                <w:color w:val="000000"/>
                <w:sz w:val="18"/>
                <w:szCs w:val="18"/>
              </w:rPr>
            </w:pPr>
            <w:r>
              <w:rPr>
                <w:rFonts w:hint="eastAsia" w:ascii="宋体" w:hAnsi="宋体"/>
                <w:color w:val="000000"/>
                <w:sz w:val="18"/>
                <w:szCs w:val="18"/>
              </w:rPr>
              <w:t>区域</w:t>
            </w:r>
          </w:p>
        </w:tc>
        <w:tc>
          <w:tcPr>
            <w:tcW w:w="2160" w:type="dxa"/>
            <w:tcBorders>
              <w:top w:val="single" w:color="auto" w:sz="4" w:space="0"/>
              <w:left w:val="single" w:color="auto" w:sz="4" w:space="0"/>
              <w:bottom w:val="single" w:color="auto" w:sz="4" w:space="0"/>
              <w:right w:val="single" w:color="auto" w:sz="4" w:space="0"/>
            </w:tcBorders>
            <w:vAlign w:val="center"/>
          </w:tcPr>
          <w:p w14:paraId="2EB08B51">
            <w:pPr>
              <w:ind w:right="71"/>
              <w:jc w:val="center"/>
              <w:rPr>
                <w:rFonts w:ascii="宋体"/>
                <w:color w:val="000000"/>
                <w:sz w:val="18"/>
                <w:szCs w:val="18"/>
              </w:rPr>
            </w:pPr>
            <w:r>
              <w:rPr>
                <w:rFonts w:hint="eastAsia" w:ascii="宋体" w:hAnsi="宋体"/>
                <w:color w:val="000000"/>
                <w:sz w:val="18"/>
                <w:szCs w:val="18"/>
              </w:rPr>
              <w:t>范围</w:t>
            </w:r>
          </w:p>
        </w:tc>
        <w:tc>
          <w:tcPr>
            <w:tcW w:w="5745" w:type="dxa"/>
            <w:tcBorders>
              <w:top w:val="single" w:color="auto" w:sz="4" w:space="0"/>
              <w:left w:val="single" w:color="auto" w:sz="4" w:space="0"/>
              <w:bottom w:val="single" w:color="auto" w:sz="4" w:space="0"/>
              <w:right w:val="single" w:color="auto" w:sz="4" w:space="0"/>
            </w:tcBorders>
            <w:vAlign w:val="center"/>
          </w:tcPr>
          <w:p w14:paraId="4C2A3415">
            <w:pPr>
              <w:jc w:val="center"/>
              <w:rPr>
                <w:rFonts w:ascii="宋体"/>
                <w:color w:val="000000"/>
                <w:sz w:val="18"/>
                <w:szCs w:val="18"/>
              </w:rPr>
            </w:pPr>
            <w:r>
              <w:rPr>
                <w:rFonts w:hint="eastAsia" w:ascii="宋体" w:hAnsi="宋体"/>
                <w:color w:val="000000"/>
                <w:sz w:val="18"/>
                <w:szCs w:val="18"/>
              </w:rPr>
              <w:t>生</w:t>
            </w:r>
            <w:r>
              <w:rPr>
                <w:rFonts w:ascii="宋体" w:hAnsi="宋体"/>
                <w:color w:val="000000"/>
                <w:sz w:val="18"/>
                <w:szCs w:val="18"/>
              </w:rPr>
              <w:t xml:space="preserve">  </w:t>
            </w:r>
            <w:r>
              <w:rPr>
                <w:rFonts w:hint="eastAsia" w:ascii="宋体" w:hAnsi="宋体"/>
                <w:color w:val="000000"/>
                <w:sz w:val="18"/>
                <w:szCs w:val="18"/>
              </w:rPr>
              <w:t>理</w:t>
            </w:r>
            <w:r>
              <w:rPr>
                <w:rFonts w:ascii="宋体" w:hAnsi="宋体"/>
                <w:color w:val="000000"/>
                <w:sz w:val="18"/>
                <w:szCs w:val="18"/>
              </w:rPr>
              <w:t xml:space="preserve">  </w:t>
            </w:r>
            <w:r>
              <w:rPr>
                <w:rFonts w:hint="eastAsia" w:ascii="宋体" w:hAnsi="宋体"/>
                <w:color w:val="000000"/>
                <w:sz w:val="18"/>
                <w:szCs w:val="18"/>
              </w:rPr>
              <w:t>效</w:t>
            </w:r>
            <w:r>
              <w:rPr>
                <w:rFonts w:ascii="宋体" w:hAnsi="宋体"/>
                <w:color w:val="000000"/>
                <w:sz w:val="18"/>
                <w:szCs w:val="18"/>
              </w:rPr>
              <w:t xml:space="preserve">  </w:t>
            </w:r>
            <w:r>
              <w:rPr>
                <w:rFonts w:hint="eastAsia" w:ascii="宋体" w:hAnsi="宋体"/>
                <w:color w:val="000000"/>
                <w:sz w:val="18"/>
                <w:szCs w:val="18"/>
              </w:rPr>
              <w:t>应</w:t>
            </w:r>
          </w:p>
        </w:tc>
      </w:tr>
      <w:tr w14:paraId="20DF8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vAlign w:val="center"/>
          </w:tcPr>
          <w:p w14:paraId="75D8AD8B">
            <w:pPr>
              <w:rPr>
                <w:rFonts w:ascii="宋体"/>
                <w:color w:val="000000"/>
                <w:sz w:val="18"/>
                <w:szCs w:val="18"/>
              </w:rPr>
            </w:pPr>
            <w:r>
              <w:rPr>
                <w:rFonts w:ascii="宋体" w:hAnsi="宋体"/>
                <w:color w:val="000000"/>
                <w:sz w:val="18"/>
                <w:szCs w:val="18"/>
              </w:rPr>
              <w:t>AC—1</w:t>
            </w:r>
          </w:p>
        </w:tc>
        <w:tc>
          <w:tcPr>
            <w:tcW w:w="2160" w:type="dxa"/>
            <w:tcBorders>
              <w:top w:val="single" w:color="auto" w:sz="4" w:space="0"/>
              <w:left w:val="single" w:color="auto" w:sz="4" w:space="0"/>
              <w:bottom w:val="single" w:color="auto" w:sz="4" w:space="0"/>
              <w:right w:val="single" w:color="auto" w:sz="4" w:space="0"/>
            </w:tcBorders>
            <w:vAlign w:val="center"/>
          </w:tcPr>
          <w:p w14:paraId="6FD91845">
            <w:pPr>
              <w:ind w:right="71"/>
              <w:rPr>
                <w:rFonts w:ascii="宋体"/>
                <w:color w:val="000000"/>
                <w:sz w:val="18"/>
                <w:szCs w:val="18"/>
              </w:rPr>
            </w:pPr>
            <w:r>
              <w:rPr>
                <w:rFonts w:hint="eastAsia" w:ascii="宋体" w:hAnsi="宋体"/>
                <w:color w:val="000000"/>
                <w:sz w:val="18"/>
                <w:szCs w:val="18"/>
              </w:rPr>
              <w:t>直至</w:t>
            </w:r>
            <w:r>
              <w:rPr>
                <w:rFonts w:ascii="宋体" w:hAnsi="宋体"/>
                <w:color w:val="000000"/>
                <w:sz w:val="18"/>
                <w:szCs w:val="18"/>
              </w:rPr>
              <w:t>0.5mA</w:t>
            </w:r>
            <w:r>
              <w:rPr>
                <w:rFonts w:hint="eastAsia" w:ascii="宋体" w:hAnsi="宋体"/>
                <w:color w:val="000000"/>
                <w:sz w:val="18"/>
                <w:szCs w:val="18"/>
              </w:rPr>
              <w:t>的曲线</w:t>
            </w:r>
            <w:r>
              <w:rPr>
                <w:rFonts w:ascii="宋体" w:hAnsi="宋体"/>
                <w:color w:val="000000"/>
                <w:sz w:val="18"/>
                <w:szCs w:val="18"/>
              </w:rPr>
              <w:t>a</w:t>
            </w:r>
          </w:p>
        </w:tc>
        <w:tc>
          <w:tcPr>
            <w:tcW w:w="5745" w:type="dxa"/>
            <w:tcBorders>
              <w:top w:val="single" w:color="auto" w:sz="4" w:space="0"/>
              <w:left w:val="single" w:color="auto" w:sz="4" w:space="0"/>
              <w:bottom w:val="single" w:color="auto" w:sz="4" w:space="0"/>
              <w:right w:val="single" w:color="auto" w:sz="4" w:space="0"/>
            </w:tcBorders>
            <w:vAlign w:val="center"/>
          </w:tcPr>
          <w:p w14:paraId="3D07789B">
            <w:pPr>
              <w:rPr>
                <w:rFonts w:ascii="宋体"/>
                <w:color w:val="000000"/>
                <w:sz w:val="18"/>
                <w:szCs w:val="18"/>
              </w:rPr>
            </w:pPr>
            <w:r>
              <w:rPr>
                <w:rFonts w:hint="eastAsia" w:ascii="宋体" w:hAnsi="宋体"/>
                <w:color w:val="000000"/>
                <w:sz w:val="18"/>
                <w:szCs w:val="18"/>
              </w:rPr>
              <w:t>有感知的可能性，但通常没</w:t>
            </w:r>
            <w:r>
              <w:rPr>
                <w:rFonts w:ascii="宋体" w:hAnsi="宋体"/>
                <w:color w:val="000000"/>
                <w:sz w:val="18"/>
                <w:szCs w:val="18"/>
              </w:rPr>
              <w:t xml:space="preserve"> </w:t>
            </w:r>
            <w:r>
              <w:rPr>
                <w:rFonts w:hint="eastAsia" w:ascii="宋体" w:hAnsi="宋体"/>
                <w:color w:val="000000"/>
                <w:sz w:val="18"/>
                <w:szCs w:val="18"/>
              </w:rPr>
              <w:t>有被“吓一跳”的反应。</w:t>
            </w:r>
          </w:p>
        </w:tc>
      </w:tr>
      <w:tr w14:paraId="7BF55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vAlign w:val="center"/>
          </w:tcPr>
          <w:p w14:paraId="5EC93BCB">
            <w:pPr>
              <w:rPr>
                <w:rFonts w:ascii="宋体"/>
                <w:color w:val="000000"/>
                <w:sz w:val="18"/>
                <w:szCs w:val="18"/>
              </w:rPr>
            </w:pPr>
            <w:r>
              <w:rPr>
                <w:rFonts w:ascii="宋体" w:hAnsi="宋体"/>
                <w:color w:val="000000"/>
                <w:sz w:val="18"/>
                <w:szCs w:val="18"/>
              </w:rPr>
              <w:t>AC—2</w:t>
            </w:r>
          </w:p>
        </w:tc>
        <w:tc>
          <w:tcPr>
            <w:tcW w:w="2160" w:type="dxa"/>
            <w:tcBorders>
              <w:top w:val="single" w:color="auto" w:sz="4" w:space="0"/>
              <w:left w:val="single" w:color="auto" w:sz="4" w:space="0"/>
              <w:bottom w:val="single" w:color="auto" w:sz="4" w:space="0"/>
              <w:right w:val="single" w:color="auto" w:sz="4" w:space="0"/>
            </w:tcBorders>
            <w:vAlign w:val="center"/>
          </w:tcPr>
          <w:p w14:paraId="75860E49">
            <w:pPr>
              <w:ind w:right="71"/>
              <w:rPr>
                <w:rFonts w:ascii="宋体"/>
                <w:color w:val="000000"/>
                <w:sz w:val="18"/>
                <w:szCs w:val="18"/>
              </w:rPr>
            </w:pPr>
            <w:r>
              <w:rPr>
                <w:rFonts w:ascii="宋体" w:hAnsi="宋体"/>
                <w:color w:val="000000"/>
                <w:sz w:val="18"/>
                <w:szCs w:val="18"/>
              </w:rPr>
              <w:t>0.5mA</w:t>
            </w:r>
            <w:r>
              <w:rPr>
                <w:rFonts w:hint="eastAsia" w:ascii="宋体" w:hAnsi="宋体"/>
                <w:color w:val="000000"/>
                <w:sz w:val="18"/>
                <w:szCs w:val="18"/>
              </w:rPr>
              <w:t>直至曲线</w:t>
            </w:r>
            <w:r>
              <w:rPr>
                <w:rFonts w:ascii="宋体" w:hAnsi="宋体"/>
                <w:color w:val="000000"/>
                <w:sz w:val="18"/>
                <w:szCs w:val="18"/>
              </w:rPr>
              <w:t>b</w:t>
            </w:r>
          </w:p>
        </w:tc>
        <w:tc>
          <w:tcPr>
            <w:tcW w:w="5745" w:type="dxa"/>
            <w:tcBorders>
              <w:top w:val="single" w:color="auto" w:sz="4" w:space="0"/>
              <w:left w:val="single" w:color="auto" w:sz="4" w:space="0"/>
              <w:bottom w:val="single" w:color="auto" w:sz="4" w:space="0"/>
              <w:right w:val="single" w:color="auto" w:sz="4" w:space="0"/>
            </w:tcBorders>
            <w:vAlign w:val="center"/>
          </w:tcPr>
          <w:p w14:paraId="0915C956">
            <w:pPr>
              <w:rPr>
                <w:rFonts w:ascii="宋体"/>
                <w:color w:val="000000"/>
                <w:sz w:val="18"/>
                <w:szCs w:val="18"/>
              </w:rPr>
            </w:pPr>
            <w:r>
              <w:rPr>
                <w:rFonts w:hint="eastAsia" w:ascii="宋体" w:hAnsi="宋体"/>
                <w:color w:val="000000"/>
                <w:sz w:val="18"/>
                <w:szCs w:val="18"/>
              </w:rPr>
              <w:t>可能有感知和不自主地肌肉收缩但通常没有有害的电生理学效应</w:t>
            </w:r>
            <w:r>
              <w:rPr>
                <w:rFonts w:ascii="宋体" w:hAnsi="宋体"/>
                <w:color w:val="000000"/>
                <w:sz w:val="18"/>
                <w:szCs w:val="18"/>
              </w:rPr>
              <w:t xml:space="preserve"> </w:t>
            </w:r>
            <w:r>
              <w:rPr>
                <w:rFonts w:hint="eastAsia" w:ascii="宋体" w:hAnsi="宋体"/>
                <w:color w:val="000000"/>
                <w:sz w:val="18"/>
                <w:szCs w:val="18"/>
              </w:rPr>
              <w:t>。</w:t>
            </w:r>
          </w:p>
        </w:tc>
      </w:tr>
      <w:tr w14:paraId="63495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vAlign w:val="center"/>
          </w:tcPr>
          <w:p w14:paraId="28AEB345">
            <w:pPr>
              <w:rPr>
                <w:rFonts w:ascii="宋体"/>
                <w:color w:val="000000"/>
                <w:sz w:val="18"/>
                <w:szCs w:val="18"/>
              </w:rPr>
            </w:pPr>
            <w:r>
              <w:rPr>
                <w:rFonts w:ascii="宋体" w:hAnsi="宋体"/>
                <w:color w:val="000000"/>
                <w:sz w:val="18"/>
                <w:szCs w:val="18"/>
              </w:rPr>
              <w:t>AC—3</w:t>
            </w:r>
          </w:p>
        </w:tc>
        <w:tc>
          <w:tcPr>
            <w:tcW w:w="2160" w:type="dxa"/>
            <w:tcBorders>
              <w:top w:val="single" w:color="auto" w:sz="4" w:space="0"/>
              <w:left w:val="single" w:color="auto" w:sz="4" w:space="0"/>
              <w:bottom w:val="single" w:color="auto" w:sz="4" w:space="0"/>
              <w:right w:val="single" w:color="auto" w:sz="4" w:space="0"/>
            </w:tcBorders>
            <w:vAlign w:val="center"/>
          </w:tcPr>
          <w:p w14:paraId="02A17225">
            <w:pPr>
              <w:ind w:right="71"/>
              <w:rPr>
                <w:rFonts w:ascii="宋体"/>
                <w:color w:val="000000"/>
                <w:sz w:val="18"/>
                <w:szCs w:val="18"/>
              </w:rPr>
            </w:pPr>
            <w:r>
              <w:rPr>
                <w:rFonts w:hint="eastAsia" w:ascii="宋体" w:hAnsi="宋体"/>
                <w:color w:val="000000"/>
                <w:sz w:val="18"/>
                <w:szCs w:val="18"/>
              </w:rPr>
              <w:t>曲线</w:t>
            </w:r>
            <w:r>
              <w:rPr>
                <w:rFonts w:ascii="宋体" w:hAnsi="宋体"/>
                <w:color w:val="000000"/>
                <w:sz w:val="18"/>
                <w:szCs w:val="18"/>
              </w:rPr>
              <w:t>b</w:t>
            </w:r>
            <w:r>
              <w:rPr>
                <w:rFonts w:hint="eastAsia" w:ascii="宋体" w:hAnsi="宋体"/>
                <w:color w:val="000000"/>
                <w:sz w:val="18"/>
                <w:szCs w:val="18"/>
              </w:rPr>
              <w:t>及其上面</w:t>
            </w:r>
          </w:p>
        </w:tc>
        <w:tc>
          <w:tcPr>
            <w:tcW w:w="5745" w:type="dxa"/>
            <w:tcBorders>
              <w:top w:val="single" w:color="auto" w:sz="4" w:space="0"/>
              <w:left w:val="single" w:color="auto" w:sz="4" w:space="0"/>
              <w:bottom w:val="single" w:color="auto" w:sz="4" w:space="0"/>
              <w:right w:val="single" w:color="auto" w:sz="4" w:space="0"/>
            </w:tcBorders>
            <w:vAlign w:val="center"/>
          </w:tcPr>
          <w:p w14:paraId="5C461454">
            <w:pPr>
              <w:rPr>
                <w:rFonts w:ascii="宋体"/>
                <w:color w:val="000000"/>
                <w:sz w:val="18"/>
                <w:szCs w:val="18"/>
              </w:rPr>
            </w:pPr>
            <w:r>
              <w:rPr>
                <w:rFonts w:hint="eastAsia" w:ascii="宋体" w:hAnsi="宋体"/>
                <w:color w:val="000000"/>
                <w:sz w:val="18"/>
                <w:szCs w:val="18"/>
              </w:rPr>
              <w:t>可强烈地不自主的肌肉收缩。呼吸困难。可逆性的心脏功能障碍。活动抑制可能出现。随着电流幅度而加剧的效应。通常没有预期的器官破坏。</w:t>
            </w:r>
          </w:p>
        </w:tc>
      </w:tr>
      <w:tr w14:paraId="77250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48" w:type="dxa"/>
            <w:vMerge w:val="restart"/>
            <w:tcBorders>
              <w:top w:val="single" w:color="auto" w:sz="4" w:space="0"/>
              <w:left w:val="single" w:color="auto" w:sz="4" w:space="0"/>
              <w:bottom w:val="single" w:color="auto" w:sz="4" w:space="0"/>
              <w:right w:val="single" w:color="auto" w:sz="4" w:space="0"/>
            </w:tcBorders>
            <w:vAlign w:val="center"/>
          </w:tcPr>
          <w:p w14:paraId="7461C523">
            <w:pPr>
              <w:rPr>
                <w:rFonts w:ascii="宋体"/>
                <w:color w:val="000000"/>
                <w:sz w:val="18"/>
                <w:szCs w:val="18"/>
              </w:rPr>
            </w:pPr>
            <w:r>
              <w:rPr>
                <w:rFonts w:ascii="宋体" w:hAnsi="宋体"/>
                <w:color w:val="000000"/>
                <w:sz w:val="18"/>
                <w:szCs w:val="18"/>
              </w:rPr>
              <w:t>AC—4</w:t>
            </w:r>
          </w:p>
        </w:tc>
        <w:tc>
          <w:tcPr>
            <w:tcW w:w="2160" w:type="dxa"/>
            <w:tcBorders>
              <w:top w:val="single" w:color="auto" w:sz="4" w:space="0"/>
              <w:left w:val="single" w:color="auto" w:sz="4" w:space="0"/>
              <w:bottom w:val="single" w:color="auto" w:sz="4" w:space="0"/>
              <w:right w:val="single" w:color="auto" w:sz="4" w:space="0"/>
            </w:tcBorders>
            <w:vAlign w:val="center"/>
          </w:tcPr>
          <w:p w14:paraId="1458E5B7">
            <w:pPr>
              <w:ind w:right="71"/>
              <w:rPr>
                <w:rFonts w:ascii="宋体"/>
                <w:color w:val="000000"/>
                <w:sz w:val="18"/>
                <w:szCs w:val="18"/>
              </w:rPr>
            </w:pPr>
            <w:r>
              <w:rPr>
                <w:rFonts w:hint="eastAsia" w:ascii="宋体" w:hAnsi="宋体"/>
                <w:color w:val="000000"/>
                <w:sz w:val="18"/>
                <w:szCs w:val="18"/>
              </w:rPr>
              <w:t>在曲线</w:t>
            </w:r>
            <w:r>
              <w:rPr>
                <w:rFonts w:ascii="宋体" w:hAnsi="宋体"/>
                <w:color w:val="000000"/>
                <w:sz w:val="18"/>
                <w:szCs w:val="18"/>
              </w:rPr>
              <w:t>C1</w:t>
            </w:r>
            <w:r>
              <w:rPr>
                <w:rFonts w:hint="eastAsia" w:ascii="宋体" w:hAnsi="宋体"/>
                <w:color w:val="000000"/>
                <w:sz w:val="18"/>
                <w:szCs w:val="18"/>
              </w:rPr>
              <w:t>以上</w:t>
            </w:r>
          </w:p>
        </w:tc>
        <w:tc>
          <w:tcPr>
            <w:tcW w:w="5745" w:type="dxa"/>
            <w:tcBorders>
              <w:top w:val="single" w:color="auto" w:sz="4" w:space="0"/>
              <w:left w:val="single" w:color="auto" w:sz="4" w:space="0"/>
              <w:bottom w:val="single" w:color="auto" w:sz="4" w:space="0"/>
              <w:right w:val="single" w:color="auto" w:sz="4" w:space="0"/>
            </w:tcBorders>
            <w:vAlign w:val="center"/>
          </w:tcPr>
          <w:p w14:paraId="3FDD5F5F">
            <w:pPr>
              <w:rPr>
                <w:rFonts w:ascii="宋体"/>
                <w:color w:val="000000"/>
                <w:sz w:val="18"/>
                <w:szCs w:val="18"/>
              </w:rPr>
            </w:pPr>
            <w:r>
              <w:rPr>
                <w:rFonts w:hint="eastAsia" w:ascii="宋体" w:hAnsi="宋体"/>
                <w:color w:val="000000"/>
                <w:sz w:val="18"/>
                <w:szCs w:val="18"/>
              </w:rPr>
              <w:t>可能发生病理一生理学效应，如心博停止、呼吸停止以及烧伤或其他细胞的破坏。心室纤维性颤动的概率随着电流的幅度和时间增加。</w:t>
            </w:r>
          </w:p>
        </w:tc>
      </w:tr>
      <w:tr w14:paraId="216C6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48" w:type="dxa"/>
            <w:vMerge w:val="continue"/>
            <w:tcBorders>
              <w:top w:val="single" w:color="auto" w:sz="4" w:space="0"/>
              <w:left w:val="single" w:color="auto" w:sz="4" w:space="0"/>
              <w:bottom w:val="single" w:color="auto" w:sz="4" w:space="0"/>
              <w:right w:val="single" w:color="auto" w:sz="4" w:space="0"/>
            </w:tcBorders>
            <w:vAlign w:val="center"/>
          </w:tcPr>
          <w:p w14:paraId="622AB93E">
            <w:pPr>
              <w:rPr>
                <w:rFonts w:ascii="宋体"/>
                <w:color w:val="000000"/>
                <w:sz w:val="18"/>
                <w:szCs w:val="18"/>
              </w:rPr>
            </w:pPr>
          </w:p>
        </w:tc>
        <w:tc>
          <w:tcPr>
            <w:tcW w:w="2160" w:type="dxa"/>
            <w:tcBorders>
              <w:top w:val="single" w:color="auto" w:sz="4" w:space="0"/>
              <w:left w:val="single" w:color="auto" w:sz="4" w:space="0"/>
              <w:bottom w:val="single" w:color="auto" w:sz="4" w:space="0"/>
              <w:right w:val="single" w:color="auto" w:sz="4" w:space="0"/>
            </w:tcBorders>
            <w:vAlign w:val="center"/>
          </w:tcPr>
          <w:p w14:paraId="6D34E443">
            <w:pPr>
              <w:ind w:right="71"/>
              <w:rPr>
                <w:rFonts w:ascii="宋体"/>
                <w:color w:val="000000"/>
                <w:sz w:val="18"/>
                <w:szCs w:val="18"/>
              </w:rPr>
            </w:pPr>
            <w:r>
              <w:rPr>
                <w:rFonts w:ascii="宋体" w:hAnsi="宋体"/>
                <w:color w:val="000000"/>
                <w:sz w:val="18"/>
                <w:szCs w:val="18"/>
              </w:rPr>
              <w:t>C1—C2</w:t>
            </w:r>
          </w:p>
        </w:tc>
        <w:tc>
          <w:tcPr>
            <w:tcW w:w="5745" w:type="dxa"/>
            <w:tcBorders>
              <w:top w:val="single" w:color="auto" w:sz="4" w:space="0"/>
              <w:left w:val="single" w:color="auto" w:sz="4" w:space="0"/>
              <w:bottom w:val="single" w:color="auto" w:sz="4" w:space="0"/>
              <w:right w:val="single" w:color="auto" w:sz="4" w:space="0"/>
            </w:tcBorders>
            <w:vAlign w:val="center"/>
          </w:tcPr>
          <w:p w14:paraId="65815694">
            <w:pPr>
              <w:rPr>
                <w:rFonts w:ascii="宋体"/>
                <w:color w:val="000000"/>
                <w:sz w:val="18"/>
                <w:szCs w:val="18"/>
              </w:rPr>
            </w:pPr>
            <w:r>
              <w:rPr>
                <w:rFonts w:ascii="宋体" w:hAnsi="宋体"/>
                <w:color w:val="000000"/>
                <w:sz w:val="18"/>
                <w:szCs w:val="18"/>
              </w:rPr>
              <w:t>AC—4.1</w:t>
            </w:r>
            <w:r>
              <w:rPr>
                <w:rFonts w:hint="eastAsia" w:ascii="宋体" w:hAnsi="宋体"/>
                <w:color w:val="000000"/>
                <w:sz w:val="18"/>
                <w:szCs w:val="18"/>
              </w:rPr>
              <w:t>心室纤维性颤动的概率增到大约</w:t>
            </w:r>
            <w:r>
              <w:rPr>
                <w:rFonts w:ascii="宋体" w:hAnsi="宋体"/>
                <w:color w:val="000000"/>
                <w:sz w:val="18"/>
                <w:szCs w:val="18"/>
              </w:rPr>
              <w:t>5%</w:t>
            </w:r>
            <w:r>
              <w:rPr>
                <w:rFonts w:hint="eastAsia" w:ascii="宋体" w:hAnsi="宋体"/>
                <w:color w:val="000000"/>
                <w:sz w:val="18"/>
                <w:szCs w:val="18"/>
              </w:rPr>
              <w:t>。</w:t>
            </w:r>
          </w:p>
        </w:tc>
      </w:tr>
      <w:tr w14:paraId="2EA35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48" w:type="dxa"/>
            <w:vMerge w:val="continue"/>
            <w:tcBorders>
              <w:top w:val="single" w:color="auto" w:sz="4" w:space="0"/>
              <w:left w:val="single" w:color="auto" w:sz="4" w:space="0"/>
              <w:bottom w:val="single" w:color="auto" w:sz="4" w:space="0"/>
              <w:right w:val="single" w:color="auto" w:sz="4" w:space="0"/>
            </w:tcBorders>
            <w:vAlign w:val="center"/>
          </w:tcPr>
          <w:p w14:paraId="47E7817F">
            <w:pPr>
              <w:rPr>
                <w:rFonts w:ascii="宋体"/>
                <w:color w:val="000000"/>
                <w:sz w:val="18"/>
                <w:szCs w:val="18"/>
              </w:rPr>
            </w:pPr>
          </w:p>
        </w:tc>
        <w:tc>
          <w:tcPr>
            <w:tcW w:w="2160" w:type="dxa"/>
            <w:tcBorders>
              <w:top w:val="single" w:color="auto" w:sz="4" w:space="0"/>
              <w:left w:val="single" w:color="auto" w:sz="4" w:space="0"/>
              <w:bottom w:val="single" w:color="auto" w:sz="4" w:space="0"/>
              <w:right w:val="single" w:color="auto" w:sz="4" w:space="0"/>
            </w:tcBorders>
            <w:vAlign w:val="center"/>
          </w:tcPr>
          <w:p w14:paraId="2EAD5477">
            <w:pPr>
              <w:ind w:right="71"/>
              <w:rPr>
                <w:rFonts w:ascii="宋体"/>
                <w:color w:val="000000"/>
                <w:sz w:val="18"/>
                <w:szCs w:val="18"/>
              </w:rPr>
            </w:pPr>
            <w:r>
              <w:rPr>
                <w:rFonts w:ascii="宋体" w:hAnsi="宋体"/>
                <w:color w:val="000000"/>
                <w:sz w:val="18"/>
                <w:szCs w:val="18"/>
              </w:rPr>
              <w:t>C2—C3</w:t>
            </w:r>
          </w:p>
        </w:tc>
        <w:tc>
          <w:tcPr>
            <w:tcW w:w="5745" w:type="dxa"/>
            <w:tcBorders>
              <w:top w:val="single" w:color="auto" w:sz="4" w:space="0"/>
              <w:left w:val="single" w:color="auto" w:sz="4" w:space="0"/>
              <w:bottom w:val="single" w:color="auto" w:sz="4" w:space="0"/>
              <w:right w:val="single" w:color="auto" w:sz="4" w:space="0"/>
            </w:tcBorders>
            <w:vAlign w:val="center"/>
          </w:tcPr>
          <w:p w14:paraId="097C3C4B">
            <w:pPr>
              <w:rPr>
                <w:rFonts w:ascii="宋体"/>
                <w:color w:val="000000"/>
                <w:sz w:val="18"/>
                <w:szCs w:val="18"/>
              </w:rPr>
            </w:pPr>
            <w:r>
              <w:rPr>
                <w:rFonts w:ascii="宋体" w:hAnsi="宋体"/>
                <w:color w:val="000000"/>
                <w:sz w:val="18"/>
                <w:szCs w:val="18"/>
              </w:rPr>
              <w:t>AC—4.2</w:t>
            </w:r>
            <w:r>
              <w:rPr>
                <w:rFonts w:hint="eastAsia" w:ascii="宋体" w:hAnsi="宋体"/>
                <w:color w:val="000000"/>
                <w:sz w:val="18"/>
                <w:szCs w:val="18"/>
              </w:rPr>
              <w:t>心室纤维性颤动的概率增到大约</w:t>
            </w:r>
            <w:r>
              <w:rPr>
                <w:rFonts w:ascii="宋体" w:hAnsi="宋体"/>
                <w:color w:val="000000"/>
                <w:sz w:val="18"/>
                <w:szCs w:val="18"/>
              </w:rPr>
              <w:t>50%</w:t>
            </w:r>
            <w:r>
              <w:rPr>
                <w:rFonts w:hint="eastAsia" w:ascii="宋体" w:hAnsi="宋体"/>
                <w:color w:val="000000"/>
                <w:sz w:val="18"/>
                <w:szCs w:val="18"/>
              </w:rPr>
              <w:t>。</w:t>
            </w:r>
          </w:p>
        </w:tc>
      </w:tr>
      <w:tr w14:paraId="6356C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48" w:type="dxa"/>
            <w:vMerge w:val="continue"/>
            <w:tcBorders>
              <w:top w:val="single" w:color="auto" w:sz="4" w:space="0"/>
              <w:left w:val="single" w:color="auto" w:sz="4" w:space="0"/>
              <w:bottom w:val="single" w:color="auto" w:sz="4" w:space="0"/>
              <w:right w:val="single" w:color="auto" w:sz="4" w:space="0"/>
            </w:tcBorders>
            <w:vAlign w:val="center"/>
          </w:tcPr>
          <w:p w14:paraId="7CECDF29">
            <w:pPr>
              <w:rPr>
                <w:rFonts w:ascii="宋体"/>
                <w:color w:val="000000"/>
                <w:sz w:val="18"/>
                <w:szCs w:val="18"/>
              </w:rPr>
            </w:pPr>
          </w:p>
        </w:tc>
        <w:tc>
          <w:tcPr>
            <w:tcW w:w="2160" w:type="dxa"/>
            <w:tcBorders>
              <w:top w:val="single" w:color="auto" w:sz="4" w:space="0"/>
              <w:left w:val="single" w:color="auto" w:sz="4" w:space="0"/>
              <w:bottom w:val="single" w:color="auto" w:sz="4" w:space="0"/>
              <w:right w:val="single" w:color="auto" w:sz="4" w:space="0"/>
            </w:tcBorders>
            <w:vAlign w:val="center"/>
          </w:tcPr>
          <w:p w14:paraId="3C76C476">
            <w:pPr>
              <w:ind w:right="71"/>
              <w:rPr>
                <w:rFonts w:ascii="宋体"/>
                <w:color w:val="000000"/>
                <w:sz w:val="18"/>
                <w:szCs w:val="18"/>
              </w:rPr>
            </w:pPr>
            <w:r>
              <w:rPr>
                <w:rFonts w:hint="eastAsia" w:ascii="宋体" w:hAnsi="宋体"/>
                <w:color w:val="000000"/>
                <w:sz w:val="18"/>
                <w:szCs w:val="18"/>
              </w:rPr>
              <w:t>超过曲线</w:t>
            </w:r>
            <w:r>
              <w:rPr>
                <w:rFonts w:ascii="宋体" w:hAnsi="宋体"/>
                <w:color w:val="000000"/>
                <w:sz w:val="18"/>
                <w:szCs w:val="18"/>
              </w:rPr>
              <w:t>C3</w:t>
            </w:r>
            <w:r>
              <w:rPr>
                <w:rFonts w:hint="eastAsia" w:ascii="宋体" w:hAnsi="宋体"/>
                <w:color w:val="000000"/>
                <w:sz w:val="18"/>
                <w:szCs w:val="18"/>
              </w:rPr>
              <w:t>的范围</w:t>
            </w:r>
          </w:p>
        </w:tc>
        <w:tc>
          <w:tcPr>
            <w:tcW w:w="5745" w:type="dxa"/>
            <w:tcBorders>
              <w:top w:val="single" w:color="auto" w:sz="4" w:space="0"/>
              <w:left w:val="single" w:color="auto" w:sz="4" w:space="0"/>
              <w:bottom w:val="single" w:color="auto" w:sz="4" w:space="0"/>
              <w:right w:val="single" w:color="auto" w:sz="4" w:space="0"/>
            </w:tcBorders>
            <w:vAlign w:val="center"/>
          </w:tcPr>
          <w:p w14:paraId="630AFA8F">
            <w:pPr>
              <w:rPr>
                <w:rFonts w:ascii="宋体"/>
                <w:color w:val="000000"/>
                <w:sz w:val="18"/>
                <w:szCs w:val="18"/>
              </w:rPr>
            </w:pPr>
            <w:r>
              <w:rPr>
                <w:rFonts w:ascii="宋体" w:hAnsi="宋体"/>
                <w:color w:val="000000"/>
                <w:sz w:val="18"/>
                <w:szCs w:val="18"/>
              </w:rPr>
              <w:t>AC—4.3</w:t>
            </w:r>
            <w:r>
              <w:rPr>
                <w:rFonts w:hint="eastAsia" w:ascii="宋体" w:hAnsi="宋体"/>
                <w:color w:val="000000"/>
                <w:sz w:val="18"/>
                <w:szCs w:val="18"/>
              </w:rPr>
              <w:t>心室纤维性颤动的概率超过</w:t>
            </w:r>
            <w:r>
              <w:rPr>
                <w:rFonts w:ascii="宋体" w:hAnsi="宋体"/>
                <w:color w:val="000000"/>
                <w:sz w:val="18"/>
                <w:szCs w:val="18"/>
              </w:rPr>
              <w:t>50%</w:t>
            </w:r>
            <w:r>
              <w:rPr>
                <w:rFonts w:hint="eastAsia" w:ascii="宋体" w:hAnsi="宋体"/>
                <w:color w:val="000000"/>
                <w:sz w:val="18"/>
                <w:szCs w:val="18"/>
              </w:rPr>
              <w:t>以上。</w:t>
            </w:r>
          </w:p>
        </w:tc>
      </w:tr>
      <w:tr w14:paraId="2217D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9453" w:type="dxa"/>
            <w:gridSpan w:val="3"/>
            <w:tcBorders>
              <w:top w:val="single" w:color="auto" w:sz="4" w:space="0"/>
              <w:left w:val="single" w:color="auto" w:sz="4" w:space="0"/>
              <w:bottom w:val="single" w:color="auto" w:sz="4" w:space="0"/>
              <w:right w:val="single" w:color="auto" w:sz="4" w:space="0"/>
            </w:tcBorders>
            <w:vAlign w:val="center"/>
          </w:tcPr>
          <w:p w14:paraId="4D14C5A7">
            <w:pPr>
              <w:pStyle w:val="303"/>
              <w:bidi w:val="0"/>
            </w:pPr>
            <w:r>
              <w:rPr>
                <w:rFonts w:hint="eastAsia"/>
              </w:rPr>
              <w:t>对电流的持续时间在</w:t>
            </w:r>
            <w:r>
              <w:t>200ms</w:t>
            </w:r>
            <w:r>
              <w:rPr>
                <w:rFonts w:hint="eastAsia"/>
              </w:rPr>
              <w:t>以下，如果相关的阈被超过，心室纤维性颤动只有在易损期内才能被激发。关于心室纤维性颤动，这与从左手到双脚的路径中流通的电流效应相关。</w:t>
            </w:r>
          </w:p>
        </w:tc>
      </w:tr>
    </w:tbl>
    <w:p w14:paraId="2FA115BA">
      <w:pPr>
        <w:pStyle w:val="276"/>
        <w:bidi w:val="0"/>
        <w:rPr>
          <w:rFonts w:hint="eastAsia"/>
        </w:rPr>
      </w:pPr>
      <w:r>
        <w:rPr>
          <w:rFonts w:hint="eastAsia"/>
          <w:bCs/>
        </w:rPr>
        <w:t>电流的其他效应</w:t>
      </w:r>
    </w:p>
    <w:p w14:paraId="7142AF7B">
      <w:pPr>
        <w:pStyle w:val="492"/>
        <w:bidi w:val="0"/>
        <w:rPr>
          <w:rFonts w:hint="eastAsia"/>
        </w:rPr>
      </w:pPr>
      <w:r>
        <w:rPr>
          <w:rFonts w:hint="eastAsia"/>
        </w:rPr>
        <w:t>电流接近100mA时，通电期间，四肢有发热感。在接触面的皮肤内感到疼痛</w:t>
      </w:r>
      <w:r>
        <w:rPr>
          <w:rFonts w:hint="eastAsia"/>
          <w:lang w:eastAsia="zh-CN"/>
        </w:rPr>
        <w:t>。</w:t>
      </w:r>
    </w:p>
    <w:p w14:paraId="3B7BF087">
      <w:pPr>
        <w:pStyle w:val="492"/>
        <w:bidi w:val="0"/>
        <w:rPr>
          <w:rFonts w:hint="eastAsia"/>
        </w:rPr>
      </w:pPr>
      <w:r>
        <w:rPr>
          <w:rFonts w:hint="eastAsia"/>
        </w:rPr>
        <w:t>300mA以下横向电流流过人体几分钟时，随着时间和电流量的增加，可引起可以恢复的心律失常、电流伤痕、烧伤、头昏以及有时失去知觉。超过300mA时，往往会失去知觉</w:t>
      </w:r>
      <w:r>
        <w:rPr>
          <w:rFonts w:hint="eastAsia"/>
          <w:lang w:eastAsia="zh-CN"/>
        </w:rPr>
        <w:t>。</w:t>
      </w:r>
    </w:p>
    <w:p w14:paraId="26888FFE">
      <w:pPr>
        <w:pStyle w:val="492"/>
        <w:bidi w:val="0"/>
        <w:rPr>
          <w:rFonts w:hint="eastAsia"/>
        </w:rPr>
      </w:pPr>
      <w:r>
        <w:rPr>
          <w:rFonts w:hint="eastAsia"/>
        </w:rPr>
        <w:t>随着几安培的电流持续的时间长于几秒钟，则深度的烧伤或其他的伤害，以及甚至于死亡，都可能会发生</w:t>
      </w:r>
      <w:r>
        <w:rPr>
          <w:rFonts w:hint="eastAsia"/>
          <w:lang w:eastAsia="zh-CN"/>
        </w:rPr>
        <w:t>。</w:t>
      </w:r>
    </w:p>
    <w:p w14:paraId="25EC5D08">
      <w:pPr>
        <w:pStyle w:val="492"/>
        <w:keepNext w:val="0"/>
        <w:keepLines w:val="0"/>
        <w:pageBreakBefore w:val="0"/>
        <w:widowControl/>
        <w:numPr>
          <w:ilvl w:val="2"/>
          <w:numId w:val="0"/>
        </w:numPr>
        <w:kinsoku/>
        <w:wordWrap w:val="0"/>
        <w:overflowPunct w:val="0"/>
        <w:topLinePunct w:val="0"/>
        <w:autoSpaceDE w:val="0"/>
        <w:autoSpaceDN w:val="0"/>
        <w:bidi w:val="0"/>
        <w:adjustRightInd/>
        <w:snapToGrid/>
        <w:ind w:leftChars="0" w:firstLine="420" w:firstLineChars="200"/>
        <w:textAlignment w:val="baseline"/>
        <w:rPr>
          <w:rFonts w:hint="eastAsia" w:eastAsiaTheme="majorEastAsia"/>
          <w:lang w:eastAsia="zh-CN"/>
        </w:rPr>
      </w:pPr>
      <w:r>
        <w:rPr>
          <w:rFonts w:hint="eastAsia"/>
        </w:rPr>
        <w:t>电流达数安培延续超过几秒，则可能发生内部烧伤或其他损伤，甚至死亡</w:t>
      </w:r>
      <w:r>
        <w:rPr>
          <w:rFonts w:hint="eastAsia"/>
          <w:lang w:eastAsia="zh-CN"/>
        </w:rPr>
        <w:t>。</w:t>
      </w:r>
    </w:p>
    <w:p w14:paraId="32DDC992">
      <w:pPr>
        <w:pStyle w:val="258"/>
        <w:bidi w:val="0"/>
        <w:sectPr>
          <w:pgSz w:w="11907" w:h="16839"/>
          <w:pgMar w:top="1418" w:right="1134" w:bottom="1134" w:left="1418" w:header="1418" w:footer="1134" w:gutter="0"/>
          <w:lnNumType w:countBy="0" w:restart="continuous"/>
          <w:pgNumType w:fmt="decimal"/>
          <w:cols w:space="425" w:num="1"/>
          <w:rtlGutter w:val="0"/>
          <w:docGrid w:type="lines" w:linePitch="312" w:charSpace="0"/>
        </w:sectPr>
      </w:pPr>
    </w:p>
    <w:p w14:paraId="64826F38">
      <w:pPr>
        <w:pStyle w:val="347"/>
        <w:bidi w:val="0"/>
      </w:pPr>
      <w:bookmarkStart w:id="84" w:name="附录头部信息书签_3"/>
    </w:p>
    <w:p w14:paraId="1E4E17C2">
      <w:pPr>
        <w:pStyle w:val="348"/>
        <w:bidi w:val="0"/>
      </w:pPr>
    </w:p>
    <w:p w14:paraId="0D1DEBAA">
      <w:pPr>
        <w:pStyle w:val="274"/>
        <w:bidi w:val="0"/>
        <w:jc w:val="center"/>
      </w:pPr>
      <w:bookmarkStart w:id="85" w:name="_Toc25551"/>
      <w:r>
        <w:br w:type="textWrapping"/>
      </w:r>
      <w:r>
        <w:rPr>
          <w:rFonts w:hint="eastAsia"/>
          <w:lang w:eastAsia="zh-CN"/>
        </w:rPr>
        <w:t>（资料性）</w:t>
      </w:r>
      <w:r>
        <w:rPr>
          <w:rFonts w:hint="eastAsia"/>
          <w:lang w:eastAsia="zh-CN"/>
        </w:rPr>
        <w:br w:type="textWrapping"/>
      </w:r>
      <w:r>
        <w:rPr>
          <w:rFonts w:hint="eastAsia"/>
          <w:lang w:eastAsia="zh-CN"/>
        </w:rPr>
        <w:t>灯具电击防护分类</w:t>
      </w:r>
      <w:bookmarkEnd w:id="84"/>
      <w:bookmarkEnd w:id="85"/>
    </w:p>
    <w:p w14:paraId="3FF9F947">
      <w:pPr>
        <w:pStyle w:val="258"/>
        <w:ind w:firstLine="420"/>
      </w:pPr>
      <w:r>
        <w:rPr>
          <w:rFonts w:hint="eastAsia"/>
        </w:rPr>
        <w:t>为了保证人体安全，灯具所有带电部位应采用绝缘材料加以隔离，称为防直接接触。</w:t>
      </w:r>
    </w:p>
    <w:p w14:paraId="5E22FDD8">
      <w:pPr>
        <w:pStyle w:val="258"/>
        <w:ind w:firstLine="420"/>
      </w:pPr>
      <w:r>
        <w:rPr>
          <w:rFonts w:hint="eastAsia"/>
        </w:rPr>
        <w:t>按GB/T 7000.1第2章灯具的分类，按电击防护型式，灯具应分类为Ⅰ类、Ⅱ类或Ⅲ类，从GB/T 7000.1第1章摘录的各类灯具的定义如下：</w:t>
      </w:r>
    </w:p>
    <w:p w14:paraId="43088466">
      <w:pPr>
        <w:pStyle w:val="258"/>
        <w:ind w:firstLine="420"/>
      </w:pPr>
      <w:r>
        <w:rPr>
          <w:rFonts w:hint="eastAsia"/>
        </w:rPr>
        <w:t>I类灯具：灯具的电击防护不仅依靠基本绝缘，还包括附加的安全措施，即易触及的导电部件连接到设施固定布线中的保护（接地）导体上，使易触及的导电部件在万一基本绝缘失效时不致带电。</w:t>
      </w:r>
    </w:p>
    <w:p w14:paraId="06908AEF">
      <w:pPr>
        <w:pStyle w:val="258"/>
        <w:ind w:firstLine="420"/>
      </w:pPr>
      <w:r>
        <w:rPr>
          <w:rFonts w:hint="eastAsia"/>
        </w:rPr>
        <w:t>Ⅱ类灯具：灯具的电击防护不仅依靠基本绝缘，而且具有附加安全措施，例如，双重绝缘或加强绝缘，没有保护接地或依赖安装条件的措施。</w:t>
      </w:r>
    </w:p>
    <w:p w14:paraId="5B0E6A55">
      <w:pPr>
        <w:pStyle w:val="258"/>
        <w:bidi w:val="0"/>
        <w:rPr>
          <w:rFonts w:hint="eastAsia" w:eastAsia="宋体"/>
          <w:lang w:eastAsia="zh-CN"/>
        </w:rPr>
      </w:pPr>
      <w:r>
        <w:rPr>
          <w:rFonts w:hint="eastAsia"/>
        </w:rPr>
        <w:t>Ⅲ类灯具：灯具的电击防护依靠SELV或PELV供电，并且其内部不会产生高于SELV或PELV电压的灯具</w:t>
      </w:r>
      <w:r>
        <w:rPr>
          <w:rFonts w:hint="eastAsia"/>
          <w:lang w:eastAsia="zh-CN"/>
        </w:rPr>
        <w:t>。</w:t>
      </w:r>
    </w:p>
    <w:p w14:paraId="1ABAF536">
      <w:pPr>
        <w:pStyle w:val="258"/>
        <w:bidi w:val="0"/>
        <w:sectPr>
          <w:pgSz w:w="11907" w:h="16839"/>
          <w:pgMar w:top="1418" w:right="1134" w:bottom="1134" w:left="1418" w:header="1418" w:footer="1134" w:gutter="0"/>
          <w:lnNumType w:countBy="0" w:restart="continuous"/>
          <w:pgNumType w:fmt="decimal"/>
          <w:cols w:space="425" w:num="1"/>
          <w:rtlGutter w:val="0"/>
          <w:docGrid w:type="lines" w:linePitch="312" w:charSpace="0"/>
        </w:sectPr>
      </w:pPr>
    </w:p>
    <w:p w14:paraId="10CA76C2">
      <w:pPr>
        <w:pStyle w:val="347"/>
        <w:bidi w:val="0"/>
      </w:pPr>
      <w:bookmarkStart w:id="86" w:name="附录头部信息书签_4"/>
    </w:p>
    <w:p w14:paraId="02E7EFAB">
      <w:pPr>
        <w:pStyle w:val="348"/>
        <w:bidi w:val="0"/>
      </w:pPr>
    </w:p>
    <w:p w14:paraId="006767F2">
      <w:pPr>
        <w:pStyle w:val="274"/>
        <w:bidi w:val="0"/>
        <w:jc w:val="center"/>
      </w:pPr>
      <w:bookmarkStart w:id="87" w:name="_Toc15614"/>
      <w:r>
        <w:br w:type="textWrapping"/>
      </w:r>
      <w:r>
        <w:rPr>
          <w:rFonts w:hint="eastAsia"/>
          <w:lang w:eastAsia="zh-CN"/>
        </w:rPr>
        <w:t>（资料性）</w:t>
      </w:r>
      <w:r>
        <w:rPr>
          <w:rFonts w:hint="eastAsia"/>
          <w:lang w:eastAsia="zh-CN"/>
        </w:rPr>
        <w:br w:type="textWrapping"/>
      </w:r>
      <w:r>
        <w:rPr>
          <w:rFonts w:hint="eastAsia"/>
          <w:lang w:eastAsia="zh-CN"/>
        </w:rPr>
        <w:t>防护等级IP代码的说明</w:t>
      </w:r>
      <w:bookmarkEnd w:id="86"/>
      <w:bookmarkEnd w:id="87"/>
    </w:p>
    <w:p w14:paraId="2C6774BC">
      <w:pPr>
        <w:pStyle w:val="258"/>
        <w:bidi w:val="0"/>
        <w:rPr>
          <w:rFonts w:hint="eastAsia"/>
          <w:lang w:eastAsia="zh-CN"/>
        </w:rPr>
      </w:pPr>
      <w:r>
        <w:rPr>
          <w:rFonts w:hint="eastAsia"/>
        </w:rPr>
        <w:t>详细材料参阅GB</w:t>
      </w:r>
      <w:r>
        <w:t xml:space="preserve">/T </w:t>
      </w:r>
      <w:r>
        <w:rPr>
          <w:rFonts w:hint="eastAsia"/>
        </w:rPr>
        <w:t>4208，表</w:t>
      </w:r>
      <w:r>
        <w:t>D.1</w:t>
      </w:r>
      <w:r>
        <w:rPr>
          <w:rFonts w:hint="eastAsia"/>
        </w:rPr>
        <w:t>和表</w:t>
      </w:r>
      <w:r>
        <w:t>D.2</w:t>
      </w:r>
      <w:r>
        <w:rPr>
          <w:rFonts w:hint="eastAsia"/>
        </w:rPr>
        <w:t>是该标准的摘录</w:t>
      </w:r>
      <w:r>
        <w:rPr>
          <w:rFonts w:hint="eastAsia"/>
          <w:lang w:eastAsia="zh-CN"/>
        </w:rPr>
        <w:t>。</w:t>
      </w:r>
    </w:p>
    <w:p w14:paraId="0777CB4B">
      <w:pPr>
        <w:pStyle w:val="275"/>
        <w:bidi w:val="0"/>
        <w:rPr>
          <w:rFonts w:hint="eastAsia"/>
          <w:lang w:eastAsia="zh-CN"/>
        </w:rPr>
      </w:pPr>
      <w:r>
        <w:rPr>
          <w:rFonts w:hint="eastAsia"/>
          <w:kern w:val="0"/>
        </w:rPr>
        <w:t>第一位特征数字所表示的防止固体异物进入的防护等级</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3645"/>
        <w:gridCol w:w="4635"/>
      </w:tblGrid>
      <w:tr w14:paraId="00655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vMerge w:val="restart"/>
            <w:tcBorders>
              <w:top w:val="single" w:color="auto" w:sz="4" w:space="0"/>
              <w:left w:val="single" w:color="auto" w:sz="4" w:space="0"/>
              <w:bottom w:val="single" w:color="auto" w:sz="4" w:space="0"/>
              <w:right w:val="single" w:color="auto" w:sz="4" w:space="0"/>
            </w:tcBorders>
          </w:tcPr>
          <w:p w14:paraId="1466C9AD">
            <w:pPr>
              <w:spacing w:line="360" w:lineRule="exact"/>
              <w:jc w:val="center"/>
              <w:rPr>
                <w:rFonts w:ascii="宋体"/>
                <w:color w:val="000000"/>
                <w:kern w:val="0"/>
                <w:sz w:val="18"/>
                <w:szCs w:val="18"/>
              </w:rPr>
            </w:pPr>
            <w:r>
              <w:rPr>
                <w:rFonts w:hint="eastAsia" w:ascii="宋体" w:hAnsi="宋体"/>
                <w:color w:val="000000"/>
                <w:kern w:val="0"/>
                <w:sz w:val="18"/>
                <w:szCs w:val="18"/>
              </w:rPr>
              <w:t>第一位特征数字</w:t>
            </w:r>
          </w:p>
        </w:tc>
        <w:tc>
          <w:tcPr>
            <w:tcW w:w="8280" w:type="dxa"/>
            <w:gridSpan w:val="2"/>
            <w:tcBorders>
              <w:top w:val="single" w:color="auto" w:sz="4" w:space="0"/>
              <w:left w:val="single" w:color="auto" w:sz="4" w:space="0"/>
              <w:bottom w:val="single" w:color="auto" w:sz="4" w:space="0"/>
              <w:right w:val="single" w:color="auto" w:sz="4" w:space="0"/>
            </w:tcBorders>
          </w:tcPr>
          <w:p w14:paraId="1B484C0A">
            <w:pPr>
              <w:spacing w:line="360" w:lineRule="exact"/>
              <w:jc w:val="center"/>
              <w:rPr>
                <w:rFonts w:ascii="宋体"/>
                <w:color w:val="000000"/>
                <w:kern w:val="0"/>
                <w:sz w:val="18"/>
                <w:szCs w:val="18"/>
              </w:rPr>
            </w:pPr>
            <w:r>
              <w:rPr>
                <w:rFonts w:hint="eastAsia" w:ascii="宋体" w:hAnsi="宋体"/>
                <w:color w:val="000000"/>
                <w:kern w:val="0"/>
                <w:sz w:val="18"/>
                <w:szCs w:val="18"/>
              </w:rPr>
              <w:t>防</w:t>
            </w:r>
            <w:r>
              <w:rPr>
                <w:rFonts w:ascii="宋体" w:hAnsi="宋体"/>
                <w:color w:val="000000"/>
                <w:kern w:val="0"/>
                <w:sz w:val="18"/>
                <w:szCs w:val="18"/>
              </w:rPr>
              <w:t xml:space="preserve">  </w:t>
            </w:r>
            <w:r>
              <w:rPr>
                <w:rFonts w:hint="eastAsia" w:ascii="宋体" w:hAnsi="宋体"/>
                <w:color w:val="000000"/>
                <w:kern w:val="0"/>
                <w:sz w:val="18"/>
                <w:szCs w:val="18"/>
              </w:rPr>
              <w:t>护</w:t>
            </w:r>
            <w:r>
              <w:rPr>
                <w:rFonts w:ascii="宋体" w:hAnsi="宋体"/>
                <w:color w:val="000000"/>
                <w:kern w:val="0"/>
                <w:sz w:val="18"/>
                <w:szCs w:val="18"/>
              </w:rPr>
              <w:t xml:space="preserve">  </w:t>
            </w:r>
            <w:r>
              <w:rPr>
                <w:rFonts w:hint="eastAsia" w:ascii="宋体" w:hAnsi="宋体"/>
                <w:color w:val="000000"/>
                <w:kern w:val="0"/>
                <w:sz w:val="18"/>
                <w:szCs w:val="18"/>
              </w:rPr>
              <w:t>等</w:t>
            </w:r>
            <w:r>
              <w:rPr>
                <w:rFonts w:ascii="宋体" w:hAnsi="宋体"/>
                <w:color w:val="000000"/>
                <w:kern w:val="0"/>
                <w:sz w:val="18"/>
                <w:szCs w:val="18"/>
              </w:rPr>
              <w:t xml:space="preserve">  </w:t>
            </w:r>
            <w:r>
              <w:rPr>
                <w:rFonts w:hint="eastAsia" w:ascii="宋体" w:hAnsi="宋体"/>
                <w:color w:val="000000"/>
                <w:kern w:val="0"/>
                <w:sz w:val="18"/>
                <w:szCs w:val="18"/>
              </w:rPr>
              <w:t>级</w:t>
            </w:r>
          </w:p>
        </w:tc>
      </w:tr>
      <w:tr w14:paraId="10718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vMerge w:val="continue"/>
            <w:tcBorders>
              <w:top w:val="single" w:color="auto" w:sz="4" w:space="0"/>
              <w:left w:val="single" w:color="auto" w:sz="4" w:space="0"/>
              <w:bottom w:val="single" w:color="auto" w:sz="4" w:space="0"/>
              <w:right w:val="single" w:color="auto" w:sz="4" w:space="0"/>
            </w:tcBorders>
          </w:tcPr>
          <w:p w14:paraId="5D58B35C">
            <w:pPr>
              <w:spacing w:line="360" w:lineRule="exact"/>
              <w:jc w:val="center"/>
              <w:rPr>
                <w:rFonts w:ascii="宋体"/>
                <w:color w:val="000000"/>
                <w:kern w:val="0"/>
                <w:sz w:val="18"/>
                <w:szCs w:val="18"/>
              </w:rPr>
            </w:pPr>
          </w:p>
        </w:tc>
        <w:tc>
          <w:tcPr>
            <w:tcW w:w="3645" w:type="dxa"/>
            <w:tcBorders>
              <w:top w:val="single" w:color="auto" w:sz="4" w:space="0"/>
              <w:left w:val="single" w:color="auto" w:sz="4" w:space="0"/>
              <w:bottom w:val="single" w:color="auto" w:sz="4" w:space="0"/>
              <w:right w:val="single" w:color="auto" w:sz="4" w:space="0"/>
            </w:tcBorders>
          </w:tcPr>
          <w:p w14:paraId="3874A826">
            <w:pPr>
              <w:tabs>
                <w:tab w:val="left" w:pos="972"/>
              </w:tabs>
              <w:spacing w:line="360" w:lineRule="exact"/>
              <w:jc w:val="center"/>
              <w:rPr>
                <w:rFonts w:ascii="宋体"/>
                <w:color w:val="000000"/>
                <w:kern w:val="0"/>
                <w:sz w:val="18"/>
                <w:szCs w:val="18"/>
              </w:rPr>
            </w:pPr>
            <w:r>
              <w:rPr>
                <w:rFonts w:hint="eastAsia" w:ascii="宋体" w:hAnsi="宋体"/>
                <w:color w:val="000000"/>
                <w:kern w:val="0"/>
                <w:sz w:val="18"/>
                <w:szCs w:val="18"/>
              </w:rPr>
              <w:t>简</w:t>
            </w:r>
            <w:r>
              <w:rPr>
                <w:rFonts w:ascii="宋体" w:hAnsi="宋体"/>
                <w:color w:val="000000"/>
                <w:kern w:val="0"/>
                <w:sz w:val="18"/>
                <w:szCs w:val="18"/>
              </w:rPr>
              <w:t xml:space="preserve"> </w:t>
            </w:r>
            <w:r>
              <w:rPr>
                <w:rFonts w:hint="eastAsia" w:ascii="宋体" w:hAnsi="宋体"/>
                <w:color w:val="000000"/>
                <w:kern w:val="0"/>
                <w:sz w:val="18"/>
                <w:szCs w:val="18"/>
              </w:rPr>
              <w:t>要</w:t>
            </w:r>
            <w:r>
              <w:rPr>
                <w:rFonts w:ascii="宋体" w:hAnsi="宋体"/>
                <w:color w:val="000000"/>
                <w:kern w:val="0"/>
                <w:sz w:val="18"/>
                <w:szCs w:val="18"/>
              </w:rPr>
              <w:t xml:space="preserve"> </w:t>
            </w:r>
            <w:r>
              <w:rPr>
                <w:rFonts w:hint="eastAsia" w:ascii="宋体" w:hAnsi="宋体"/>
                <w:color w:val="000000"/>
                <w:kern w:val="0"/>
                <w:sz w:val="18"/>
                <w:szCs w:val="18"/>
              </w:rPr>
              <w:t>描</w:t>
            </w:r>
            <w:r>
              <w:rPr>
                <w:rFonts w:ascii="宋体" w:hAnsi="宋体"/>
                <w:color w:val="000000"/>
                <w:kern w:val="0"/>
                <w:sz w:val="18"/>
                <w:szCs w:val="18"/>
              </w:rPr>
              <w:t xml:space="preserve"> </w:t>
            </w:r>
            <w:r>
              <w:rPr>
                <w:rFonts w:hint="eastAsia" w:ascii="宋体" w:hAnsi="宋体"/>
                <w:color w:val="000000"/>
                <w:kern w:val="0"/>
                <w:sz w:val="18"/>
                <w:szCs w:val="18"/>
              </w:rPr>
              <w:t>述</w:t>
            </w:r>
          </w:p>
        </w:tc>
        <w:tc>
          <w:tcPr>
            <w:tcW w:w="4635" w:type="dxa"/>
            <w:tcBorders>
              <w:top w:val="single" w:color="auto" w:sz="4" w:space="0"/>
              <w:left w:val="single" w:color="auto" w:sz="4" w:space="0"/>
              <w:bottom w:val="single" w:color="auto" w:sz="4" w:space="0"/>
              <w:right w:val="single" w:color="auto" w:sz="4" w:space="0"/>
            </w:tcBorders>
          </w:tcPr>
          <w:p w14:paraId="0F74AAEA">
            <w:pPr>
              <w:spacing w:line="360" w:lineRule="exact"/>
              <w:rPr>
                <w:rFonts w:ascii="宋体"/>
                <w:color w:val="000000"/>
                <w:kern w:val="0"/>
                <w:sz w:val="18"/>
                <w:szCs w:val="18"/>
              </w:rPr>
            </w:pPr>
            <w:r>
              <w:rPr>
                <w:rFonts w:hint="eastAsia" w:ascii="宋体" w:hAnsi="宋体"/>
                <w:color w:val="000000"/>
                <w:kern w:val="0"/>
                <w:sz w:val="18"/>
                <w:szCs w:val="18"/>
              </w:rPr>
              <w:t>不能进入外壳的物体的简要说明</w:t>
            </w:r>
          </w:p>
        </w:tc>
      </w:tr>
      <w:tr w14:paraId="79CEB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14:paraId="3CFD071C">
            <w:pPr>
              <w:spacing w:line="360" w:lineRule="exact"/>
              <w:jc w:val="center"/>
              <w:rPr>
                <w:rFonts w:ascii="宋体"/>
                <w:color w:val="000000"/>
                <w:kern w:val="0"/>
                <w:sz w:val="18"/>
                <w:szCs w:val="18"/>
              </w:rPr>
            </w:pPr>
            <w:r>
              <w:rPr>
                <w:rFonts w:ascii="宋体"/>
                <w:color w:val="000000"/>
                <w:kern w:val="0"/>
                <w:sz w:val="18"/>
                <w:szCs w:val="18"/>
              </w:rPr>
              <w:t>0</w:t>
            </w:r>
          </w:p>
        </w:tc>
        <w:tc>
          <w:tcPr>
            <w:tcW w:w="3645" w:type="dxa"/>
            <w:tcBorders>
              <w:top w:val="single" w:color="auto" w:sz="4" w:space="0"/>
              <w:left w:val="single" w:color="auto" w:sz="4" w:space="0"/>
              <w:bottom w:val="single" w:color="auto" w:sz="4" w:space="0"/>
              <w:right w:val="single" w:color="auto" w:sz="4" w:space="0"/>
            </w:tcBorders>
          </w:tcPr>
          <w:p w14:paraId="5C4F327E">
            <w:pPr>
              <w:spacing w:line="360" w:lineRule="exact"/>
              <w:rPr>
                <w:rFonts w:ascii="宋体"/>
                <w:color w:val="000000"/>
                <w:kern w:val="0"/>
                <w:sz w:val="18"/>
                <w:szCs w:val="18"/>
              </w:rPr>
            </w:pPr>
            <w:r>
              <w:rPr>
                <w:rFonts w:hint="eastAsia" w:ascii="宋体" w:hAnsi="宋体"/>
                <w:color w:val="000000"/>
                <w:kern w:val="0"/>
                <w:sz w:val="18"/>
                <w:szCs w:val="18"/>
              </w:rPr>
              <w:t>无防护</w:t>
            </w:r>
          </w:p>
        </w:tc>
        <w:tc>
          <w:tcPr>
            <w:tcW w:w="4635" w:type="dxa"/>
            <w:tcBorders>
              <w:top w:val="single" w:color="auto" w:sz="4" w:space="0"/>
              <w:left w:val="single" w:color="auto" w:sz="4" w:space="0"/>
              <w:bottom w:val="single" w:color="auto" w:sz="4" w:space="0"/>
              <w:right w:val="single" w:color="auto" w:sz="4" w:space="0"/>
            </w:tcBorders>
          </w:tcPr>
          <w:p w14:paraId="77F1F042">
            <w:pPr>
              <w:spacing w:line="360" w:lineRule="exact"/>
              <w:jc w:val="center"/>
              <w:rPr>
                <w:rFonts w:ascii="宋体"/>
                <w:color w:val="000000"/>
                <w:kern w:val="0"/>
                <w:sz w:val="18"/>
                <w:szCs w:val="18"/>
              </w:rPr>
            </w:pPr>
            <w:r>
              <w:rPr>
                <w:rFonts w:ascii="宋体"/>
                <w:color w:val="000000"/>
                <w:kern w:val="0"/>
                <w:sz w:val="18"/>
                <w:szCs w:val="18"/>
              </w:rPr>
              <w:t>-</w:t>
            </w:r>
          </w:p>
        </w:tc>
      </w:tr>
      <w:tr w14:paraId="7EA3C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0497F4E3">
            <w:pPr>
              <w:spacing w:line="360" w:lineRule="exact"/>
              <w:jc w:val="center"/>
              <w:rPr>
                <w:rFonts w:ascii="宋体"/>
                <w:color w:val="000000"/>
                <w:kern w:val="0"/>
                <w:sz w:val="18"/>
                <w:szCs w:val="18"/>
              </w:rPr>
            </w:pPr>
            <w:r>
              <w:rPr>
                <w:rFonts w:ascii="宋体" w:hAnsi="宋体"/>
                <w:color w:val="000000"/>
                <w:kern w:val="0"/>
                <w:sz w:val="18"/>
                <w:szCs w:val="18"/>
              </w:rPr>
              <w:t>1</w:t>
            </w:r>
          </w:p>
        </w:tc>
        <w:tc>
          <w:tcPr>
            <w:tcW w:w="3645" w:type="dxa"/>
            <w:tcBorders>
              <w:top w:val="single" w:color="auto" w:sz="4" w:space="0"/>
              <w:left w:val="single" w:color="auto" w:sz="4" w:space="0"/>
              <w:bottom w:val="single" w:color="auto" w:sz="4" w:space="0"/>
              <w:right w:val="single" w:color="auto" w:sz="4" w:space="0"/>
            </w:tcBorders>
          </w:tcPr>
          <w:p w14:paraId="2CCAB7D1">
            <w:pPr>
              <w:spacing w:line="360" w:lineRule="exact"/>
              <w:rPr>
                <w:rFonts w:ascii="宋体"/>
                <w:color w:val="000000"/>
                <w:kern w:val="0"/>
                <w:sz w:val="18"/>
                <w:szCs w:val="18"/>
              </w:rPr>
            </w:pPr>
            <w:r>
              <w:rPr>
                <w:rFonts w:hint="eastAsia" w:ascii="宋体" w:hAnsi="宋体"/>
                <w:color w:val="000000"/>
                <w:kern w:val="0"/>
                <w:sz w:val="18"/>
                <w:szCs w:val="18"/>
              </w:rPr>
              <w:t>防止直径不小于</w:t>
            </w:r>
            <w:r>
              <w:rPr>
                <w:rFonts w:ascii="宋体" w:hAnsi="宋体"/>
                <w:color w:val="000000"/>
                <w:kern w:val="0"/>
                <w:sz w:val="18"/>
                <w:szCs w:val="18"/>
              </w:rPr>
              <w:t>50</w:t>
            </w:r>
            <w:r>
              <w:rPr>
                <w:rFonts w:hint="eastAsia" w:ascii="宋体" w:hAnsi="宋体"/>
                <w:color w:val="000000"/>
                <w:kern w:val="0"/>
                <w:sz w:val="18"/>
                <w:szCs w:val="18"/>
              </w:rPr>
              <w:t>㎜的固体异物</w:t>
            </w:r>
          </w:p>
        </w:tc>
        <w:tc>
          <w:tcPr>
            <w:tcW w:w="4635" w:type="dxa"/>
            <w:tcBorders>
              <w:top w:val="single" w:color="auto" w:sz="4" w:space="0"/>
              <w:left w:val="single" w:color="auto" w:sz="4" w:space="0"/>
              <w:bottom w:val="single" w:color="auto" w:sz="4" w:space="0"/>
              <w:right w:val="single" w:color="auto" w:sz="4" w:space="0"/>
            </w:tcBorders>
          </w:tcPr>
          <w:p w14:paraId="22FA2C22">
            <w:pPr>
              <w:spacing w:line="360" w:lineRule="exact"/>
              <w:rPr>
                <w:rFonts w:ascii="宋体"/>
                <w:color w:val="000000"/>
                <w:kern w:val="0"/>
                <w:sz w:val="18"/>
                <w:szCs w:val="18"/>
              </w:rPr>
            </w:pPr>
            <w:r>
              <w:rPr>
                <w:rFonts w:hint="eastAsia" w:ascii="宋体" w:hAnsi="宋体"/>
                <w:color w:val="000000"/>
                <w:kern w:val="0"/>
                <w:sz w:val="18"/>
                <w:szCs w:val="18"/>
              </w:rPr>
              <w:t>直径</w:t>
            </w:r>
            <w:r>
              <w:rPr>
                <w:rFonts w:ascii="宋体" w:hAnsi="宋体"/>
                <w:color w:val="000000"/>
                <w:kern w:val="0"/>
                <w:sz w:val="18"/>
                <w:szCs w:val="18"/>
              </w:rPr>
              <w:t>50</w:t>
            </w:r>
            <w:r>
              <w:rPr>
                <w:rFonts w:hint="eastAsia" w:ascii="宋体" w:hAnsi="宋体"/>
                <w:color w:val="000000"/>
                <w:kern w:val="0"/>
                <w:sz w:val="18"/>
                <w:szCs w:val="18"/>
              </w:rPr>
              <w:t>㎜的球形物体试具不得完全进入壳内</w:t>
            </w:r>
          </w:p>
        </w:tc>
      </w:tr>
      <w:tr w14:paraId="24B5F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72EE1844">
            <w:pPr>
              <w:spacing w:line="360" w:lineRule="exact"/>
              <w:jc w:val="center"/>
              <w:rPr>
                <w:rFonts w:ascii="宋体"/>
                <w:color w:val="000000"/>
                <w:kern w:val="0"/>
                <w:sz w:val="18"/>
                <w:szCs w:val="18"/>
              </w:rPr>
            </w:pPr>
            <w:r>
              <w:rPr>
                <w:rFonts w:ascii="宋体" w:hAnsi="宋体"/>
                <w:color w:val="000000"/>
                <w:kern w:val="0"/>
                <w:sz w:val="18"/>
                <w:szCs w:val="18"/>
              </w:rPr>
              <w:t>2</w:t>
            </w:r>
          </w:p>
        </w:tc>
        <w:tc>
          <w:tcPr>
            <w:tcW w:w="3645" w:type="dxa"/>
            <w:tcBorders>
              <w:top w:val="single" w:color="auto" w:sz="4" w:space="0"/>
              <w:left w:val="single" w:color="auto" w:sz="4" w:space="0"/>
              <w:bottom w:val="single" w:color="auto" w:sz="4" w:space="0"/>
              <w:right w:val="single" w:color="auto" w:sz="4" w:space="0"/>
            </w:tcBorders>
          </w:tcPr>
          <w:p w14:paraId="5B5DC6C3">
            <w:pPr>
              <w:spacing w:line="360" w:lineRule="exact"/>
              <w:rPr>
                <w:rFonts w:ascii="宋体"/>
                <w:color w:val="000000"/>
                <w:kern w:val="0"/>
                <w:sz w:val="18"/>
                <w:szCs w:val="18"/>
              </w:rPr>
            </w:pPr>
            <w:r>
              <w:rPr>
                <w:rFonts w:hint="eastAsia" w:ascii="宋体" w:hAnsi="宋体"/>
                <w:color w:val="000000"/>
                <w:kern w:val="0"/>
                <w:sz w:val="18"/>
                <w:szCs w:val="18"/>
              </w:rPr>
              <w:t>防止直径不小于</w:t>
            </w:r>
            <w:r>
              <w:rPr>
                <w:rFonts w:ascii="宋体" w:hAnsi="宋体"/>
                <w:color w:val="000000"/>
                <w:kern w:val="0"/>
                <w:sz w:val="18"/>
                <w:szCs w:val="18"/>
              </w:rPr>
              <w:t>12.5</w:t>
            </w:r>
            <w:r>
              <w:rPr>
                <w:rFonts w:hint="eastAsia" w:ascii="宋体" w:hAnsi="宋体"/>
                <w:color w:val="000000"/>
                <w:kern w:val="0"/>
                <w:sz w:val="18"/>
                <w:szCs w:val="18"/>
              </w:rPr>
              <w:t>㎜的固体异物</w:t>
            </w:r>
          </w:p>
        </w:tc>
        <w:tc>
          <w:tcPr>
            <w:tcW w:w="4635" w:type="dxa"/>
            <w:tcBorders>
              <w:top w:val="single" w:color="auto" w:sz="4" w:space="0"/>
              <w:left w:val="single" w:color="auto" w:sz="4" w:space="0"/>
              <w:bottom w:val="single" w:color="auto" w:sz="4" w:space="0"/>
              <w:right w:val="single" w:color="auto" w:sz="4" w:space="0"/>
            </w:tcBorders>
          </w:tcPr>
          <w:p w14:paraId="73C14D91">
            <w:pPr>
              <w:spacing w:line="360" w:lineRule="exact"/>
              <w:rPr>
                <w:rFonts w:ascii="宋体"/>
                <w:color w:val="000000"/>
                <w:kern w:val="0"/>
                <w:sz w:val="18"/>
                <w:szCs w:val="18"/>
              </w:rPr>
            </w:pPr>
            <w:r>
              <w:rPr>
                <w:rFonts w:hint="eastAsia" w:ascii="宋体" w:hAnsi="宋体"/>
                <w:color w:val="000000"/>
                <w:kern w:val="0"/>
                <w:sz w:val="18"/>
                <w:szCs w:val="18"/>
              </w:rPr>
              <w:t>直径</w:t>
            </w:r>
            <w:r>
              <w:rPr>
                <w:rFonts w:ascii="宋体" w:hAnsi="宋体"/>
                <w:color w:val="000000"/>
                <w:kern w:val="0"/>
                <w:sz w:val="18"/>
                <w:szCs w:val="18"/>
              </w:rPr>
              <w:t>12.5</w:t>
            </w:r>
            <w:r>
              <w:rPr>
                <w:rFonts w:hint="eastAsia" w:ascii="宋体" w:hAnsi="宋体"/>
                <w:color w:val="000000"/>
                <w:kern w:val="0"/>
                <w:sz w:val="18"/>
                <w:szCs w:val="18"/>
              </w:rPr>
              <w:t>㎜的球形物体试具不得完全进入壳内</w:t>
            </w:r>
          </w:p>
        </w:tc>
      </w:tr>
      <w:tr w14:paraId="28266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783AA9E2">
            <w:pPr>
              <w:spacing w:line="360" w:lineRule="exact"/>
              <w:jc w:val="center"/>
              <w:rPr>
                <w:rFonts w:ascii="宋体"/>
                <w:color w:val="000000"/>
                <w:kern w:val="0"/>
                <w:sz w:val="18"/>
                <w:szCs w:val="18"/>
              </w:rPr>
            </w:pPr>
            <w:r>
              <w:rPr>
                <w:rFonts w:ascii="宋体" w:hAnsi="宋体"/>
                <w:color w:val="000000"/>
                <w:kern w:val="0"/>
                <w:sz w:val="18"/>
                <w:szCs w:val="18"/>
              </w:rPr>
              <w:t>3</w:t>
            </w:r>
          </w:p>
        </w:tc>
        <w:tc>
          <w:tcPr>
            <w:tcW w:w="3645" w:type="dxa"/>
            <w:tcBorders>
              <w:top w:val="single" w:color="auto" w:sz="4" w:space="0"/>
              <w:left w:val="single" w:color="auto" w:sz="4" w:space="0"/>
              <w:bottom w:val="single" w:color="auto" w:sz="4" w:space="0"/>
              <w:right w:val="single" w:color="auto" w:sz="4" w:space="0"/>
            </w:tcBorders>
          </w:tcPr>
          <w:p w14:paraId="2A296000">
            <w:pPr>
              <w:spacing w:line="360" w:lineRule="exact"/>
              <w:rPr>
                <w:rFonts w:ascii="宋体"/>
                <w:color w:val="000000"/>
                <w:kern w:val="0"/>
                <w:sz w:val="18"/>
                <w:szCs w:val="18"/>
              </w:rPr>
            </w:pPr>
            <w:r>
              <w:rPr>
                <w:rFonts w:hint="eastAsia" w:ascii="宋体" w:hAnsi="宋体"/>
                <w:color w:val="000000"/>
                <w:kern w:val="0"/>
                <w:sz w:val="18"/>
                <w:szCs w:val="18"/>
              </w:rPr>
              <w:t>防止直径不小于</w:t>
            </w:r>
            <w:r>
              <w:rPr>
                <w:rFonts w:ascii="宋体" w:hAnsi="宋体"/>
                <w:color w:val="000000"/>
                <w:kern w:val="0"/>
                <w:sz w:val="18"/>
                <w:szCs w:val="18"/>
              </w:rPr>
              <w:t>2.5</w:t>
            </w:r>
            <w:r>
              <w:rPr>
                <w:rFonts w:hint="eastAsia" w:ascii="宋体" w:hAnsi="宋体"/>
                <w:color w:val="000000"/>
                <w:kern w:val="0"/>
                <w:sz w:val="18"/>
                <w:szCs w:val="18"/>
              </w:rPr>
              <w:t>㎜的固体异物</w:t>
            </w:r>
          </w:p>
        </w:tc>
        <w:tc>
          <w:tcPr>
            <w:tcW w:w="4635" w:type="dxa"/>
            <w:tcBorders>
              <w:top w:val="single" w:color="auto" w:sz="4" w:space="0"/>
              <w:left w:val="single" w:color="auto" w:sz="4" w:space="0"/>
              <w:bottom w:val="single" w:color="auto" w:sz="4" w:space="0"/>
              <w:right w:val="single" w:color="auto" w:sz="4" w:space="0"/>
            </w:tcBorders>
          </w:tcPr>
          <w:p w14:paraId="70384A38">
            <w:pPr>
              <w:spacing w:line="360" w:lineRule="exact"/>
              <w:rPr>
                <w:rFonts w:ascii="宋体"/>
                <w:color w:val="000000"/>
                <w:kern w:val="0"/>
                <w:sz w:val="18"/>
                <w:szCs w:val="18"/>
              </w:rPr>
            </w:pPr>
            <w:r>
              <w:rPr>
                <w:rFonts w:hint="eastAsia" w:ascii="宋体" w:hAnsi="宋体"/>
                <w:color w:val="000000"/>
                <w:kern w:val="0"/>
                <w:sz w:val="18"/>
                <w:szCs w:val="18"/>
              </w:rPr>
              <w:t>直径</w:t>
            </w:r>
            <w:r>
              <w:rPr>
                <w:rFonts w:ascii="宋体" w:hAnsi="宋体"/>
                <w:color w:val="000000"/>
                <w:kern w:val="0"/>
                <w:sz w:val="18"/>
                <w:szCs w:val="18"/>
              </w:rPr>
              <w:t>2.5</w:t>
            </w:r>
            <w:r>
              <w:rPr>
                <w:rFonts w:hint="eastAsia" w:ascii="宋体" w:hAnsi="宋体"/>
                <w:color w:val="000000"/>
                <w:kern w:val="0"/>
                <w:sz w:val="18"/>
                <w:szCs w:val="18"/>
              </w:rPr>
              <w:t>㎜的物体试具完全不得进入壳内</w:t>
            </w:r>
          </w:p>
        </w:tc>
      </w:tr>
      <w:tr w14:paraId="2E3F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0E42390D">
            <w:pPr>
              <w:spacing w:line="360" w:lineRule="exact"/>
              <w:jc w:val="center"/>
              <w:rPr>
                <w:rFonts w:ascii="宋体"/>
                <w:color w:val="000000"/>
                <w:kern w:val="0"/>
                <w:sz w:val="18"/>
                <w:szCs w:val="18"/>
              </w:rPr>
            </w:pPr>
            <w:r>
              <w:rPr>
                <w:rFonts w:ascii="宋体" w:hAnsi="宋体"/>
                <w:color w:val="000000"/>
                <w:kern w:val="0"/>
                <w:sz w:val="18"/>
                <w:szCs w:val="18"/>
              </w:rPr>
              <w:t>4</w:t>
            </w:r>
          </w:p>
        </w:tc>
        <w:tc>
          <w:tcPr>
            <w:tcW w:w="3645" w:type="dxa"/>
            <w:tcBorders>
              <w:top w:val="single" w:color="auto" w:sz="4" w:space="0"/>
              <w:left w:val="single" w:color="auto" w:sz="4" w:space="0"/>
              <w:bottom w:val="single" w:color="auto" w:sz="4" w:space="0"/>
              <w:right w:val="single" w:color="auto" w:sz="4" w:space="0"/>
            </w:tcBorders>
          </w:tcPr>
          <w:p w14:paraId="7A7B9453">
            <w:pPr>
              <w:spacing w:line="360" w:lineRule="exact"/>
              <w:rPr>
                <w:rFonts w:ascii="宋体"/>
                <w:color w:val="000000"/>
                <w:kern w:val="0"/>
                <w:sz w:val="18"/>
                <w:szCs w:val="18"/>
              </w:rPr>
            </w:pPr>
            <w:r>
              <w:rPr>
                <w:rFonts w:hint="eastAsia" w:ascii="宋体" w:hAnsi="宋体"/>
                <w:color w:val="000000"/>
                <w:kern w:val="0"/>
                <w:sz w:val="18"/>
                <w:szCs w:val="18"/>
              </w:rPr>
              <w:t>防止直径不小于</w:t>
            </w:r>
            <w:r>
              <w:rPr>
                <w:rFonts w:ascii="宋体" w:hAnsi="宋体"/>
                <w:color w:val="000000"/>
                <w:kern w:val="0"/>
                <w:sz w:val="18"/>
                <w:szCs w:val="18"/>
              </w:rPr>
              <w:t>1.0</w:t>
            </w:r>
            <w:r>
              <w:rPr>
                <w:rFonts w:hint="eastAsia" w:ascii="宋体" w:hAnsi="宋体"/>
                <w:color w:val="000000"/>
                <w:kern w:val="0"/>
                <w:sz w:val="18"/>
                <w:szCs w:val="18"/>
              </w:rPr>
              <w:t>㎜的固体异物</w:t>
            </w:r>
          </w:p>
        </w:tc>
        <w:tc>
          <w:tcPr>
            <w:tcW w:w="4635" w:type="dxa"/>
            <w:tcBorders>
              <w:top w:val="single" w:color="auto" w:sz="4" w:space="0"/>
              <w:left w:val="single" w:color="auto" w:sz="4" w:space="0"/>
              <w:bottom w:val="single" w:color="auto" w:sz="4" w:space="0"/>
              <w:right w:val="single" w:color="auto" w:sz="4" w:space="0"/>
            </w:tcBorders>
          </w:tcPr>
          <w:p w14:paraId="71FA16F0">
            <w:pPr>
              <w:spacing w:line="360" w:lineRule="exact"/>
              <w:rPr>
                <w:rFonts w:ascii="宋体"/>
                <w:color w:val="000000"/>
                <w:kern w:val="0"/>
                <w:sz w:val="18"/>
                <w:szCs w:val="18"/>
              </w:rPr>
            </w:pPr>
            <w:r>
              <w:rPr>
                <w:rFonts w:hint="eastAsia" w:ascii="宋体" w:hAnsi="宋体"/>
                <w:color w:val="000000"/>
                <w:kern w:val="0"/>
                <w:sz w:val="18"/>
                <w:szCs w:val="18"/>
              </w:rPr>
              <w:t>直径</w:t>
            </w:r>
            <w:r>
              <w:rPr>
                <w:rFonts w:ascii="宋体" w:hAnsi="宋体"/>
                <w:color w:val="000000"/>
                <w:kern w:val="0"/>
                <w:sz w:val="18"/>
                <w:szCs w:val="18"/>
              </w:rPr>
              <w:t>1.0</w:t>
            </w:r>
            <w:r>
              <w:rPr>
                <w:rFonts w:hint="eastAsia" w:ascii="宋体" w:hAnsi="宋体"/>
                <w:color w:val="000000"/>
                <w:kern w:val="0"/>
                <w:sz w:val="18"/>
                <w:szCs w:val="18"/>
              </w:rPr>
              <w:t>㎜的物体试具完全不得进入壳内</w:t>
            </w:r>
          </w:p>
        </w:tc>
      </w:tr>
      <w:tr w14:paraId="7F50A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61B7EAF5">
            <w:pPr>
              <w:spacing w:line="360" w:lineRule="exact"/>
              <w:jc w:val="center"/>
              <w:rPr>
                <w:rFonts w:ascii="宋体"/>
                <w:color w:val="000000"/>
                <w:kern w:val="0"/>
                <w:sz w:val="18"/>
                <w:szCs w:val="18"/>
              </w:rPr>
            </w:pPr>
            <w:r>
              <w:rPr>
                <w:rFonts w:ascii="宋体" w:hAnsi="宋体"/>
                <w:color w:val="000000"/>
                <w:kern w:val="0"/>
                <w:sz w:val="18"/>
                <w:szCs w:val="18"/>
              </w:rPr>
              <w:t>5</w:t>
            </w:r>
          </w:p>
        </w:tc>
        <w:tc>
          <w:tcPr>
            <w:tcW w:w="3645" w:type="dxa"/>
            <w:tcBorders>
              <w:top w:val="single" w:color="auto" w:sz="4" w:space="0"/>
              <w:left w:val="single" w:color="auto" w:sz="4" w:space="0"/>
              <w:bottom w:val="single" w:color="auto" w:sz="4" w:space="0"/>
              <w:right w:val="single" w:color="auto" w:sz="4" w:space="0"/>
            </w:tcBorders>
          </w:tcPr>
          <w:p w14:paraId="4A550234">
            <w:pPr>
              <w:spacing w:line="360" w:lineRule="exact"/>
              <w:rPr>
                <w:rFonts w:ascii="宋体"/>
                <w:color w:val="000000"/>
                <w:kern w:val="0"/>
                <w:sz w:val="18"/>
                <w:szCs w:val="18"/>
              </w:rPr>
            </w:pPr>
            <w:r>
              <w:rPr>
                <w:rFonts w:hint="eastAsia" w:ascii="宋体" w:hAnsi="宋体"/>
                <w:color w:val="000000"/>
                <w:kern w:val="0"/>
                <w:sz w:val="18"/>
                <w:szCs w:val="18"/>
              </w:rPr>
              <w:t>防尘</w:t>
            </w:r>
          </w:p>
        </w:tc>
        <w:tc>
          <w:tcPr>
            <w:tcW w:w="4635" w:type="dxa"/>
            <w:tcBorders>
              <w:top w:val="single" w:color="auto" w:sz="4" w:space="0"/>
              <w:left w:val="single" w:color="auto" w:sz="4" w:space="0"/>
              <w:bottom w:val="single" w:color="auto" w:sz="4" w:space="0"/>
              <w:right w:val="single" w:color="auto" w:sz="4" w:space="0"/>
            </w:tcBorders>
          </w:tcPr>
          <w:p w14:paraId="48AF4066">
            <w:pPr>
              <w:spacing w:line="360" w:lineRule="exact"/>
              <w:rPr>
                <w:rFonts w:ascii="宋体"/>
                <w:color w:val="000000"/>
                <w:kern w:val="0"/>
                <w:sz w:val="18"/>
                <w:szCs w:val="18"/>
              </w:rPr>
            </w:pPr>
            <w:r>
              <w:rPr>
                <w:rFonts w:hint="eastAsia" w:ascii="宋体" w:hAnsi="宋体"/>
                <w:color w:val="000000"/>
                <w:kern w:val="0"/>
                <w:sz w:val="18"/>
                <w:szCs w:val="18"/>
              </w:rPr>
              <w:t>不能完全防止尘埃进入，但进入的灰尘量不得影响设备正常运行，不得影响安全</w:t>
            </w:r>
          </w:p>
        </w:tc>
      </w:tr>
      <w:tr w14:paraId="6579F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14:paraId="6DD5F28A">
            <w:pPr>
              <w:spacing w:line="360" w:lineRule="exact"/>
              <w:jc w:val="center"/>
              <w:rPr>
                <w:rFonts w:ascii="宋体"/>
                <w:color w:val="000000"/>
                <w:kern w:val="0"/>
                <w:sz w:val="18"/>
                <w:szCs w:val="18"/>
              </w:rPr>
            </w:pPr>
            <w:r>
              <w:rPr>
                <w:rFonts w:ascii="宋体" w:hAnsi="宋体"/>
                <w:color w:val="000000"/>
                <w:kern w:val="0"/>
                <w:sz w:val="18"/>
                <w:szCs w:val="18"/>
              </w:rPr>
              <w:t>6</w:t>
            </w:r>
          </w:p>
        </w:tc>
        <w:tc>
          <w:tcPr>
            <w:tcW w:w="3645" w:type="dxa"/>
            <w:tcBorders>
              <w:top w:val="single" w:color="auto" w:sz="4" w:space="0"/>
              <w:left w:val="single" w:color="auto" w:sz="4" w:space="0"/>
              <w:bottom w:val="single" w:color="auto" w:sz="4" w:space="0"/>
              <w:right w:val="single" w:color="auto" w:sz="4" w:space="0"/>
            </w:tcBorders>
          </w:tcPr>
          <w:p w14:paraId="4A19DC74">
            <w:pPr>
              <w:spacing w:line="360" w:lineRule="exact"/>
              <w:rPr>
                <w:rFonts w:ascii="宋体"/>
                <w:color w:val="000000"/>
                <w:kern w:val="0"/>
                <w:sz w:val="18"/>
                <w:szCs w:val="18"/>
              </w:rPr>
            </w:pPr>
            <w:r>
              <w:rPr>
                <w:rFonts w:hint="eastAsia" w:ascii="宋体" w:hAnsi="宋体"/>
                <w:color w:val="000000"/>
                <w:kern w:val="0"/>
                <w:sz w:val="18"/>
                <w:szCs w:val="18"/>
              </w:rPr>
              <w:t>尘密</w:t>
            </w:r>
          </w:p>
        </w:tc>
        <w:tc>
          <w:tcPr>
            <w:tcW w:w="4635" w:type="dxa"/>
            <w:tcBorders>
              <w:top w:val="single" w:color="auto" w:sz="4" w:space="0"/>
              <w:left w:val="single" w:color="auto" w:sz="4" w:space="0"/>
              <w:bottom w:val="single" w:color="auto" w:sz="4" w:space="0"/>
              <w:right w:val="single" w:color="auto" w:sz="4" w:space="0"/>
            </w:tcBorders>
          </w:tcPr>
          <w:p w14:paraId="77C14999">
            <w:pPr>
              <w:spacing w:line="360" w:lineRule="exact"/>
              <w:rPr>
                <w:rFonts w:ascii="宋体"/>
                <w:color w:val="000000"/>
                <w:kern w:val="0"/>
                <w:sz w:val="18"/>
                <w:szCs w:val="18"/>
              </w:rPr>
            </w:pPr>
            <w:r>
              <w:rPr>
                <w:rFonts w:hint="eastAsia" w:ascii="宋体" w:hAnsi="宋体"/>
                <w:color w:val="000000"/>
                <w:kern w:val="0"/>
                <w:sz w:val="18"/>
                <w:szCs w:val="18"/>
              </w:rPr>
              <w:t>无灰尘进入</w:t>
            </w:r>
          </w:p>
        </w:tc>
      </w:tr>
    </w:tbl>
    <w:p w14:paraId="23DF5A16">
      <w:pPr>
        <w:pStyle w:val="275"/>
        <w:bidi w:val="0"/>
        <w:rPr>
          <w:rFonts w:hint="eastAsia"/>
          <w:lang w:eastAsia="zh-CN"/>
        </w:rPr>
      </w:pPr>
      <w:r>
        <w:rPr>
          <w:rFonts w:hint="eastAsia"/>
          <w:kern w:val="0"/>
        </w:rPr>
        <w:t>第二位特征数字所表示的防止水进入的防护等级</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2385"/>
        <w:gridCol w:w="5895"/>
      </w:tblGrid>
      <w:tr w14:paraId="49005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vMerge w:val="restart"/>
            <w:tcBorders>
              <w:top w:val="single" w:color="auto" w:sz="4" w:space="0"/>
              <w:left w:val="single" w:color="auto" w:sz="4" w:space="0"/>
              <w:bottom w:val="single" w:color="auto" w:sz="4" w:space="0"/>
              <w:right w:val="single" w:color="auto" w:sz="4" w:space="0"/>
            </w:tcBorders>
          </w:tcPr>
          <w:p w14:paraId="7355F464">
            <w:pPr>
              <w:spacing w:line="360" w:lineRule="exact"/>
              <w:jc w:val="center"/>
              <w:rPr>
                <w:rFonts w:ascii="宋体"/>
                <w:color w:val="000000"/>
                <w:kern w:val="0"/>
                <w:sz w:val="18"/>
                <w:szCs w:val="18"/>
              </w:rPr>
            </w:pPr>
            <w:r>
              <w:rPr>
                <w:rFonts w:hint="eastAsia" w:ascii="宋体" w:hAnsi="宋体"/>
                <w:color w:val="000000"/>
                <w:kern w:val="0"/>
                <w:sz w:val="18"/>
                <w:szCs w:val="18"/>
              </w:rPr>
              <w:t>第二位特征数字</w:t>
            </w:r>
          </w:p>
        </w:tc>
        <w:tc>
          <w:tcPr>
            <w:tcW w:w="8280" w:type="dxa"/>
            <w:gridSpan w:val="2"/>
            <w:tcBorders>
              <w:top w:val="single" w:color="auto" w:sz="4" w:space="0"/>
              <w:left w:val="single" w:color="auto" w:sz="4" w:space="0"/>
              <w:bottom w:val="single" w:color="auto" w:sz="4" w:space="0"/>
              <w:right w:val="single" w:color="auto" w:sz="4" w:space="0"/>
            </w:tcBorders>
          </w:tcPr>
          <w:p w14:paraId="1322A85F">
            <w:pPr>
              <w:spacing w:line="360" w:lineRule="exact"/>
              <w:jc w:val="center"/>
              <w:rPr>
                <w:rFonts w:ascii="宋体"/>
                <w:color w:val="000000"/>
                <w:kern w:val="0"/>
                <w:sz w:val="18"/>
                <w:szCs w:val="18"/>
              </w:rPr>
            </w:pPr>
            <w:r>
              <w:rPr>
                <w:rFonts w:hint="eastAsia" w:ascii="宋体" w:hAnsi="宋体"/>
                <w:color w:val="000000"/>
                <w:kern w:val="0"/>
                <w:sz w:val="18"/>
                <w:szCs w:val="18"/>
              </w:rPr>
              <w:t>防</w:t>
            </w:r>
            <w:r>
              <w:rPr>
                <w:rFonts w:ascii="宋体" w:hAnsi="宋体"/>
                <w:color w:val="000000"/>
                <w:kern w:val="0"/>
                <w:sz w:val="18"/>
                <w:szCs w:val="18"/>
              </w:rPr>
              <w:t xml:space="preserve">  </w:t>
            </w:r>
            <w:r>
              <w:rPr>
                <w:rFonts w:hint="eastAsia" w:ascii="宋体" w:hAnsi="宋体"/>
                <w:color w:val="000000"/>
                <w:kern w:val="0"/>
                <w:sz w:val="18"/>
                <w:szCs w:val="18"/>
              </w:rPr>
              <w:t>护</w:t>
            </w:r>
            <w:r>
              <w:rPr>
                <w:rFonts w:ascii="宋体" w:hAnsi="宋体"/>
                <w:color w:val="000000"/>
                <w:kern w:val="0"/>
                <w:sz w:val="18"/>
                <w:szCs w:val="18"/>
              </w:rPr>
              <w:t xml:space="preserve">  </w:t>
            </w:r>
            <w:r>
              <w:rPr>
                <w:rFonts w:hint="eastAsia" w:ascii="宋体" w:hAnsi="宋体"/>
                <w:color w:val="000000"/>
                <w:kern w:val="0"/>
                <w:sz w:val="18"/>
                <w:szCs w:val="18"/>
              </w:rPr>
              <w:t>等</w:t>
            </w:r>
            <w:r>
              <w:rPr>
                <w:rFonts w:ascii="宋体" w:hAnsi="宋体"/>
                <w:color w:val="000000"/>
                <w:kern w:val="0"/>
                <w:sz w:val="18"/>
                <w:szCs w:val="18"/>
              </w:rPr>
              <w:t xml:space="preserve">  </w:t>
            </w:r>
            <w:r>
              <w:rPr>
                <w:rFonts w:hint="eastAsia" w:ascii="宋体" w:hAnsi="宋体"/>
                <w:color w:val="000000"/>
                <w:kern w:val="0"/>
                <w:sz w:val="18"/>
                <w:szCs w:val="18"/>
              </w:rPr>
              <w:t>级</w:t>
            </w:r>
          </w:p>
        </w:tc>
      </w:tr>
      <w:tr w14:paraId="35523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vMerge w:val="continue"/>
            <w:tcBorders>
              <w:top w:val="single" w:color="auto" w:sz="4" w:space="0"/>
              <w:left w:val="single" w:color="auto" w:sz="4" w:space="0"/>
              <w:bottom w:val="single" w:color="auto" w:sz="4" w:space="0"/>
              <w:right w:val="single" w:color="auto" w:sz="4" w:space="0"/>
            </w:tcBorders>
          </w:tcPr>
          <w:p w14:paraId="32018724">
            <w:pPr>
              <w:spacing w:line="360" w:lineRule="exact"/>
              <w:jc w:val="center"/>
              <w:rPr>
                <w:rFonts w:ascii="宋体"/>
                <w:color w:val="000000"/>
                <w:kern w:val="0"/>
                <w:sz w:val="18"/>
                <w:szCs w:val="18"/>
              </w:rPr>
            </w:pPr>
          </w:p>
        </w:tc>
        <w:tc>
          <w:tcPr>
            <w:tcW w:w="2385" w:type="dxa"/>
            <w:tcBorders>
              <w:top w:val="single" w:color="auto" w:sz="4" w:space="0"/>
              <w:left w:val="single" w:color="auto" w:sz="4" w:space="0"/>
              <w:bottom w:val="single" w:color="auto" w:sz="4" w:space="0"/>
              <w:right w:val="single" w:color="auto" w:sz="4" w:space="0"/>
            </w:tcBorders>
          </w:tcPr>
          <w:p w14:paraId="2604D914">
            <w:pPr>
              <w:tabs>
                <w:tab w:val="left" w:pos="972"/>
              </w:tabs>
              <w:spacing w:line="360" w:lineRule="exact"/>
              <w:jc w:val="center"/>
              <w:rPr>
                <w:rFonts w:ascii="宋体"/>
                <w:color w:val="000000"/>
                <w:kern w:val="0"/>
                <w:sz w:val="18"/>
                <w:szCs w:val="18"/>
              </w:rPr>
            </w:pPr>
            <w:r>
              <w:rPr>
                <w:rFonts w:hint="eastAsia" w:ascii="宋体" w:hAnsi="宋体"/>
                <w:color w:val="000000"/>
                <w:kern w:val="0"/>
                <w:sz w:val="18"/>
                <w:szCs w:val="18"/>
              </w:rPr>
              <w:t>简</w:t>
            </w:r>
            <w:r>
              <w:rPr>
                <w:rFonts w:ascii="宋体" w:hAnsi="宋体"/>
                <w:color w:val="000000"/>
                <w:kern w:val="0"/>
                <w:sz w:val="18"/>
                <w:szCs w:val="18"/>
              </w:rPr>
              <w:t xml:space="preserve"> </w:t>
            </w:r>
            <w:r>
              <w:rPr>
                <w:rFonts w:hint="eastAsia" w:ascii="宋体" w:hAnsi="宋体"/>
                <w:color w:val="000000"/>
                <w:kern w:val="0"/>
                <w:sz w:val="18"/>
                <w:szCs w:val="18"/>
              </w:rPr>
              <w:t>要</w:t>
            </w:r>
            <w:r>
              <w:rPr>
                <w:rFonts w:ascii="宋体" w:hAnsi="宋体"/>
                <w:color w:val="000000"/>
                <w:kern w:val="0"/>
                <w:sz w:val="18"/>
                <w:szCs w:val="18"/>
              </w:rPr>
              <w:t xml:space="preserve"> </w:t>
            </w:r>
            <w:r>
              <w:rPr>
                <w:rFonts w:hint="eastAsia" w:ascii="宋体" w:hAnsi="宋体"/>
                <w:color w:val="000000"/>
                <w:kern w:val="0"/>
                <w:sz w:val="18"/>
                <w:szCs w:val="18"/>
              </w:rPr>
              <w:t>描</w:t>
            </w:r>
            <w:r>
              <w:rPr>
                <w:rFonts w:ascii="宋体" w:hAnsi="宋体"/>
                <w:color w:val="000000"/>
                <w:kern w:val="0"/>
                <w:sz w:val="18"/>
                <w:szCs w:val="18"/>
              </w:rPr>
              <w:t xml:space="preserve"> </w:t>
            </w:r>
            <w:r>
              <w:rPr>
                <w:rFonts w:hint="eastAsia" w:ascii="宋体" w:hAnsi="宋体"/>
                <w:color w:val="000000"/>
                <w:kern w:val="0"/>
                <w:sz w:val="18"/>
                <w:szCs w:val="18"/>
              </w:rPr>
              <w:t>述</w:t>
            </w:r>
          </w:p>
        </w:tc>
        <w:tc>
          <w:tcPr>
            <w:tcW w:w="5895" w:type="dxa"/>
            <w:tcBorders>
              <w:top w:val="single" w:color="auto" w:sz="4" w:space="0"/>
              <w:left w:val="single" w:color="auto" w:sz="4" w:space="0"/>
              <w:bottom w:val="single" w:color="auto" w:sz="4" w:space="0"/>
              <w:right w:val="single" w:color="auto" w:sz="4" w:space="0"/>
            </w:tcBorders>
          </w:tcPr>
          <w:p w14:paraId="5627F945">
            <w:pPr>
              <w:spacing w:line="360" w:lineRule="exact"/>
              <w:rPr>
                <w:rFonts w:ascii="宋体"/>
                <w:color w:val="000000"/>
                <w:kern w:val="0"/>
                <w:sz w:val="18"/>
                <w:szCs w:val="18"/>
              </w:rPr>
            </w:pPr>
            <w:r>
              <w:rPr>
                <w:rFonts w:hint="eastAsia" w:ascii="宋体" w:hAnsi="宋体"/>
                <w:color w:val="000000"/>
                <w:kern w:val="0"/>
                <w:sz w:val="18"/>
                <w:szCs w:val="18"/>
              </w:rPr>
              <w:t>外壳提供的防护类型的说明</w:t>
            </w:r>
          </w:p>
        </w:tc>
      </w:tr>
      <w:tr w14:paraId="21C29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14:paraId="0B4694B0">
            <w:pPr>
              <w:spacing w:line="360" w:lineRule="exact"/>
              <w:jc w:val="center"/>
              <w:rPr>
                <w:rFonts w:ascii="宋体"/>
                <w:color w:val="000000"/>
                <w:kern w:val="0"/>
                <w:sz w:val="18"/>
                <w:szCs w:val="18"/>
              </w:rPr>
            </w:pPr>
            <w:r>
              <w:rPr>
                <w:rFonts w:ascii="宋体"/>
                <w:color w:val="000000"/>
                <w:kern w:val="0"/>
                <w:sz w:val="18"/>
                <w:szCs w:val="18"/>
              </w:rPr>
              <w:t>0</w:t>
            </w:r>
          </w:p>
        </w:tc>
        <w:tc>
          <w:tcPr>
            <w:tcW w:w="2385" w:type="dxa"/>
            <w:tcBorders>
              <w:top w:val="single" w:color="auto" w:sz="4" w:space="0"/>
              <w:left w:val="single" w:color="auto" w:sz="4" w:space="0"/>
              <w:bottom w:val="single" w:color="auto" w:sz="4" w:space="0"/>
              <w:right w:val="single" w:color="auto" w:sz="4" w:space="0"/>
            </w:tcBorders>
          </w:tcPr>
          <w:p w14:paraId="19D68EC6">
            <w:pPr>
              <w:spacing w:line="360" w:lineRule="exact"/>
              <w:rPr>
                <w:rFonts w:ascii="宋体"/>
                <w:color w:val="000000"/>
                <w:kern w:val="0"/>
                <w:sz w:val="18"/>
                <w:szCs w:val="18"/>
              </w:rPr>
            </w:pPr>
            <w:r>
              <w:rPr>
                <w:rFonts w:hint="eastAsia" w:ascii="宋体" w:hAnsi="宋体"/>
                <w:color w:val="000000"/>
                <w:kern w:val="0"/>
                <w:sz w:val="18"/>
                <w:szCs w:val="18"/>
              </w:rPr>
              <w:t>无防护</w:t>
            </w:r>
          </w:p>
        </w:tc>
        <w:tc>
          <w:tcPr>
            <w:tcW w:w="5895" w:type="dxa"/>
            <w:tcBorders>
              <w:top w:val="single" w:color="auto" w:sz="4" w:space="0"/>
              <w:left w:val="single" w:color="auto" w:sz="4" w:space="0"/>
              <w:bottom w:val="single" w:color="auto" w:sz="4" w:space="0"/>
              <w:right w:val="single" w:color="auto" w:sz="4" w:space="0"/>
            </w:tcBorders>
          </w:tcPr>
          <w:p w14:paraId="4D2DF8BF">
            <w:pPr>
              <w:spacing w:line="360" w:lineRule="exact"/>
              <w:jc w:val="center"/>
              <w:rPr>
                <w:rFonts w:ascii="宋体"/>
                <w:color w:val="000000"/>
                <w:kern w:val="0"/>
                <w:sz w:val="18"/>
                <w:szCs w:val="18"/>
              </w:rPr>
            </w:pPr>
            <w:r>
              <w:rPr>
                <w:rFonts w:ascii="宋体"/>
                <w:color w:val="000000"/>
                <w:kern w:val="0"/>
                <w:sz w:val="18"/>
                <w:szCs w:val="18"/>
              </w:rPr>
              <w:t>-</w:t>
            </w:r>
          </w:p>
        </w:tc>
      </w:tr>
      <w:tr w14:paraId="00279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14:paraId="5E9226B2">
            <w:pPr>
              <w:spacing w:line="360" w:lineRule="exact"/>
              <w:jc w:val="center"/>
              <w:rPr>
                <w:rFonts w:ascii="宋体"/>
                <w:color w:val="000000"/>
                <w:kern w:val="0"/>
                <w:sz w:val="18"/>
                <w:szCs w:val="18"/>
              </w:rPr>
            </w:pPr>
            <w:r>
              <w:rPr>
                <w:rFonts w:ascii="宋体" w:hAnsi="宋体"/>
                <w:color w:val="000000"/>
                <w:kern w:val="0"/>
                <w:sz w:val="18"/>
                <w:szCs w:val="18"/>
              </w:rPr>
              <w:t>1</w:t>
            </w:r>
          </w:p>
        </w:tc>
        <w:tc>
          <w:tcPr>
            <w:tcW w:w="2385" w:type="dxa"/>
            <w:tcBorders>
              <w:top w:val="single" w:color="auto" w:sz="4" w:space="0"/>
              <w:left w:val="single" w:color="auto" w:sz="4" w:space="0"/>
              <w:bottom w:val="single" w:color="auto" w:sz="4" w:space="0"/>
              <w:right w:val="single" w:color="auto" w:sz="4" w:space="0"/>
            </w:tcBorders>
          </w:tcPr>
          <w:p w14:paraId="7AE31F55">
            <w:pPr>
              <w:spacing w:line="360" w:lineRule="exact"/>
              <w:rPr>
                <w:rFonts w:ascii="宋体"/>
                <w:color w:val="000000"/>
                <w:kern w:val="0"/>
                <w:sz w:val="18"/>
                <w:szCs w:val="18"/>
              </w:rPr>
            </w:pPr>
            <w:r>
              <w:rPr>
                <w:rFonts w:hint="eastAsia" w:ascii="宋体" w:hAnsi="宋体"/>
                <w:color w:val="000000"/>
                <w:kern w:val="0"/>
                <w:sz w:val="18"/>
                <w:szCs w:val="18"/>
              </w:rPr>
              <w:t>防止垂直方向滴水</w:t>
            </w:r>
          </w:p>
        </w:tc>
        <w:tc>
          <w:tcPr>
            <w:tcW w:w="5895" w:type="dxa"/>
            <w:tcBorders>
              <w:top w:val="single" w:color="auto" w:sz="4" w:space="0"/>
              <w:left w:val="single" w:color="auto" w:sz="4" w:space="0"/>
              <w:bottom w:val="single" w:color="auto" w:sz="4" w:space="0"/>
              <w:right w:val="single" w:color="auto" w:sz="4" w:space="0"/>
            </w:tcBorders>
          </w:tcPr>
          <w:p w14:paraId="4D33E3FE">
            <w:pPr>
              <w:spacing w:line="360" w:lineRule="exact"/>
              <w:rPr>
                <w:rFonts w:ascii="宋体"/>
                <w:color w:val="000000"/>
                <w:kern w:val="0"/>
                <w:sz w:val="18"/>
                <w:szCs w:val="18"/>
              </w:rPr>
            </w:pPr>
            <w:r>
              <w:rPr>
                <w:rFonts w:hint="eastAsia" w:ascii="宋体" w:hAnsi="宋体"/>
                <w:color w:val="000000"/>
                <w:kern w:val="0"/>
                <w:sz w:val="18"/>
                <w:szCs w:val="18"/>
              </w:rPr>
              <w:t>垂直方向滴水应无有害影响</w:t>
            </w:r>
          </w:p>
        </w:tc>
      </w:tr>
      <w:tr w14:paraId="1C541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4E4C2A11">
            <w:pPr>
              <w:spacing w:line="360" w:lineRule="exact"/>
              <w:jc w:val="center"/>
              <w:rPr>
                <w:rFonts w:ascii="宋体"/>
                <w:color w:val="000000"/>
                <w:kern w:val="0"/>
                <w:sz w:val="18"/>
                <w:szCs w:val="18"/>
              </w:rPr>
            </w:pPr>
            <w:r>
              <w:rPr>
                <w:rFonts w:ascii="宋体" w:hAnsi="宋体"/>
                <w:color w:val="000000"/>
                <w:kern w:val="0"/>
                <w:sz w:val="18"/>
                <w:szCs w:val="18"/>
              </w:rPr>
              <w:t>2</w:t>
            </w:r>
          </w:p>
        </w:tc>
        <w:tc>
          <w:tcPr>
            <w:tcW w:w="2385" w:type="dxa"/>
            <w:tcBorders>
              <w:top w:val="single" w:color="auto" w:sz="4" w:space="0"/>
              <w:left w:val="single" w:color="auto" w:sz="4" w:space="0"/>
              <w:bottom w:val="single" w:color="auto" w:sz="4" w:space="0"/>
              <w:right w:val="single" w:color="auto" w:sz="4" w:space="0"/>
            </w:tcBorders>
            <w:vAlign w:val="center"/>
          </w:tcPr>
          <w:p w14:paraId="68908ECB">
            <w:pPr>
              <w:spacing w:line="360" w:lineRule="exact"/>
              <w:rPr>
                <w:rFonts w:ascii="宋体"/>
                <w:color w:val="000000"/>
                <w:kern w:val="0"/>
                <w:sz w:val="18"/>
                <w:szCs w:val="18"/>
              </w:rPr>
            </w:pPr>
            <w:r>
              <w:rPr>
                <w:rFonts w:hint="eastAsia" w:ascii="宋体" w:hAnsi="宋体"/>
                <w:color w:val="000000"/>
                <w:kern w:val="0"/>
                <w:sz w:val="18"/>
                <w:szCs w:val="18"/>
              </w:rPr>
              <w:t>防止当外壳在</w:t>
            </w:r>
            <w:r>
              <w:rPr>
                <w:rFonts w:ascii="宋体" w:hAnsi="宋体"/>
                <w:color w:val="000000"/>
                <w:kern w:val="0"/>
                <w:sz w:val="18"/>
                <w:szCs w:val="18"/>
              </w:rPr>
              <w:t>15</w:t>
            </w:r>
            <w:r>
              <w:rPr>
                <w:rFonts w:hint="eastAsia" w:ascii="宋体" w:hAnsi="宋体"/>
                <w:color w:val="000000"/>
                <w:kern w:val="0"/>
                <w:sz w:val="18"/>
                <w:szCs w:val="18"/>
              </w:rPr>
              <w:t>°倾斜时垂直方向滴水</w:t>
            </w:r>
          </w:p>
        </w:tc>
        <w:tc>
          <w:tcPr>
            <w:tcW w:w="5895" w:type="dxa"/>
            <w:tcBorders>
              <w:top w:val="single" w:color="auto" w:sz="4" w:space="0"/>
              <w:left w:val="single" w:color="auto" w:sz="4" w:space="0"/>
              <w:bottom w:val="single" w:color="auto" w:sz="4" w:space="0"/>
              <w:right w:val="single" w:color="auto" w:sz="4" w:space="0"/>
            </w:tcBorders>
          </w:tcPr>
          <w:p w14:paraId="506E285A">
            <w:pPr>
              <w:spacing w:line="360" w:lineRule="exact"/>
              <w:rPr>
                <w:rFonts w:ascii="宋体"/>
                <w:color w:val="000000"/>
                <w:kern w:val="0"/>
                <w:sz w:val="18"/>
                <w:szCs w:val="18"/>
              </w:rPr>
            </w:pPr>
            <w:r>
              <w:rPr>
                <w:rFonts w:hint="eastAsia" w:ascii="宋体" w:hAnsi="宋体"/>
                <w:color w:val="000000"/>
                <w:kern w:val="0"/>
                <w:sz w:val="18"/>
                <w:szCs w:val="18"/>
              </w:rPr>
              <w:t>当外壳的各垂直面在</w:t>
            </w:r>
            <w:r>
              <w:rPr>
                <w:rFonts w:ascii="宋体" w:hAnsi="宋体"/>
                <w:color w:val="000000"/>
                <w:kern w:val="0"/>
                <w:sz w:val="18"/>
                <w:szCs w:val="18"/>
              </w:rPr>
              <w:t>15</w:t>
            </w:r>
            <w:r>
              <w:rPr>
                <w:rFonts w:hint="eastAsia" w:ascii="宋体" w:hAnsi="宋体"/>
                <w:color w:val="000000"/>
                <w:kern w:val="0"/>
                <w:sz w:val="18"/>
                <w:szCs w:val="18"/>
              </w:rPr>
              <w:t>°倾斜时时，垂直滴水应无有害影响</w:t>
            </w:r>
          </w:p>
        </w:tc>
      </w:tr>
      <w:tr w14:paraId="7D262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14:paraId="6E2C85FE">
            <w:pPr>
              <w:spacing w:line="360" w:lineRule="exact"/>
              <w:jc w:val="center"/>
              <w:rPr>
                <w:rFonts w:ascii="宋体"/>
                <w:color w:val="000000"/>
                <w:kern w:val="0"/>
                <w:sz w:val="18"/>
                <w:szCs w:val="18"/>
              </w:rPr>
            </w:pPr>
            <w:r>
              <w:rPr>
                <w:rFonts w:ascii="宋体" w:hAnsi="宋体"/>
                <w:color w:val="000000"/>
                <w:kern w:val="0"/>
                <w:sz w:val="18"/>
                <w:szCs w:val="18"/>
              </w:rPr>
              <w:t>3</w:t>
            </w:r>
          </w:p>
        </w:tc>
        <w:tc>
          <w:tcPr>
            <w:tcW w:w="2385" w:type="dxa"/>
            <w:tcBorders>
              <w:top w:val="single" w:color="auto" w:sz="4" w:space="0"/>
              <w:left w:val="single" w:color="auto" w:sz="4" w:space="0"/>
              <w:bottom w:val="single" w:color="auto" w:sz="4" w:space="0"/>
              <w:right w:val="single" w:color="auto" w:sz="4" w:space="0"/>
            </w:tcBorders>
          </w:tcPr>
          <w:p w14:paraId="05643A04">
            <w:pPr>
              <w:spacing w:line="360" w:lineRule="exact"/>
              <w:rPr>
                <w:rFonts w:ascii="宋体"/>
                <w:color w:val="000000"/>
                <w:kern w:val="0"/>
                <w:sz w:val="18"/>
                <w:szCs w:val="18"/>
              </w:rPr>
            </w:pPr>
            <w:r>
              <w:rPr>
                <w:rFonts w:hint="eastAsia" w:ascii="宋体" w:hAnsi="宋体"/>
                <w:color w:val="000000"/>
                <w:kern w:val="0"/>
                <w:sz w:val="18"/>
                <w:szCs w:val="18"/>
              </w:rPr>
              <w:t>防淋水</w:t>
            </w:r>
          </w:p>
        </w:tc>
        <w:tc>
          <w:tcPr>
            <w:tcW w:w="5895" w:type="dxa"/>
            <w:tcBorders>
              <w:top w:val="single" w:color="auto" w:sz="4" w:space="0"/>
              <w:left w:val="single" w:color="auto" w:sz="4" w:space="0"/>
              <w:bottom w:val="single" w:color="auto" w:sz="4" w:space="0"/>
              <w:right w:val="single" w:color="auto" w:sz="4" w:space="0"/>
            </w:tcBorders>
          </w:tcPr>
          <w:p w14:paraId="425A7D51">
            <w:pPr>
              <w:spacing w:line="360" w:lineRule="exact"/>
              <w:rPr>
                <w:rFonts w:ascii="宋体"/>
                <w:color w:val="000000"/>
                <w:kern w:val="0"/>
                <w:sz w:val="18"/>
                <w:szCs w:val="18"/>
              </w:rPr>
            </w:pPr>
            <w:r>
              <w:rPr>
                <w:rFonts w:hint="eastAsia" w:ascii="宋体" w:hAnsi="宋体"/>
                <w:color w:val="000000"/>
                <w:kern w:val="0"/>
                <w:sz w:val="18"/>
                <w:szCs w:val="18"/>
              </w:rPr>
              <w:t>各垂直面在</w:t>
            </w:r>
            <w:r>
              <w:rPr>
                <w:rFonts w:ascii="宋体" w:hAnsi="宋体"/>
                <w:color w:val="000000"/>
                <w:kern w:val="0"/>
                <w:sz w:val="18"/>
                <w:szCs w:val="18"/>
              </w:rPr>
              <w:t>60</w:t>
            </w:r>
            <w:r>
              <w:rPr>
                <w:rFonts w:hint="eastAsia" w:ascii="宋体" w:hAnsi="宋体"/>
                <w:color w:val="000000"/>
                <w:kern w:val="0"/>
                <w:sz w:val="18"/>
                <w:szCs w:val="18"/>
              </w:rPr>
              <w:t>°范围以内淋水，无有害影响</w:t>
            </w:r>
          </w:p>
        </w:tc>
      </w:tr>
      <w:tr w14:paraId="48FCF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14:paraId="5ECF851B">
            <w:pPr>
              <w:spacing w:line="360" w:lineRule="exact"/>
              <w:jc w:val="center"/>
              <w:rPr>
                <w:rFonts w:ascii="宋体"/>
                <w:color w:val="000000"/>
                <w:kern w:val="0"/>
                <w:sz w:val="18"/>
                <w:szCs w:val="18"/>
              </w:rPr>
            </w:pPr>
            <w:r>
              <w:rPr>
                <w:rFonts w:ascii="宋体" w:hAnsi="宋体"/>
                <w:color w:val="000000"/>
                <w:kern w:val="0"/>
                <w:sz w:val="18"/>
                <w:szCs w:val="18"/>
              </w:rPr>
              <w:t>4</w:t>
            </w:r>
          </w:p>
        </w:tc>
        <w:tc>
          <w:tcPr>
            <w:tcW w:w="2385" w:type="dxa"/>
            <w:tcBorders>
              <w:top w:val="single" w:color="auto" w:sz="4" w:space="0"/>
              <w:left w:val="single" w:color="auto" w:sz="4" w:space="0"/>
              <w:bottom w:val="single" w:color="auto" w:sz="4" w:space="0"/>
              <w:right w:val="single" w:color="auto" w:sz="4" w:space="0"/>
            </w:tcBorders>
          </w:tcPr>
          <w:p w14:paraId="220DBC40">
            <w:pPr>
              <w:spacing w:line="360" w:lineRule="exact"/>
              <w:rPr>
                <w:rFonts w:ascii="宋体"/>
                <w:color w:val="000000"/>
                <w:kern w:val="0"/>
                <w:sz w:val="18"/>
                <w:szCs w:val="18"/>
              </w:rPr>
            </w:pPr>
            <w:r>
              <w:rPr>
                <w:rFonts w:hint="eastAsia" w:ascii="宋体" w:hAnsi="宋体"/>
                <w:color w:val="000000"/>
                <w:kern w:val="0"/>
                <w:sz w:val="18"/>
                <w:szCs w:val="18"/>
              </w:rPr>
              <w:t>防溅水</w:t>
            </w:r>
          </w:p>
        </w:tc>
        <w:tc>
          <w:tcPr>
            <w:tcW w:w="5895" w:type="dxa"/>
            <w:tcBorders>
              <w:top w:val="single" w:color="auto" w:sz="4" w:space="0"/>
              <w:left w:val="single" w:color="auto" w:sz="4" w:space="0"/>
              <w:bottom w:val="single" w:color="auto" w:sz="4" w:space="0"/>
              <w:right w:val="single" w:color="auto" w:sz="4" w:space="0"/>
            </w:tcBorders>
          </w:tcPr>
          <w:p w14:paraId="26BAE5E9">
            <w:pPr>
              <w:spacing w:line="360" w:lineRule="exact"/>
              <w:rPr>
                <w:rFonts w:ascii="宋体"/>
                <w:color w:val="000000"/>
                <w:kern w:val="0"/>
                <w:sz w:val="18"/>
                <w:szCs w:val="18"/>
              </w:rPr>
            </w:pPr>
            <w:r>
              <w:rPr>
                <w:rFonts w:hint="eastAsia" w:ascii="宋体" w:hAnsi="宋体"/>
                <w:color w:val="000000"/>
                <w:kern w:val="0"/>
                <w:sz w:val="18"/>
                <w:szCs w:val="18"/>
              </w:rPr>
              <w:t>向外壳各方向溅水无有害影响</w:t>
            </w:r>
          </w:p>
        </w:tc>
      </w:tr>
      <w:tr w14:paraId="7F42C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14:paraId="6ECEF1A7">
            <w:pPr>
              <w:spacing w:line="360" w:lineRule="exact"/>
              <w:jc w:val="center"/>
              <w:rPr>
                <w:rFonts w:ascii="宋体"/>
                <w:color w:val="000000"/>
                <w:kern w:val="0"/>
                <w:sz w:val="18"/>
                <w:szCs w:val="18"/>
              </w:rPr>
            </w:pPr>
            <w:r>
              <w:rPr>
                <w:rFonts w:ascii="宋体" w:hAnsi="宋体"/>
                <w:color w:val="000000"/>
                <w:kern w:val="0"/>
                <w:sz w:val="18"/>
                <w:szCs w:val="18"/>
              </w:rPr>
              <w:t>5</w:t>
            </w:r>
          </w:p>
        </w:tc>
        <w:tc>
          <w:tcPr>
            <w:tcW w:w="2385" w:type="dxa"/>
            <w:tcBorders>
              <w:top w:val="single" w:color="auto" w:sz="4" w:space="0"/>
              <w:left w:val="single" w:color="auto" w:sz="4" w:space="0"/>
              <w:bottom w:val="single" w:color="auto" w:sz="4" w:space="0"/>
              <w:right w:val="single" w:color="auto" w:sz="4" w:space="0"/>
            </w:tcBorders>
          </w:tcPr>
          <w:p w14:paraId="08643A6C">
            <w:pPr>
              <w:spacing w:line="360" w:lineRule="exact"/>
              <w:rPr>
                <w:rFonts w:ascii="宋体"/>
                <w:color w:val="000000"/>
                <w:kern w:val="0"/>
                <w:sz w:val="18"/>
                <w:szCs w:val="18"/>
              </w:rPr>
            </w:pPr>
            <w:r>
              <w:rPr>
                <w:rFonts w:hint="eastAsia" w:ascii="宋体" w:hAnsi="宋体"/>
                <w:color w:val="000000"/>
                <w:kern w:val="0"/>
                <w:sz w:val="18"/>
                <w:szCs w:val="18"/>
              </w:rPr>
              <w:t>防喷水</w:t>
            </w:r>
          </w:p>
        </w:tc>
        <w:tc>
          <w:tcPr>
            <w:tcW w:w="5895" w:type="dxa"/>
            <w:tcBorders>
              <w:top w:val="single" w:color="auto" w:sz="4" w:space="0"/>
              <w:left w:val="single" w:color="auto" w:sz="4" w:space="0"/>
              <w:bottom w:val="single" w:color="auto" w:sz="4" w:space="0"/>
              <w:right w:val="single" w:color="auto" w:sz="4" w:space="0"/>
            </w:tcBorders>
          </w:tcPr>
          <w:p w14:paraId="49872892">
            <w:pPr>
              <w:spacing w:line="360" w:lineRule="exact"/>
              <w:rPr>
                <w:rFonts w:ascii="宋体"/>
                <w:color w:val="000000"/>
                <w:kern w:val="0"/>
                <w:sz w:val="18"/>
                <w:szCs w:val="18"/>
              </w:rPr>
            </w:pPr>
            <w:r>
              <w:rPr>
                <w:rFonts w:hint="eastAsia" w:ascii="宋体" w:hAnsi="宋体"/>
                <w:color w:val="000000"/>
                <w:kern w:val="0"/>
                <w:sz w:val="18"/>
                <w:szCs w:val="18"/>
              </w:rPr>
              <w:t>向外壳各方向喷水无有害影响</w:t>
            </w:r>
          </w:p>
        </w:tc>
      </w:tr>
      <w:tr w14:paraId="26861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17546D04">
            <w:pPr>
              <w:spacing w:line="360" w:lineRule="exact"/>
              <w:jc w:val="center"/>
              <w:rPr>
                <w:rFonts w:ascii="宋体"/>
                <w:color w:val="000000"/>
                <w:kern w:val="0"/>
                <w:sz w:val="18"/>
                <w:szCs w:val="18"/>
              </w:rPr>
            </w:pPr>
            <w:r>
              <w:rPr>
                <w:rFonts w:ascii="宋体" w:hAnsi="宋体"/>
                <w:color w:val="000000"/>
                <w:kern w:val="0"/>
                <w:sz w:val="18"/>
                <w:szCs w:val="18"/>
              </w:rPr>
              <w:t>6</w:t>
            </w:r>
          </w:p>
        </w:tc>
        <w:tc>
          <w:tcPr>
            <w:tcW w:w="2385" w:type="dxa"/>
            <w:tcBorders>
              <w:top w:val="single" w:color="auto" w:sz="4" w:space="0"/>
              <w:left w:val="single" w:color="auto" w:sz="4" w:space="0"/>
              <w:bottom w:val="single" w:color="auto" w:sz="4" w:space="0"/>
              <w:right w:val="single" w:color="auto" w:sz="4" w:space="0"/>
            </w:tcBorders>
          </w:tcPr>
          <w:p w14:paraId="349AB9BD">
            <w:pPr>
              <w:spacing w:line="360" w:lineRule="exact"/>
              <w:rPr>
                <w:rFonts w:ascii="宋体"/>
                <w:color w:val="000000"/>
                <w:kern w:val="0"/>
                <w:sz w:val="18"/>
                <w:szCs w:val="18"/>
              </w:rPr>
            </w:pPr>
            <w:r>
              <w:rPr>
                <w:rFonts w:hint="eastAsia" w:ascii="宋体" w:hAnsi="宋体"/>
                <w:color w:val="000000"/>
                <w:kern w:val="0"/>
                <w:sz w:val="18"/>
                <w:szCs w:val="18"/>
              </w:rPr>
              <w:t>防强烈喷水</w:t>
            </w:r>
          </w:p>
        </w:tc>
        <w:tc>
          <w:tcPr>
            <w:tcW w:w="5895" w:type="dxa"/>
            <w:tcBorders>
              <w:top w:val="single" w:color="auto" w:sz="4" w:space="0"/>
              <w:left w:val="single" w:color="auto" w:sz="4" w:space="0"/>
              <w:bottom w:val="single" w:color="auto" w:sz="4" w:space="0"/>
              <w:right w:val="single" w:color="auto" w:sz="4" w:space="0"/>
            </w:tcBorders>
          </w:tcPr>
          <w:p w14:paraId="11942488">
            <w:pPr>
              <w:spacing w:line="360" w:lineRule="exact"/>
              <w:rPr>
                <w:rFonts w:ascii="宋体"/>
                <w:color w:val="000000"/>
                <w:kern w:val="0"/>
                <w:sz w:val="18"/>
                <w:szCs w:val="18"/>
              </w:rPr>
            </w:pPr>
            <w:r>
              <w:rPr>
                <w:rFonts w:hint="eastAsia" w:ascii="宋体" w:hAnsi="宋体"/>
                <w:color w:val="000000"/>
                <w:kern w:val="0"/>
                <w:sz w:val="18"/>
                <w:szCs w:val="18"/>
              </w:rPr>
              <w:t>向外壳各方向强烈喷水无有害影响</w:t>
            </w:r>
          </w:p>
        </w:tc>
      </w:tr>
      <w:tr w14:paraId="46E1B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272604A3">
            <w:pPr>
              <w:spacing w:line="360" w:lineRule="exact"/>
              <w:jc w:val="center"/>
              <w:rPr>
                <w:rFonts w:ascii="宋体"/>
                <w:color w:val="000000"/>
                <w:kern w:val="0"/>
                <w:sz w:val="18"/>
                <w:szCs w:val="18"/>
              </w:rPr>
            </w:pPr>
            <w:r>
              <w:rPr>
                <w:rFonts w:ascii="宋体" w:hAnsi="宋体"/>
                <w:color w:val="000000"/>
                <w:kern w:val="0"/>
                <w:sz w:val="18"/>
                <w:szCs w:val="18"/>
              </w:rPr>
              <w:t>7</w:t>
            </w:r>
          </w:p>
        </w:tc>
        <w:tc>
          <w:tcPr>
            <w:tcW w:w="2385" w:type="dxa"/>
            <w:tcBorders>
              <w:top w:val="single" w:color="auto" w:sz="4" w:space="0"/>
              <w:left w:val="single" w:color="auto" w:sz="4" w:space="0"/>
              <w:bottom w:val="single" w:color="auto" w:sz="4" w:space="0"/>
              <w:right w:val="single" w:color="auto" w:sz="4" w:space="0"/>
            </w:tcBorders>
            <w:vAlign w:val="center"/>
          </w:tcPr>
          <w:p w14:paraId="4B4449A6">
            <w:pPr>
              <w:spacing w:line="360" w:lineRule="exact"/>
              <w:rPr>
                <w:rFonts w:ascii="宋体"/>
                <w:color w:val="000000"/>
                <w:kern w:val="0"/>
                <w:sz w:val="18"/>
                <w:szCs w:val="18"/>
              </w:rPr>
            </w:pPr>
            <w:r>
              <w:rPr>
                <w:rFonts w:hint="eastAsia" w:ascii="宋体" w:hAnsi="宋体"/>
                <w:color w:val="000000"/>
                <w:kern w:val="0"/>
                <w:sz w:val="18"/>
                <w:szCs w:val="18"/>
              </w:rPr>
              <w:t>防短时间浸水影响</w:t>
            </w:r>
          </w:p>
        </w:tc>
        <w:tc>
          <w:tcPr>
            <w:tcW w:w="5895" w:type="dxa"/>
            <w:tcBorders>
              <w:top w:val="single" w:color="auto" w:sz="4" w:space="0"/>
              <w:left w:val="single" w:color="auto" w:sz="4" w:space="0"/>
              <w:bottom w:val="single" w:color="auto" w:sz="4" w:space="0"/>
              <w:right w:val="single" w:color="auto" w:sz="4" w:space="0"/>
            </w:tcBorders>
          </w:tcPr>
          <w:p w14:paraId="358B3335">
            <w:pPr>
              <w:spacing w:line="360" w:lineRule="exact"/>
              <w:rPr>
                <w:rFonts w:ascii="宋体"/>
                <w:color w:val="000000"/>
                <w:kern w:val="0"/>
                <w:sz w:val="18"/>
                <w:szCs w:val="18"/>
              </w:rPr>
            </w:pPr>
            <w:r>
              <w:rPr>
                <w:rFonts w:hint="eastAsia" w:ascii="宋体" w:hAnsi="宋体"/>
                <w:color w:val="000000"/>
                <w:kern w:val="0"/>
                <w:sz w:val="18"/>
                <w:szCs w:val="18"/>
              </w:rPr>
              <w:t>浸入规定压力的水中经规定时间后外壳进水量不致达有害程度</w:t>
            </w:r>
          </w:p>
        </w:tc>
      </w:tr>
      <w:tr w14:paraId="62062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7F23E04E">
            <w:pPr>
              <w:spacing w:line="360" w:lineRule="exact"/>
              <w:jc w:val="center"/>
              <w:rPr>
                <w:rFonts w:ascii="宋体"/>
                <w:color w:val="000000"/>
                <w:kern w:val="0"/>
                <w:sz w:val="18"/>
                <w:szCs w:val="18"/>
              </w:rPr>
            </w:pPr>
            <w:r>
              <w:rPr>
                <w:rFonts w:ascii="宋体" w:hAnsi="宋体"/>
                <w:color w:val="000000"/>
                <w:kern w:val="0"/>
                <w:sz w:val="18"/>
                <w:szCs w:val="18"/>
              </w:rPr>
              <w:t>8</w:t>
            </w:r>
          </w:p>
        </w:tc>
        <w:tc>
          <w:tcPr>
            <w:tcW w:w="2385" w:type="dxa"/>
            <w:tcBorders>
              <w:top w:val="single" w:color="auto" w:sz="4" w:space="0"/>
              <w:left w:val="single" w:color="auto" w:sz="4" w:space="0"/>
              <w:bottom w:val="single" w:color="auto" w:sz="4" w:space="0"/>
              <w:right w:val="single" w:color="auto" w:sz="4" w:space="0"/>
            </w:tcBorders>
            <w:vAlign w:val="center"/>
          </w:tcPr>
          <w:p w14:paraId="6C891906">
            <w:pPr>
              <w:spacing w:line="360" w:lineRule="exact"/>
              <w:rPr>
                <w:rFonts w:ascii="宋体"/>
                <w:color w:val="000000"/>
                <w:kern w:val="0"/>
                <w:sz w:val="18"/>
                <w:szCs w:val="18"/>
              </w:rPr>
            </w:pPr>
            <w:r>
              <w:rPr>
                <w:rFonts w:hint="eastAsia" w:ascii="宋体" w:hAnsi="宋体"/>
                <w:color w:val="000000"/>
                <w:kern w:val="0"/>
                <w:sz w:val="18"/>
                <w:szCs w:val="18"/>
              </w:rPr>
              <w:t>防持续潜水影响</w:t>
            </w:r>
          </w:p>
        </w:tc>
        <w:tc>
          <w:tcPr>
            <w:tcW w:w="5895" w:type="dxa"/>
            <w:tcBorders>
              <w:top w:val="single" w:color="auto" w:sz="4" w:space="0"/>
              <w:left w:val="single" w:color="auto" w:sz="4" w:space="0"/>
              <w:bottom w:val="single" w:color="auto" w:sz="4" w:space="0"/>
              <w:right w:val="single" w:color="auto" w:sz="4" w:space="0"/>
            </w:tcBorders>
          </w:tcPr>
          <w:p w14:paraId="545176D9">
            <w:pPr>
              <w:spacing w:line="360" w:lineRule="exact"/>
              <w:rPr>
                <w:rFonts w:ascii="宋体"/>
                <w:color w:val="000000"/>
                <w:kern w:val="0"/>
                <w:sz w:val="18"/>
                <w:szCs w:val="18"/>
              </w:rPr>
            </w:pPr>
            <w:r>
              <w:rPr>
                <w:rFonts w:hint="eastAsia" w:ascii="宋体" w:hAnsi="宋体"/>
                <w:color w:val="000000"/>
                <w:kern w:val="0"/>
                <w:sz w:val="18"/>
                <w:szCs w:val="18"/>
              </w:rPr>
              <w:t>按生产厂和用户双方同意的条件（应比特征数字为</w:t>
            </w:r>
            <w:r>
              <w:rPr>
                <w:rFonts w:ascii="宋体" w:hAnsi="宋体"/>
                <w:color w:val="000000"/>
                <w:kern w:val="0"/>
                <w:sz w:val="18"/>
                <w:szCs w:val="18"/>
              </w:rPr>
              <w:t>7</w:t>
            </w:r>
            <w:r>
              <w:rPr>
                <w:rFonts w:hint="eastAsia" w:ascii="宋体" w:hAnsi="宋体"/>
                <w:color w:val="000000"/>
                <w:kern w:val="0"/>
                <w:sz w:val="18"/>
                <w:szCs w:val="18"/>
              </w:rPr>
              <w:t>时严酷）</w:t>
            </w:r>
            <w:r>
              <w:rPr>
                <w:rFonts w:hint="eastAsia" w:ascii="宋体" w:hAnsi="宋体"/>
                <w:kern w:val="0"/>
                <w:sz w:val="18"/>
                <w:szCs w:val="18"/>
              </w:rPr>
              <w:t>下</w:t>
            </w:r>
            <w:r>
              <w:rPr>
                <w:rFonts w:hint="eastAsia" w:ascii="宋体" w:hAnsi="宋体"/>
                <w:color w:val="000000"/>
                <w:kern w:val="0"/>
                <w:sz w:val="18"/>
                <w:szCs w:val="18"/>
              </w:rPr>
              <w:t>持续潜水后外壳进水量不致达有害程度</w:t>
            </w:r>
          </w:p>
        </w:tc>
      </w:tr>
      <w:tr w14:paraId="304DF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53EDEBBD">
            <w:pPr>
              <w:spacing w:line="360" w:lineRule="exact"/>
              <w:jc w:val="center"/>
              <w:rPr>
                <w:rFonts w:ascii="宋体" w:hAnsi="宋体"/>
                <w:color w:val="000000"/>
                <w:kern w:val="0"/>
                <w:sz w:val="18"/>
                <w:szCs w:val="18"/>
                <w:highlight w:val="yellow"/>
              </w:rPr>
            </w:pPr>
            <w:r>
              <w:rPr>
                <w:rFonts w:hint="eastAsia" w:ascii="宋体" w:hAnsi="宋体"/>
                <w:color w:val="000000"/>
                <w:kern w:val="0"/>
                <w:sz w:val="18"/>
                <w:szCs w:val="18"/>
              </w:rPr>
              <w:t>9</w:t>
            </w:r>
          </w:p>
        </w:tc>
        <w:tc>
          <w:tcPr>
            <w:tcW w:w="2385" w:type="dxa"/>
            <w:tcBorders>
              <w:top w:val="single" w:color="auto" w:sz="4" w:space="0"/>
              <w:left w:val="single" w:color="auto" w:sz="4" w:space="0"/>
              <w:bottom w:val="single" w:color="auto" w:sz="4" w:space="0"/>
              <w:right w:val="single" w:color="auto" w:sz="4" w:space="0"/>
            </w:tcBorders>
            <w:vAlign w:val="center"/>
          </w:tcPr>
          <w:p w14:paraId="35738016">
            <w:pPr>
              <w:spacing w:line="360" w:lineRule="exact"/>
              <w:rPr>
                <w:rFonts w:ascii="宋体" w:hAnsi="宋体"/>
                <w:color w:val="000000"/>
                <w:kern w:val="0"/>
                <w:sz w:val="18"/>
                <w:szCs w:val="18"/>
              </w:rPr>
            </w:pPr>
            <w:r>
              <w:rPr>
                <w:rFonts w:hint="eastAsia" w:ascii="宋体" w:hAnsi="宋体"/>
                <w:color w:val="000000"/>
                <w:kern w:val="0"/>
                <w:sz w:val="18"/>
                <w:szCs w:val="18"/>
              </w:rPr>
              <w:t>防高温/高压喷水的影响</w:t>
            </w:r>
          </w:p>
        </w:tc>
        <w:tc>
          <w:tcPr>
            <w:tcW w:w="5895" w:type="dxa"/>
            <w:tcBorders>
              <w:top w:val="single" w:color="auto" w:sz="4" w:space="0"/>
              <w:left w:val="single" w:color="auto" w:sz="4" w:space="0"/>
              <w:bottom w:val="single" w:color="auto" w:sz="4" w:space="0"/>
              <w:right w:val="single" w:color="auto" w:sz="4" w:space="0"/>
            </w:tcBorders>
          </w:tcPr>
          <w:p w14:paraId="1355F172">
            <w:pPr>
              <w:spacing w:line="360" w:lineRule="exact"/>
              <w:rPr>
                <w:rFonts w:ascii="宋体" w:hAnsi="宋体"/>
                <w:color w:val="000000"/>
                <w:kern w:val="0"/>
                <w:sz w:val="18"/>
                <w:szCs w:val="18"/>
              </w:rPr>
            </w:pPr>
            <w:r>
              <w:rPr>
                <w:rFonts w:hint="eastAsia" w:ascii="宋体" w:hAnsi="宋体"/>
                <w:color w:val="000000"/>
                <w:kern w:val="0"/>
                <w:sz w:val="18"/>
                <w:szCs w:val="18"/>
              </w:rPr>
              <w:t>向外壳各方向喷射高温/高压水无有害影响</w:t>
            </w:r>
          </w:p>
        </w:tc>
      </w:tr>
    </w:tbl>
    <w:p w14:paraId="04898539">
      <w:pPr>
        <w:rPr>
          <w:rFonts w:hint="eastAsia"/>
          <w:lang w:eastAsia="zh-CN"/>
        </w:rPr>
      </w:pPr>
    </w:p>
    <w:p w14:paraId="016F3AD8">
      <w:pPr>
        <w:pStyle w:val="258"/>
        <w:bidi w:val="0"/>
        <w:sectPr>
          <w:pgSz w:w="11907" w:h="16839"/>
          <w:pgMar w:top="1418" w:right="1134" w:bottom="1134" w:left="1418" w:header="1418" w:footer="1134" w:gutter="0"/>
          <w:lnNumType w:countBy="0" w:restart="continuous"/>
          <w:pgNumType w:fmt="decimal"/>
          <w:cols w:space="425" w:num="1"/>
          <w:rtlGutter w:val="0"/>
          <w:docGrid w:type="lines" w:linePitch="312" w:charSpace="0"/>
        </w:sectPr>
      </w:pPr>
    </w:p>
    <w:p w14:paraId="098067C6">
      <w:pPr>
        <w:pStyle w:val="347"/>
        <w:bidi w:val="0"/>
      </w:pPr>
      <w:bookmarkStart w:id="88" w:name="附录头部信息书签_5"/>
    </w:p>
    <w:p w14:paraId="5600F697">
      <w:pPr>
        <w:pStyle w:val="348"/>
        <w:bidi w:val="0"/>
      </w:pPr>
    </w:p>
    <w:p w14:paraId="386C41F3">
      <w:pPr>
        <w:pStyle w:val="274"/>
        <w:bidi w:val="0"/>
        <w:jc w:val="center"/>
      </w:pPr>
      <w:bookmarkStart w:id="89" w:name="_Toc30829"/>
      <w:r>
        <w:br w:type="textWrapping"/>
      </w:r>
      <w:r>
        <w:rPr>
          <w:rFonts w:hint="eastAsia"/>
          <w:lang w:eastAsia="zh-CN"/>
        </w:rPr>
        <w:t>（规范性）</w:t>
      </w:r>
      <w:r>
        <w:rPr>
          <w:rFonts w:hint="eastAsia"/>
          <w:lang w:eastAsia="zh-CN"/>
        </w:rPr>
        <w:br w:type="textWrapping"/>
      </w:r>
      <w:r>
        <w:rPr>
          <w:rFonts w:hint="eastAsia"/>
          <w:lang w:eastAsia="zh-CN"/>
        </w:rPr>
        <w:t>水池区域划分</w:t>
      </w:r>
      <w:bookmarkEnd w:id="88"/>
      <w:bookmarkEnd w:id="89"/>
    </w:p>
    <w:p w14:paraId="1A57DD6B">
      <w:pPr>
        <w:pStyle w:val="258"/>
        <w:bidi w:val="0"/>
        <w:rPr>
          <w:rFonts w:hint="eastAsia" w:hAnsi="宋体"/>
          <w:lang w:eastAsia="zh-CN"/>
        </w:rPr>
      </w:pPr>
      <w:r>
        <w:rPr>
          <w:rFonts w:hint="eastAsia" w:hAnsi="宋体"/>
        </w:rPr>
        <w:t>根据</w:t>
      </w:r>
      <w:r>
        <w:rPr>
          <w:rFonts w:hAnsi="宋体"/>
        </w:rPr>
        <w:t>GB</w:t>
      </w:r>
      <w:r>
        <w:rPr>
          <w:rFonts w:hint="eastAsia" w:hAnsi="宋体"/>
        </w:rPr>
        <w:t>/T</w:t>
      </w:r>
      <w:r>
        <w:rPr>
          <w:rFonts w:hAnsi="宋体"/>
        </w:rPr>
        <w:t>16895.19</w:t>
      </w:r>
      <w:r>
        <w:rPr>
          <w:rFonts w:hint="eastAsia" w:hAnsi="宋体"/>
        </w:rPr>
        <w:t>的规定，水池区域做如下划分</w:t>
      </w:r>
      <w:r>
        <w:rPr>
          <w:rFonts w:hint="eastAsia" w:hAnsi="宋体"/>
          <w:lang w:eastAsia="zh-CN"/>
        </w:rPr>
        <w:t>：</w:t>
      </w:r>
    </w:p>
    <w:p w14:paraId="22B28EB2">
      <w:pPr>
        <w:pStyle w:val="258"/>
        <w:bidi w:val="0"/>
        <w:rPr>
          <w:rFonts w:hint="eastAsia" w:hAnsi="宋体"/>
          <w:lang w:eastAsia="zh-CN"/>
        </w:rPr>
      </w:pPr>
      <w:r>
        <w:rPr>
          <w:rFonts w:hint="eastAsia" w:hAnsi="宋体"/>
        </w:rPr>
        <w:t>按电气危险程度，</w:t>
      </w:r>
      <w:r>
        <w:rPr>
          <w:rFonts w:hint="eastAsia"/>
        </w:rPr>
        <w:t>戏水池</w:t>
      </w:r>
      <w:r>
        <w:rPr>
          <w:rFonts w:hint="eastAsia" w:hAnsi="宋体"/>
        </w:rPr>
        <w:t>划分为三个区，见图</w:t>
      </w:r>
      <w:r>
        <w:rPr>
          <w:rFonts w:hAnsi="宋体"/>
        </w:rPr>
        <w:t>E.1</w:t>
      </w:r>
      <w:r>
        <w:rPr>
          <w:rFonts w:hint="eastAsia" w:hAnsi="宋体"/>
        </w:rPr>
        <w:t>及图</w:t>
      </w:r>
      <w:r>
        <w:rPr>
          <w:rFonts w:hAnsi="宋体"/>
        </w:rPr>
        <w:t>E.2</w:t>
      </w:r>
      <w:r>
        <w:rPr>
          <w:rFonts w:hint="eastAsia" w:hAnsi="宋体"/>
          <w:lang w:eastAsia="zh-CN"/>
        </w:rPr>
        <w:t>。</w:t>
      </w:r>
    </w:p>
    <w:p w14:paraId="75556D7F">
      <w:pPr>
        <w:pStyle w:val="258"/>
        <w:bidi w:val="0"/>
      </w:pPr>
      <w:r>
        <w:drawing>
          <wp:inline distT="0" distB="0" distL="0" distR="0">
            <wp:extent cx="5939790" cy="2834640"/>
            <wp:effectExtent l="0" t="0" r="381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a:stretch>
                      <a:fillRect/>
                    </a:stretch>
                  </pic:blipFill>
                  <pic:spPr>
                    <a:xfrm>
                      <a:off x="0" y="0"/>
                      <a:ext cx="5939790" cy="2834640"/>
                    </a:xfrm>
                    <a:prstGeom prst="rect">
                      <a:avLst/>
                    </a:prstGeom>
                  </pic:spPr>
                </pic:pic>
              </a:graphicData>
            </a:graphic>
          </wp:inline>
        </w:drawing>
      </w:r>
    </w:p>
    <w:p w14:paraId="3765773E">
      <w:pPr>
        <w:pStyle w:val="281"/>
        <w:bidi w:val="0"/>
        <w:rPr>
          <w:rFonts w:hint="eastAsia"/>
          <w:lang w:eastAsia="zh-CN"/>
        </w:rPr>
      </w:pPr>
      <w:r>
        <w:rPr>
          <w:rFonts w:hint="eastAsia"/>
        </w:rPr>
        <w:t>戏水池区域范围（侧视图）</w:t>
      </w:r>
    </w:p>
    <w:p w14:paraId="66D40D65">
      <w:r>
        <w:drawing>
          <wp:inline distT="0" distB="0" distL="0" distR="0">
            <wp:extent cx="5939790" cy="2637155"/>
            <wp:effectExtent l="0" t="0" r="3810" b="1079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5939790" cy="2637155"/>
                    </a:xfrm>
                    <a:prstGeom prst="rect">
                      <a:avLst/>
                    </a:prstGeom>
                  </pic:spPr>
                </pic:pic>
              </a:graphicData>
            </a:graphic>
          </wp:inline>
        </w:drawing>
      </w:r>
    </w:p>
    <w:p w14:paraId="6288FBD8">
      <w:pPr>
        <w:pStyle w:val="281"/>
        <w:bidi w:val="0"/>
        <w:rPr>
          <w:rFonts w:hint="eastAsia"/>
          <w:lang w:eastAsia="zh-CN"/>
        </w:rPr>
      </w:pPr>
      <w:r>
        <w:rPr>
          <w:rFonts w:hint="eastAsia" w:hAnsi="宋体"/>
        </w:rPr>
        <w:t>地上戏水池区域范围（侧视图）</w:t>
      </w:r>
    </w:p>
    <w:p w14:paraId="6A45CE67">
      <w:pPr>
        <w:pStyle w:val="258"/>
        <w:ind w:firstLine="420"/>
        <w:rPr>
          <w:rFonts w:hAnsi="宋体"/>
        </w:rPr>
      </w:pPr>
      <w:r>
        <w:t>0</w:t>
      </w:r>
      <w:r>
        <w:rPr>
          <w:rFonts w:hint="eastAsia" w:hAnsi="宋体"/>
        </w:rPr>
        <w:t>区──水池内部；</w:t>
      </w:r>
    </w:p>
    <w:p w14:paraId="5460F2C1">
      <w:pPr>
        <w:pStyle w:val="258"/>
        <w:ind w:firstLine="420"/>
        <w:rPr>
          <w:rFonts w:hint="eastAsia"/>
        </w:rPr>
      </w:pPr>
      <w:r>
        <w:t>1</w:t>
      </w:r>
      <w:r>
        <w:rPr>
          <w:rFonts w:hint="eastAsia"/>
        </w:rPr>
        <w:t>区──离水池边缘</w:t>
      </w:r>
      <w:r>
        <w:t>2m</w:t>
      </w:r>
      <w:r>
        <w:rPr>
          <w:rFonts w:hint="eastAsia"/>
        </w:rPr>
        <w:t>的垂直面内，其高度止于距地面或人能达到的水平面的</w:t>
      </w:r>
      <w:r>
        <w:t>2.5m</w:t>
      </w:r>
      <w:r>
        <w:rPr>
          <w:rFonts w:hint="eastAsia"/>
        </w:rPr>
        <w:t>处。对于跳台或滑槽，该区的范围包括离其边缘</w:t>
      </w:r>
      <w:r>
        <w:t>1.5m</w:t>
      </w:r>
      <w:r>
        <w:rPr>
          <w:rFonts w:hint="eastAsia"/>
        </w:rPr>
        <w:t>的垂直面内，其高度止于人能达到的最高水平面的</w:t>
      </w:r>
      <w:r>
        <w:t>2.5m</w:t>
      </w:r>
      <w:r>
        <w:rPr>
          <w:rFonts w:hint="eastAsia"/>
        </w:rPr>
        <w:t>处；</w:t>
      </w:r>
    </w:p>
    <w:p w14:paraId="77A9F593">
      <w:pPr>
        <w:pStyle w:val="258"/>
        <w:ind w:firstLine="420"/>
        <w:rPr>
          <w:rFonts w:hint="eastAsia"/>
          <w:lang w:eastAsia="zh-CN"/>
        </w:rPr>
      </w:pPr>
      <w:r>
        <w:t>2</w:t>
      </w:r>
      <w:r>
        <w:rPr>
          <w:rFonts w:hint="eastAsia"/>
        </w:rPr>
        <w:t>区──</w:t>
      </w:r>
      <w:r>
        <w:t>1</w:t>
      </w:r>
      <w:r>
        <w:rPr>
          <w:rFonts w:hint="eastAsia"/>
        </w:rPr>
        <w:t>区至离</w:t>
      </w:r>
      <w:r>
        <w:t>1</w:t>
      </w:r>
      <w:r>
        <w:rPr>
          <w:rFonts w:hint="eastAsia"/>
        </w:rPr>
        <w:t>区</w:t>
      </w:r>
      <w:r>
        <w:t>1.5m</w:t>
      </w:r>
      <w:r>
        <w:rPr>
          <w:rFonts w:hint="eastAsia"/>
        </w:rPr>
        <w:t>的平行垂直面内，其高度止于离地面或人能达到的水平面的</w:t>
      </w:r>
      <w:r>
        <w:t>2.5m</w:t>
      </w:r>
      <w:r>
        <w:rPr>
          <w:rFonts w:hint="eastAsia"/>
        </w:rPr>
        <w:t>处</w:t>
      </w:r>
      <w:r>
        <w:rPr>
          <w:rFonts w:hint="eastAsia"/>
          <w:lang w:eastAsia="zh-CN"/>
        </w:rPr>
        <w:t>。</w:t>
      </w:r>
    </w:p>
    <w:p w14:paraId="3F5129A1">
      <w:pPr>
        <w:pStyle w:val="258"/>
        <w:ind w:firstLine="420"/>
      </w:pPr>
      <w:r>
        <w:drawing>
          <wp:inline distT="0" distB="0" distL="0" distR="0">
            <wp:extent cx="5489575" cy="3679190"/>
            <wp:effectExtent l="0" t="0" r="15875" b="165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tretch>
                      <a:fillRect/>
                    </a:stretch>
                  </pic:blipFill>
                  <pic:spPr>
                    <a:xfrm>
                      <a:off x="0" y="0"/>
                      <a:ext cx="5489575" cy="3679190"/>
                    </a:xfrm>
                    <a:prstGeom prst="rect">
                      <a:avLst/>
                    </a:prstGeom>
                  </pic:spPr>
                </pic:pic>
              </a:graphicData>
            </a:graphic>
          </wp:inline>
        </w:drawing>
      </w:r>
    </w:p>
    <w:p w14:paraId="13E84D19">
      <w:pPr>
        <w:pStyle w:val="281"/>
        <w:bidi w:val="0"/>
        <w:rPr>
          <w:rFonts w:hint="eastAsia"/>
          <w:lang w:eastAsia="zh-CN"/>
        </w:rPr>
      </w:pPr>
      <w:r>
        <w:rPr>
          <w:rFonts w:hint="eastAsia"/>
        </w:rPr>
        <w:t>具有至少2</w:t>
      </w:r>
      <w:r>
        <w:t>.5m</w:t>
      </w:r>
      <w:r>
        <w:rPr>
          <w:rFonts w:hint="eastAsia"/>
        </w:rPr>
        <w:t>隔板的区域范围示例（俯视图）</w:t>
      </w:r>
    </w:p>
    <w:p w14:paraId="510AE8EB">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eastAsia="zh-CN"/>
        </w:rPr>
      </w:pPr>
      <w:r>
        <w:rPr>
          <w:rFonts w:hint="eastAsia"/>
        </w:rPr>
        <w:t>喷水池区域划分的示例见图</w:t>
      </w:r>
      <w:r>
        <w:t>E.3</w:t>
      </w:r>
      <w:r>
        <w:rPr>
          <w:rFonts w:hint="eastAsia"/>
        </w:rPr>
        <w:t>，喷水池没有</w:t>
      </w:r>
      <w:r>
        <w:t>2</w:t>
      </w:r>
      <w:r>
        <w:rPr>
          <w:rFonts w:hint="eastAsia"/>
        </w:rPr>
        <w:t>区，只有</w:t>
      </w:r>
      <w:r>
        <w:t>0</w:t>
      </w:r>
      <w:r>
        <w:rPr>
          <w:rFonts w:hint="eastAsia"/>
        </w:rPr>
        <w:t>区和</w:t>
      </w:r>
      <w:r>
        <w:t>1</w:t>
      </w:r>
      <w:r>
        <w:rPr>
          <w:rFonts w:hint="eastAsia"/>
        </w:rPr>
        <w:t>区</w:t>
      </w:r>
      <w:r>
        <w:rPr>
          <w:rFonts w:hint="eastAsia"/>
          <w:lang w:eastAsia="zh-CN"/>
        </w:rPr>
        <w:t>。</w:t>
      </w:r>
    </w:p>
    <w:p w14:paraId="4FB279A0">
      <w:pPr>
        <w:keepNext w:val="0"/>
        <w:keepLines w:val="0"/>
        <w:pageBreakBefore w:val="0"/>
        <w:widowControl w:val="0"/>
        <w:kinsoku/>
        <w:wordWrap/>
        <w:overflowPunct/>
        <w:topLinePunct w:val="0"/>
        <w:autoSpaceDE/>
        <w:autoSpaceDN/>
        <w:bidi w:val="0"/>
        <w:adjustRightInd/>
        <w:snapToGrid/>
        <w:ind w:firstLine="420" w:firstLineChars="200"/>
        <w:textAlignment w:val="auto"/>
      </w:pPr>
      <w:r>
        <w:drawing>
          <wp:inline distT="0" distB="0" distL="0" distR="0">
            <wp:extent cx="5654040" cy="2997835"/>
            <wp:effectExtent l="0" t="0" r="3810" b="1206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4"/>
                    <a:stretch>
                      <a:fillRect/>
                    </a:stretch>
                  </pic:blipFill>
                  <pic:spPr>
                    <a:xfrm>
                      <a:off x="0" y="0"/>
                      <a:ext cx="5654040" cy="2997835"/>
                    </a:xfrm>
                    <a:prstGeom prst="rect">
                      <a:avLst/>
                    </a:prstGeom>
                  </pic:spPr>
                </pic:pic>
              </a:graphicData>
            </a:graphic>
          </wp:inline>
        </w:drawing>
      </w:r>
    </w:p>
    <w:p w14:paraId="727F9C92">
      <w:pPr>
        <w:pStyle w:val="281"/>
        <w:bidi w:val="0"/>
        <w:rPr>
          <w:rFonts w:hint="eastAsia"/>
          <w:lang w:eastAsia="zh-CN"/>
        </w:rPr>
      </w:pPr>
      <w:r>
        <w:rPr>
          <w:rFonts w:hint="eastAsia" w:hAnsi="宋体"/>
        </w:rPr>
        <w:t>喷水池区域确定示例（侧视图）</w:t>
      </w:r>
    </w:p>
    <w:p w14:paraId="33E5A85A">
      <w:pPr>
        <w:pStyle w:val="258"/>
        <w:ind w:firstLine="420"/>
        <w:rPr>
          <w:rFonts w:hint="eastAsia"/>
        </w:rPr>
      </w:pPr>
      <w:r>
        <w:rPr>
          <w:rFonts w:hint="eastAsia"/>
        </w:rPr>
        <w:t>0区──水池内部；</w:t>
      </w:r>
    </w:p>
    <w:p w14:paraId="39AD4C2E">
      <w:pPr>
        <w:pStyle w:val="258"/>
        <w:ind w:firstLine="420"/>
        <w:rPr>
          <w:rFonts w:hint="eastAsia"/>
          <w:lang w:eastAsia="zh-CN"/>
        </w:rPr>
      </w:pPr>
      <w:r>
        <w:rPr>
          <w:rFonts w:hint="eastAsia"/>
        </w:rPr>
        <w:t>1区──离水池边缘2m的垂直面内，其高度止于距地面或人体能到达的水平面的2.5m处</w:t>
      </w:r>
      <w:r>
        <w:rPr>
          <w:rFonts w:hint="eastAsia"/>
          <w:lang w:eastAsia="zh-CN"/>
        </w:rPr>
        <w:t>。</w:t>
      </w:r>
    </w:p>
    <w:p w14:paraId="04D2EBBA">
      <w:pPr>
        <w:pStyle w:val="258"/>
        <w:ind w:firstLine="420"/>
        <w:rPr>
          <w:rFonts w:hint="eastAsia"/>
          <w:lang w:eastAsia="zh-CN"/>
        </w:rPr>
      </w:pPr>
    </w:p>
    <w:p w14:paraId="1EF9735A">
      <w:pPr>
        <w:pStyle w:val="258"/>
        <w:ind w:firstLine="420"/>
        <w:rPr>
          <w:rFonts w:hint="eastAsia"/>
          <w:lang w:eastAsia="zh-CN"/>
        </w:rPr>
      </w:pPr>
    </w:p>
    <w:p w14:paraId="282AC9C3">
      <w:pPr>
        <w:pStyle w:val="258"/>
        <w:ind w:firstLine="420"/>
        <w:rPr>
          <w:rFonts w:hint="eastAsia"/>
          <w:lang w:eastAsia="zh-CN"/>
        </w:rPr>
      </w:pPr>
    </w:p>
    <w:p w14:paraId="170D2120">
      <w:pPr>
        <w:pStyle w:val="258"/>
        <w:ind w:firstLine="420"/>
        <w:rPr>
          <w:rFonts w:hint="eastAsia"/>
          <w:lang w:eastAsia="zh-CN"/>
        </w:rPr>
      </w:pPr>
    </w:p>
    <w:p w14:paraId="7BA1F01A">
      <w:pPr>
        <w:pStyle w:val="258"/>
        <w:bidi w:val="0"/>
      </w:pPr>
    </w:p>
    <w:p w14:paraId="2B1470E9">
      <w:pPr>
        <w:pStyle w:val="528"/>
        <w:framePr w:wrap="around"/>
      </w:pPr>
      <w:bookmarkStart w:id="90" w:name="终结线"/>
      <w:bookmarkEnd w:id="90"/>
      <w:r>
        <w:t>_________________________________</w:t>
      </w:r>
    </w:p>
    <w:p w14:paraId="3DCD4D0F">
      <w:pPr>
        <w:pStyle w:val="258"/>
        <w:bidi w:val="0"/>
        <w:ind w:firstLine="0" w:firstLineChars="0"/>
        <w:jc w:val="center"/>
        <w:rPr>
          <w:rFonts w:hint="eastAsia" w:ascii="宋体" w:hAnsi="宋体" w:eastAsia="宋体" w:cs="宋体"/>
          <w:b w:val="0"/>
          <w:sz w:val="21"/>
          <w:lang w:eastAsia="zh-CN"/>
        </w:rPr>
      </w:pPr>
    </w:p>
    <w:sectPr>
      <w:pgSz w:w="11907" w:h="16839"/>
      <w:pgMar w:top="1418" w:right="1134" w:bottom="1134" w:left="1418" w:header="1418" w:footer="1134" w:gutter="0"/>
      <w:lnNumType w:countBy="0" w:restart="continuous"/>
      <w:pgNumType w:fmt="decimal"/>
      <w:cols w:space="425"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Britannic Bold">
    <w:panose1 w:val="020B0903060703020204"/>
    <w:charset w:val="00"/>
    <w:family w:val="swiss"/>
    <w:pitch w:val="default"/>
    <w:sig w:usb0="00000003" w:usb1="00000000" w:usb2="00000000" w:usb3="00000000" w:csb0="20000001" w:csb1="00000000"/>
  </w:font>
  <w:font w:name="华文细黑">
    <w:panose1 w:val="02010600040101010101"/>
    <w:charset w:val="86"/>
    <w:family w:val="auto"/>
    <w:pitch w:val="default"/>
    <w:sig w:usb0="00000287" w:usb1="080F0000" w:usb2="00000000" w:usb3="00000000" w:csb0="0004009F" w:csb1="DFD70000"/>
  </w:font>
  <w:font w:name="Arial Black">
    <w:panose1 w:val="020B0A04020102020204"/>
    <w:charset w:val="00"/>
    <w:family w:val="swiss"/>
    <w:pitch w:val="default"/>
    <w:sig w:usb0="A00002AF" w:usb1="400078FB" w:usb2="00000000" w:usb3="00000000" w:csb0="6000009F" w:csb1="DFD70000"/>
  </w:font>
  <w:font w:name="Arial Unicode MS">
    <w:panose1 w:val="020B0604020202020204"/>
    <w:charset w:val="86"/>
    <w:family w:val="roman"/>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8C89B">
    <w:pPr>
      <w:pStyle w:val="252"/>
      <w:framePr w:wrap="around" w:vAnchor="text" w:hAnchor="margin" w:xAlign="outside" w:y="1"/>
      <w:pBdr>
        <w:top w:val="none" w:color="auto" w:sz="0" w:space="0"/>
        <w:left w:val="none" w:color="auto" w:sz="0" w:space="0"/>
        <w:bottom w:val="none" w:color="auto" w:sz="0" w:space="0"/>
        <w:right w:val="none" w:color="auto" w:sz="0" w:space="0"/>
        <w:between w:val="none" w:color="auto" w:sz="0" w:space="0"/>
      </w:pBdr>
      <w:spacing w:after="0" w:afterLines="0"/>
      <w:rPr>
        <w:rStyle w:val="234"/>
      </w:rPr>
    </w:pPr>
    <w:r>
      <w:rPr>
        <w:rStyle w:val="234"/>
      </w:rPr>
      <w:fldChar w:fldCharType="begin"/>
    </w:r>
    <w:r>
      <w:rPr>
        <w:rStyle w:val="234"/>
      </w:rPr>
      <w:instrText xml:space="preserve"> PAGE </w:instrText>
    </w:r>
    <w:r>
      <w:rPr>
        <w:rStyle w:val="234"/>
      </w:rPr>
      <w:fldChar w:fldCharType="separate"/>
    </w:r>
    <w:r>
      <w:rPr>
        <w:rStyle w:val="234"/>
      </w:rPr>
      <w:t>1</w:t>
    </w:r>
    <w:r>
      <w:rPr>
        <w:rStyle w:val="234"/>
      </w:rPr>
      <w:fldChar w:fldCharType="end"/>
    </w:r>
  </w:p>
  <w:p w14:paraId="5394475C">
    <w:pPr>
      <w:pStyle w:val="252"/>
      <w:spacing w:before="0"/>
      <w:ind w:right="360" w:firstLine="360" w:firstLineChars="0"/>
      <w:rPr>
        <w:rStyle w:val="234"/>
      </w:rPr>
    </w:pPr>
  </w:p>
  <w:p w14:paraId="4AB11537">
    <w:pPr>
      <w:pStyle w:val="252"/>
      <w:spacing w:before="0"/>
      <w:rPr>
        <w:sz w:val="10"/>
        <w:szCs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C729A">
    <w:pPr>
      <w:pStyle w:val="251"/>
      <w:framePr w:wrap="around" w:vAnchor="text" w:hAnchor="margin" w:xAlign="outside" w:y="1"/>
      <w:pBdr>
        <w:top w:val="none" w:color="auto" w:sz="0" w:space="0"/>
        <w:left w:val="none" w:color="auto" w:sz="0" w:space="0"/>
        <w:bottom w:val="none" w:color="auto" w:sz="0" w:space="0"/>
        <w:right w:val="none" w:color="auto" w:sz="0" w:space="0"/>
        <w:between w:val="none" w:color="auto" w:sz="0" w:space="0"/>
      </w:pBdr>
      <w:spacing w:after="0" w:afterLines="0"/>
      <w:rPr>
        <w:rStyle w:val="234"/>
      </w:rPr>
    </w:pPr>
    <w:r>
      <w:rPr>
        <w:rStyle w:val="234"/>
      </w:rPr>
      <w:fldChar w:fldCharType="begin"/>
    </w:r>
    <w:r>
      <w:rPr>
        <w:rStyle w:val="234"/>
      </w:rPr>
      <w:instrText xml:space="preserve"> PAGE </w:instrText>
    </w:r>
    <w:r>
      <w:rPr>
        <w:rStyle w:val="234"/>
      </w:rPr>
      <w:fldChar w:fldCharType="separate"/>
    </w:r>
    <w:r>
      <w:rPr>
        <w:rStyle w:val="234"/>
      </w:rPr>
      <w:t>1</w:t>
    </w:r>
    <w:r>
      <w:rPr>
        <w:rStyle w:val="234"/>
      </w:rPr>
      <w:fldChar w:fldCharType="end"/>
    </w:r>
  </w:p>
  <w:p w14:paraId="31BF06D3">
    <w:pPr>
      <w:pStyle w:val="251"/>
      <w:spacing w:before="0"/>
      <w:ind w:right="360" w:firstLine="360" w:firstLineChars="0"/>
      <w:rPr>
        <w:rStyle w:val="234"/>
      </w:rPr>
    </w:pPr>
  </w:p>
  <w:p w14:paraId="419A6838">
    <w:pPr>
      <w:pStyle w:val="251"/>
      <w:spacing w:before="0"/>
      <w:rPr>
        <w:sz w:val="10"/>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97AA7">
    <w:pPr>
      <w:pStyle w:val="59"/>
      <w:rPr>
        <w:rFonts w:hint="eastAsia"/>
        <w:lang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78129">
    <w:pPr>
      <w:pStyle w:val="252"/>
      <w:framePr w:wrap="around" w:vAnchor="text" w:hAnchor="margin" w:xAlign="outside" w:y="1"/>
      <w:pBdr>
        <w:top w:val="none" w:color="auto" w:sz="0" w:space="0"/>
        <w:left w:val="none" w:color="auto" w:sz="0" w:space="0"/>
        <w:bottom w:val="none" w:color="auto" w:sz="0" w:space="0"/>
        <w:right w:val="none" w:color="auto" w:sz="0" w:space="0"/>
        <w:between w:val="none" w:color="auto" w:sz="0" w:space="0"/>
      </w:pBdr>
      <w:spacing w:after="0" w:afterLines="0"/>
      <w:rPr>
        <w:rStyle w:val="234"/>
      </w:rPr>
    </w:pPr>
    <w:r>
      <w:rPr>
        <w:rStyle w:val="234"/>
      </w:rPr>
      <w:fldChar w:fldCharType="begin"/>
    </w:r>
    <w:r>
      <w:rPr>
        <w:rStyle w:val="234"/>
      </w:rPr>
      <w:instrText xml:space="preserve"> PAGE </w:instrText>
    </w:r>
    <w:r>
      <w:rPr>
        <w:rStyle w:val="234"/>
      </w:rPr>
      <w:fldChar w:fldCharType="separate"/>
    </w:r>
    <w:r>
      <w:rPr>
        <w:rStyle w:val="234"/>
      </w:rPr>
      <w:t>1</w:t>
    </w:r>
    <w:r>
      <w:rPr>
        <w:rStyle w:val="234"/>
      </w:rPr>
      <w:fldChar w:fldCharType="end"/>
    </w:r>
  </w:p>
  <w:p w14:paraId="3BA931F5">
    <w:pPr>
      <w:pStyle w:val="252"/>
      <w:spacing w:before="0"/>
      <w:ind w:right="360" w:firstLine="360" w:firstLineChars="0"/>
      <w:rPr>
        <w:rStyle w:val="234"/>
      </w:rPr>
    </w:pPr>
  </w:p>
  <w:p w14:paraId="550FB4BC">
    <w:pPr>
      <w:pStyle w:val="252"/>
      <w:spacing w:before="0"/>
      <w:rPr>
        <w:sz w:val="10"/>
        <w:szCs w:val="1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45CDC">
    <w:pPr>
      <w:pStyle w:val="59"/>
      <w:framePr w:wrap="around" w:vAnchor="text" w:hAnchor="margin" w:xAlign="outside" w:y="1"/>
      <w:pBdr>
        <w:top w:val="none" w:color="auto" w:sz="0" w:space="0"/>
        <w:left w:val="none" w:color="auto" w:sz="0" w:space="0"/>
        <w:bottom w:val="none" w:color="auto" w:sz="0" w:space="0"/>
        <w:right w:val="none" w:color="auto" w:sz="0" w:space="0"/>
        <w:between w:val="none" w:color="auto" w:sz="0" w:space="0"/>
      </w:pBdr>
      <w:spacing w:after="0" w:afterLines="0"/>
    </w:pPr>
    <w:r>
      <w:rPr>
        <w:rStyle w:val="234"/>
      </w:rPr>
      <w:fldChar w:fldCharType="begin"/>
    </w:r>
    <w:r>
      <w:rPr>
        <w:rStyle w:val="234"/>
      </w:rPr>
      <w:instrText xml:space="preserve"> PAGE </w:instrText>
    </w:r>
    <w:r>
      <w:rPr>
        <w:rStyle w:val="234"/>
      </w:rPr>
      <w:fldChar w:fldCharType="separate"/>
    </w:r>
    <w:r>
      <w:rPr>
        <w:rStyle w:val="234"/>
      </w:rPr>
      <w:t>I</w:t>
    </w:r>
    <w:r>
      <w:rPr>
        <w:rStyle w:val="234"/>
      </w:rPr>
      <w:fldChar w:fldCharType="end"/>
    </w:r>
  </w:p>
  <w:p w14:paraId="4F153F6C">
    <w:pPr>
      <w:pStyle w:val="59"/>
      <w:ind w:right="360" w:firstLine="360" w:firstLineChars="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89914">
    <w:pPr>
      <w:pStyle w:val="59"/>
      <w:framePr w:wrap="around" w:vAnchor="text" w:hAnchor="margin" w:xAlign="outside" w:y="1"/>
      <w:pBdr>
        <w:top w:val="none" w:color="auto" w:sz="0" w:space="0"/>
        <w:left w:val="none" w:color="auto" w:sz="0" w:space="0"/>
        <w:bottom w:val="none" w:color="auto" w:sz="0" w:space="0"/>
        <w:right w:val="none" w:color="auto" w:sz="0" w:space="0"/>
        <w:between w:val="none" w:color="auto" w:sz="0" w:space="0"/>
      </w:pBdr>
      <w:spacing w:after="0" w:afterLines="0"/>
    </w:pPr>
    <w:r>
      <w:rPr>
        <w:rStyle w:val="234"/>
      </w:rPr>
      <w:fldChar w:fldCharType="begin"/>
    </w:r>
    <w:r>
      <w:rPr>
        <w:rStyle w:val="234"/>
      </w:rPr>
      <w:instrText xml:space="preserve"> PAGE </w:instrText>
    </w:r>
    <w:r>
      <w:rPr>
        <w:rStyle w:val="234"/>
      </w:rPr>
      <w:fldChar w:fldCharType="separate"/>
    </w:r>
    <w:r>
      <w:rPr>
        <w:rStyle w:val="234"/>
      </w:rPr>
      <w:t>I</w:t>
    </w:r>
    <w:r>
      <w:rPr>
        <w:rStyle w:val="234"/>
      </w:rPr>
      <w:fldChar w:fldCharType="end"/>
    </w:r>
  </w:p>
  <w:p w14:paraId="559AC7E3">
    <w:pPr>
      <w:pStyle w:val="59"/>
      <w:ind w:right="360" w:firstLine="360" w:firstLineChars="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CC1C5">
    <w:pPr>
      <w:pStyle w:val="253"/>
      <w:bidi w:val="0"/>
      <w:rPr>
        <w:rFonts w:hint="eastAsia"/>
        <w:lang w:eastAsia="zh-CN"/>
      </w:rPr>
    </w:pPr>
    <w:r>
      <w:rPr>
        <w:rFonts w:hint="eastAsia"/>
        <w:lang w:eastAsia="zh-CN"/>
      </w:rPr>
      <w:t>DB11/T 388.5-202X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6F29B">
    <w:pPr>
      <w:pStyle w:val="254"/>
      <w:bidi w:val="0"/>
      <w:rPr>
        <w:rFonts w:hint="eastAsia"/>
        <w:lang w:eastAsia="zh-CN"/>
      </w:rPr>
    </w:pPr>
    <w:r>
      <w:rPr>
        <w:rFonts w:hint="eastAsia"/>
        <w:lang w:eastAsia="zh-CN"/>
      </w:rPr>
      <w:t>DB11/T 388.5-202X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B9B58">
    <w:pPr>
      <w:pStyle w:val="255"/>
      <w:bidi w:val="0"/>
      <w:rPr>
        <w:rFonts w:hint="eastAsia"/>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591D6">
    <w:pPr>
      <w:pStyle w:val="253"/>
      <w:bidi w:val="0"/>
      <w:rPr>
        <w:rFonts w:hint="eastAsia"/>
        <w:lang w:eastAsia="zh-CN"/>
      </w:rPr>
    </w:pPr>
    <w:r>
      <w:rPr>
        <w:rFonts w:hint="eastAsia"/>
        <w:lang w:eastAsia="zh-CN"/>
      </w:rPr>
      <w:t>DB11/T 388.5-202X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FEF23">
    <w:pPr>
      <w:pStyle w:val="61"/>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9627F">
    <w:pPr>
      <w:pStyle w:val="6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61DB77"/>
    <w:multiLevelType w:val="multilevel"/>
    <w:tmpl w:val="8F61DB77"/>
    <w:lvl w:ilvl="0" w:tentative="0">
      <w:start w:val="1"/>
      <w:numFmt w:val="lowerLetter"/>
      <w:lvlText w:val="%1)"/>
      <w:lvlJc w:val="left"/>
      <w:pPr>
        <w:tabs>
          <w:tab w:val="left" w:pos="840"/>
        </w:tabs>
        <w:ind w:left="839" w:hanging="419"/>
      </w:pPr>
      <w:rPr>
        <w:rFonts w:hint="eastAsia" w:ascii="宋体" w:eastAsia="宋体"/>
        <w:b w:val="0"/>
        <w:i w:val="0"/>
        <w:sz w:val="21"/>
        <w:szCs w:val="21"/>
      </w:rPr>
    </w:lvl>
    <w:lvl w:ilvl="1" w:tentative="0">
      <w:start w:val="1"/>
      <w:numFmt w:val="decimal"/>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
    <w:nsid w:val="E4941A61"/>
    <w:multiLevelType w:val="multilevel"/>
    <w:tmpl w:val="E4941A61"/>
    <w:lvl w:ilvl="0" w:tentative="0">
      <w:start w:val="1"/>
      <w:numFmt w:val="lowerLetter"/>
      <w:lvlText w:val="%1)"/>
      <w:lvlJc w:val="left"/>
      <w:pPr>
        <w:tabs>
          <w:tab w:val="left" w:pos="840"/>
        </w:tabs>
        <w:ind w:left="839" w:hanging="419"/>
      </w:pPr>
      <w:rPr>
        <w:rFonts w:hint="eastAsia" w:ascii="宋体" w:eastAsia="宋体"/>
        <w:b w:val="0"/>
        <w:i w:val="0"/>
        <w:sz w:val="21"/>
        <w:szCs w:val="21"/>
      </w:rPr>
    </w:lvl>
    <w:lvl w:ilvl="1" w:tentative="0">
      <w:start w:val="1"/>
      <w:numFmt w:val="decimal"/>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2">
    <w:nsid w:val="FFFFFF7C"/>
    <w:multiLevelType w:val="singleLevel"/>
    <w:tmpl w:val="FFFFFF7C"/>
    <w:lvl w:ilvl="0" w:tentative="0">
      <w:start w:val="1"/>
      <w:numFmt w:val="decimal"/>
      <w:pStyle w:val="67"/>
      <w:lvlText w:val="%1."/>
      <w:lvlJc w:val="left"/>
      <w:pPr>
        <w:tabs>
          <w:tab w:val="left" w:pos="2040"/>
        </w:tabs>
        <w:ind w:left="2040" w:leftChars="800" w:hanging="360" w:hangingChars="200"/>
      </w:pPr>
    </w:lvl>
  </w:abstractNum>
  <w:abstractNum w:abstractNumId="3">
    <w:nsid w:val="FFFFFF7D"/>
    <w:multiLevelType w:val="singleLevel"/>
    <w:tmpl w:val="FFFFFF7D"/>
    <w:lvl w:ilvl="0" w:tentative="0">
      <w:start w:val="1"/>
      <w:numFmt w:val="decimal"/>
      <w:pStyle w:val="51"/>
      <w:lvlText w:val="%1."/>
      <w:lvlJc w:val="left"/>
      <w:pPr>
        <w:tabs>
          <w:tab w:val="left" w:pos="1620"/>
        </w:tabs>
        <w:ind w:left="1620" w:leftChars="600" w:hanging="360" w:hangingChars="200"/>
      </w:pPr>
    </w:lvl>
  </w:abstractNum>
  <w:abstractNum w:abstractNumId="4">
    <w:nsid w:val="FFFFFF7E"/>
    <w:multiLevelType w:val="singleLevel"/>
    <w:tmpl w:val="FFFFFF7E"/>
    <w:lvl w:ilvl="0" w:tentative="0">
      <w:start w:val="1"/>
      <w:numFmt w:val="decimal"/>
      <w:pStyle w:val="42"/>
      <w:lvlText w:val="%1."/>
      <w:lvlJc w:val="left"/>
      <w:pPr>
        <w:tabs>
          <w:tab w:val="left" w:pos="1200"/>
        </w:tabs>
        <w:ind w:left="1200" w:leftChars="400" w:hanging="360" w:hangingChars="200"/>
      </w:pPr>
    </w:lvl>
  </w:abstractNum>
  <w:abstractNum w:abstractNumId="5">
    <w:nsid w:val="FFFFFF7F"/>
    <w:multiLevelType w:val="singleLevel"/>
    <w:tmpl w:val="FFFFFF7F"/>
    <w:lvl w:ilvl="0" w:tentative="0">
      <w:start w:val="1"/>
      <w:numFmt w:val="decimal"/>
      <w:pStyle w:val="20"/>
      <w:lvlText w:val="%1."/>
      <w:lvlJc w:val="left"/>
      <w:pPr>
        <w:tabs>
          <w:tab w:val="left" w:pos="780"/>
        </w:tabs>
        <w:ind w:left="780" w:leftChars="200" w:hanging="360" w:hangingChars="200"/>
      </w:pPr>
    </w:lvl>
  </w:abstractNum>
  <w:abstractNum w:abstractNumId="6">
    <w:nsid w:val="FFFFFF80"/>
    <w:multiLevelType w:val="singleLevel"/>
    <w:tmpl w:val="FFFFFF80"/>
    <w:lvl w:ilvl="0" w:tentative="0">
      <w:start w:val="1"/>
      <w:numFmt w:val="bullet"/>
      <w:pStyle w:val="50"/>
      <w:lvlText w:val=""/>
      <w:lvlJc w:val="left"/>
      <w:pPr>
        <w:tabs>
          <w:tab w:val="left" w:pos="2040"/>
        </w:tabs>
        <w:ind w:left="2040" w:leftChars="800" w:hanging="360" w:hangingChars="200"/>
      </w:pPr>
      <w:rPr>
        <w:rFonts w:hint="default" w:ascii="Wingdings" w:hAnsi="Wingdings"/>
      </w:rPr>
    </w:lvl>
  </w:abstractNum>
  <w:abstractNum w:abstractNumId="7">
    <w:nsid w:val="FFFFFF81"/>
    <w:multiLevelType w:val="singleLevel"/>
    <w:tmpl w:val="FFFFFF81"/>
    <w:lvl w:ilvl="0" w:tentative="0">
      <w:start w:val="1"/>
      <w:numFmt w:val="bullet"/>
      <w:pStyle w:val="23"/>
      <w:lvlText w:val=""/>
      <w:lvlJc w:val="left"/>
      <w:pPr>
        <w:tabs>
          <w:tab w:val="left" w:pos="1620"/>
        </w:tabs>
        <w:ind w:left="1620" w:leftChars="600" w:hanging="360" w:hangingChars="200"/>
      </w:pPr>
      <w:rPr>
        <w:rFonts w:hint="default" w:ascii="Wingdings" w:hAnsi="Wingdings"/>
      </w:rPr>
    </w:lvl>
  </w:abstractNum>
  <w:abstractNum w:abstractNumId="8">
    <w:nsid w:val="FFFFFF82"/>
    <w:multiLevelType w:val="singleLevel"/>
    <w:tmpl w:val="FFFFFF82"/>
    <w:lvl w:ilvl="0" w:tentative="0">
      <w:start w:val="1"/>
      <w:numFmt w:val="bullet"/>
      <w:pStyle w:val="39"/>
      <w:lvlText w:val=""/>
      <w:lvlJc w:val="left"/>
      <w:pPr>
        <w:tabs>
          <w:tab w:val="left" w:pos="1200"/>
        </w:tabs>
        <w:ind w:left="1200" w:leftChars="400" w:hanging="360" w:hangingChars="200"/>
      </w:pPr>
      <w:rPr>
        <w:rFonts w:hint="default" w:ascii="Wingdings" w:hAnsi="Wingdings"/>
      </w:rPr>
    </w:lvl>
  </w:abstractNum>
  <w:abstractNum w:abstractNumId="9">
    <w:nsid w:val="FFFFFF83"/>
    <w:multiLevelType w:val="singleLevel"/>
    <w:tmpl w:val="FFFFFF83"/>
    <w:lvl w:ilvl="0" w:tentative="0">
      <w:start w:val="1"/>
      <w:numFmt w:val="bullet"/>
      <w:pStyle w:val="46"/>
      <w:lvlText w:val=""/>
      <w:lvlJc w:val="left"/>
      <w:pPr>
        <w:tabs>
          <w:tab w:val="left" w:pos="780"/>
        </w:tabs>
        <w:ind w:left="780" w:leftChars="200" w:hanging="360" w:hangingChars="200"/>
      </w:pPr>
      <w:rPr>
        <w:rFonts w:hint="default" w:ascii="Wingdings" w:hAnsi="Wingdings"/>
      </w:rPr>
    </w:lvl>
  </w:abstractNum>
  <w:abstractNum w:abstractNumId="10">
    <w:nsid w:val="FFFFFF88"/>
    <w:multiLevelType w:val="singleLevel"/>
    <w:tmpl w:val="FFFFFF88"/>
    <w:lvl w:ilvl="0" w:tentative="0">
      <w:start w:val="1"/>
      <w:numFmt w:val="decimal"/>
      <w:pStyle w:val="26"/>
      <w:lvlText w:val="%1."/>
      <w:lvlJc w:val="left"/>
      <w:pPr>
        <w:tabs>
          <w:tab w:val="left" w:pos="360"/>
        </w:tabs>
        <w:ind w:left="360" w:hanging="360" w:hangingChars="200"/>
      </w:pPr>
    </w:lvl>
  </w:abstractNum>
  <w:abstractNum w:abstractNumId="11">
    <w:nsid w:val="FFFFFF89"/>
    <w:multiLevelType w:val="singleLevel"/>
    <w:tmpl w:val="FFFFFF89"/>
    <w:lvl w:ilvl="0" w:tentative="0">
      <w:start w:val="1"/>
      <w:numFmt w:val="bullet"/>
      <w:pStyle w:val="30"/>
      <w:lvlText w:val=""/>
      <w:lvlJc w:val="left"/>
      <w:pPr>
        <w:tabs>
          <w:tab w:val="left" w:pos="360"/>
        </w:tabs>
        <w:ind w:left="360" w:hanging="360" w:hangingChars="200"/>
      </w:pPr>
      <w:rPr>
        <w:rFonts w:hint="default" w:ascii="Wingdings" w:hAnsi="Wingdings"/>
      </w:rPr>
    </w:lvl>
  </w:abstractNum>
  <w:abstractNum w:abstractNumId="12">
    <w:nsid w:val="079102AD"/>
    <w:multiLevelType w:val="multilevel"/>
    <w:tmpl w:val="079102AD"/>
    <w:lvl w:ilvl="0" w:tentative="0">
      <w:start w:val="1"/>
      <w:numFmt w:val="decimal"/>
      <w:pStyle w:val="304"/>
      <w:suff w:val="nothing"/>
      <w:lvlText w:val="注%1："/>
      <w:lvlJc w:val="left"/>
      <w:pPr>
        <w:ind w:left="811" w:hanging="448"/>
      </w:pPr>
      <w:rPr>
        <w:rFonts w:ascii="黑体" w:hAnsi="黑体" w:eastAsia="黑体" w:cs="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3">
    <w:nsid w:val="07ED3FEA"/>
    <w:multiLevelType w:val="multilevel"/>
    <w:tmpl w:val="07ED3FEA"/>
    <w:lvl w:ilvl="0" w:tentative="0">
      <w:start w:val="1"/>
      <w:numFmt w:val="none"/>
      <w:lvlText w:val="%1"/>
      <w:lvlJc w:val="left"/>
      <w:pPr>
        <w:ind w:left="425" w:hanging="425"/>
      </w:pPr>
      <w:rPr>
        <w:rFonts w:hint="eastAsia"/>
      </w:rPr>
    </w:lvl>
    <w:lvl w:ilvl="1" w:tentative="0">
      <w:start w:val="1"/>
      <w:numFmt w:val="decimal"/>
      <w:pStyle w:val="519"/>
      <w:suff w:val="nothing"/>
      <w:lvlText w:val="%10.%2 "/>
      <w:lvlJc w:val="left"/>
      <w:pPr>
        <w:ind w:left="0" w:firstLine="0"/>
      </w:pPr>
      <w:rPr>
        <w:rFonts w:hint="eastAsia" w:ascii="黑体" w:eastAsia="黑体" w:hAnsiTheme="minorHAnsi"/>
        <w:b w:val="0"/>
        <w:i w:val="0"/>
        <w:sz w:val="21"/>
      </w:rPr>
    </w:lvl>
    <w:lvl w:ilvl="2" w:tentative="0">
      <w:start w:val="1"/>
      <w:numFmt w:val="decimal"/>
      <w:pStyle w:val="511"/>
      <w:suff w:val="nothing"/>
      <w:lvlText w:val="%10.%2.%3 "/>
      <w:lvlJc w:val="left"/>
      <w:pPr>
        <w:ind w:left="0" w:firstLine="0"/>
      </w:pPr>
      <w:rPr>
        <w:rFonts w:hint="eastAsia" w:ascii="黑体" w:eastAsia="黑体" w:hAnsiTheme="minorHAnsi"/>
        <w:b w:val="0"/>
        <w:i w:val="0"/>
        <w:sz w:val="21"/>
      </w:rPr>
    </w:lvl>
    <w:lvl w:ilvl="3" w:tentative="0">
      <w:start w:val="1"/>
      <w:numFmt w:val="decimal"/>
      <w:pStyle w:val="513"/>
      <w:suff w:val="nothing"/>
      <w:lvlText w:val="%10.%2.%3.%4 "/>
      <w:lvlJc w:val="left"/>
      <w:pPr>
        <w:ind w:left="0" w:firstLine="0"/>
      </w:pPr>
      <w:rPr>
        <w:rFonts w:hint="eastAsia" w:ascii="黑体" w:eastAsia="黑体" w:hAnsiTheme="minorHAnsi"/>
        <w:b w:val="0"/>
        <w:i w:val="0"/>
        <w:sz w:val="21"/>
      </w:rPr>
    </w:lvl>
    <w:lvl w:ilvl="4" w:tentative="0">
      <w:start w:val="1"/>
      <w:numFmt w:val="decimal"/>
      <w:pStyle w:val="515"/>
      <w:suff w:val="nothing"/>
      <w:lvlText w:val="%10.%2.%3.%4.%5 "/>
      <w:lvlJc w:val="left"/>
      <w:pPr>
        <w:ind w:left="0" w:firstLine="0"/>
      </w:pPr>
      <w:rPr>
        <w:rFonts w:hint="eastAsia" w:ascii="黑体" w:eastAsia="黑体" w:hAnsiTheme="minorHAnsi"/>
        <w:b w:val="0"/>
        <w:i w:val="0"/>
        <w:sz w:val="21"/>
      </w:rPr>
    </w:lvl>
    <w:lvl w:ilvl="5" w:tentative="0">
      <w:start w:val="1"/>
      <w:numFmt w:val="decimal"/>
      <w:pStyle w:val="517"/>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4">
    <w:nsid w:val="09227E31"/>
    <w:multiLevelType w:val="multilevel"/>
    <w:tmpl w:val="09227E31"/>
    <w:lvl w:ilvl="0" w:tentative="0">
      <w:start w:val="1"/>
      <w:numFmt w:val="none"/>
      <w:suff w:val="nothing"/>
      <w:lvlText w:val=""/>
      <w:lvlJc w:val="left"/>
      <w:pPr>
        <w:ind w:left="0" w:firstLine="0"/>
      </w:pPr>
      <w:rPr>
        <w:rFonts w:hint="eastAsia" w:ascii="黑体" w:hAnsi="Times New Roman" w:eastAsia="黑体"/>
        <w:b/>
        <w:i w:val="0"/>
        <w:sz w:val="21"/>
      </w:rPr>
    </w:lvl>
    <w:lvl w:ilvl="1" w:tentative="0">
      <w:start w:val="1"/>
      <w:numFmt w:val="decimal"/>
      <w:pStyle w:val="301"/>
      <w:suff w:val="nothing"/>
      <w:lvlText w:val="表%2　"/>
      <w:lvlJc w:val="left"/>
      <w:pPr>
        <w:ind w:left="0" w:firstLine="0"/>
      </w:pPr>
      <w:rPr>
        <w:rFonts w:hint="eastAsia" w:ascii="黑体" w:hAnsi="Times New Roman" w:eastAsia="黑体"/>
        <w:b w:val="0"/>
        <w:i w:val="0"/>
        <w:caps w:val="0"/>
        <w:strike w:val="0"/>
        <w:dstrike w:val="0"/>
        <w:snapToGrid w:val="0"/>
        <w:vanish w:val="0"/>
        <w:kern w:val="0"/>
        <w:sz w:val="21"/>
        <w:szCs w:val="21"/>
        <w:u w:val="none"/>
        <w:vertAlign w:val="baseline"/>
        <w14:cntxtalts w14:val="0"/>
      </w:rPr>
    </w:lvl>
    <w:lvl w:ilvl="2" w:tentative="0">
      <w:start w:val="1"/>
      <w:numFmt w:val="none"/>
      <w:pStyle w:val="316"/>
      <w:suff w:val="nothing"/>
      <w:lvlText w:val="%1表%2　"/>
      <w:lvlJc w:val="left"/>
      <w:pPr>
        <w:ind w:left="0" w:firstLine="0"/>
      </w:pPr>
      <w:rPr>
        <w:rFonts w:hint="eastAsia" w:ascii="黑体" w:hAnsi="黑体" w:eastAsia="黑体" w:cs="Times New Roman"/>
        <w:b w:val="0"/>
        <w:bCs w:val="0"/>
        <w:i w:val="0"/>
        <w:iCs w:val="0"/>
        <w:caps w:val="0"/>
        <w:smallCaps w:val="0"/>
        <w:strike w:val="0"/>
        <w:dstrike w:val="0"/>
        <w:outline w:val="0"/>
        <w:shadow w:val="0"/>
        <w:emboss w:val="0"/>
        <w:imprint w:val="0"/>
        <w:snapToGrid w:val="0"/>
        <w:vanish w:val="0"/>
        <w:spacing w:val="0"/>
        <w:w w:val="10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3969"/>
        </w:tabs>
        <w:ind w:left="3969" w:hanging="1418"/>
      </w:pPr>
      <w:rPr>
        <w:rFonts w:hint="eastAsia"/>
      </w:rPr>
    </w:lvl>
    <w:lvl w:ilvl="8" w:tentative="0">
      <w:start w:val="1"/>
      <w:numFmt w:val="decimal"/>
      <w:lvlText w:val="%1.%2.%3.%4.%5.%6.%7.%8.%9"/>
      <w:lvlJc w:val="left"/>
      <w:pPr>
        <w:tabs>
          <w:tab w:val="left" w:pos="4677"/>
        </w:tabs>
        <w:ind w:left="4677" w:hanging="1700"/>
      </w:pPr>
      <w:rPr>
        <w:rFonts w:hint="eastAsia"/>
      </w:rPr>
    </w:lvl>
  </w:abstractNum>
  <w:abstractNum w:abstractNumId="15">
    <w:nsid w:val="0AE367E9"/>
    <w:multiLevelType w:val="multilevel"/>
    <w:tmpl w:val="0AE367E9"/>
    <w:lvl w:ilvl="0" w:tentative="0">
      <w:start w:val="1"/>
      <w:numFmt w:val="none"/>
      <w:pStyle w:val="292"/>
      <w:suff w:val="nothing"/>
      <w:lvlText w:val="%1示例："/>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16">
    <w:nsid w:val="0D46713A"/>
    <w:multiLevelType w:val="multilevel"/>
    <w:tmpl w:val="0D46713A"/>
    <w:lvl w:ilvl="0" w:tentative="0">
      <w:start w:val="1"/>
      <w:numFmt w:val="bullet"/>
      <w:pStyle w:val="325"/>
      <w:lvlText w:val=""/>
      <w:lvlJc w:val="left"/>
      <w:pPr>
        <w:ind w:left="206" w:hanging="420"/>
      </w:pPr>
      <w:rPr>
        <w:rFonts w:hint="default" w:ascii="Wingdings" w:hAnsi="Wingdings"/>
      </w:rPr>
    </w:lvl>
    <w:lvl w:ilvl="1" w:tentative="0">
      <w:start w:val="1"/>
      <w:numFmt w:val="bullet"/>
      <w:lvlText w:val=""/>
      <w:lvlJc w:val="left"/>
      <w:pPr>
        <w:ind w:left="626" w:hanging="420"/>
      </w:pPr>
      <w:rPr>
        <w:rFonts w:hint="default" w:ascii="Wingdings" w:hAnsi="Wingdings"/>
      </w:rPr>
    </w:lvl>
    <w:lvl w:ilvl="2" w:tentative="0">
      <w:start w:val="1"/>
      <w:numFmt w:val="bullet"/>
      <w:lvlText w:val=""/>
      <w:lvlJc w:val="left"/>
      <w:pPr>
        <w:ind w:left="1046" w:hanging="420"/>
      </w:pPr>
      <w:rPr>
        <w:rFonts w:hint="default" w:ascii="Wingdings" w:hAnsi="Wingdings"/>
      </w:rPr>
    </w:lvl>
    <w:lvl w:ilvl="3" w:tentative="0">
      <w:start w:val="1"/>
      <w:numFmt w:val="bullet"/>
      <w:lvlText w:val=""/>
      <w:lvlJc w:val="left"/>
      <w:pPr>
        <w:ind w:left="1466" w:hanging="420"/>
      </w:pPr>
      <w:rPr>
        <w:rFonts w:hint="default" w:ascii="Wingdings" w:hAnsi="Wingdings"/>
      </w:rPr>
    </w:lvl>
    <w:lvl w:ilvl="4" w:tentative="0">
      <w:start w:val="1"/>
      <w:numFmt w:val="bullet"/>
      <w:lvlText w:val=""/>
      <w:lvlJc w:val="left"/>
      <w:pPr>
        <w:ind w:left="1886" w:hanging="420"/>
      </w:pPr>
      <w:rPr>
        <w:rFonts w:hint="default" w:ascii="Wingdings" w:hAnsi="Wingdings"/>
      </w:rPr>
    </w:lvl>
    <w:lvl w:ilvl="5" w:tentative="0">
      <w:start w:val="1"/>
      <w:numFmt w:val="bullet"/>
      <w:lvlText w:val=""/>
      <w:lvlJc w:val="left"/>
      <w:pPr>
        <w:ind w:left="2306" w:hanging="420"/>
      </w:pPr>
      <w:rPr>
        <w:rFonts w:hint="default" w:ascii="Wingdings" w:hAnsi="Wingdings"/>
      </w:rPr>
    </w:lvl>
    <w:lvl w:ilvl="6" w:tentative="0">
      <w:start w:val="1"/>
      <w:numFmt w:val="bullet"/>
      <w:lvlText w:val=""/>
      <w:lvlJc w:val="left"/>
      <w:pPr>
        <w:ind w:left="2726" w:hanging="420"/>
      </w:pPr>
      <w:rPr>
        <w:rFonts w:hint="default" w:ascii="Wingdings" w:hAnsi="Wingdings"/>
      </w:rPr>
    </w:lvl>
    <w:lvl w:ilvl="7" w:tentative="0">
      <w:start w:val="1"/>
      <w:numFmt w:val="bullet"/>
      <w:lvlText w:val=""/>
      <w:lvlJc w:val="left"/>
      <w:pPr>
        <w:ind w:left="3146" w:hanging="420"/>
      </w:pPr>
      <w:rPr>
        <w:rFonts w:hint="default" w:ascii="Wingdings" w:hAnsi="Wingdings"/>
      </w:rPr>
    </w:lvl>
    <w:lvl w:ilvl="8" w:tentative="0">
      <w:start w:val="1"/>
      <w:numFmt w:val="bullet"/>
      <w:lvlText w:val=""/>
      <w:lvlJc w:val="left"/>
      <w:pPr>
        <w:ind w:left="3566" w:hanging="420"/>
      </w:pPr>
      <w:rPr>
        <w:rFonts w:hint="default" w:ascii="Wingdings" w:hAnsi="Wingdings"/>
      </w:rPr>
    </w:lvl>
  </w:abstractNum>
  <w:abstractNum w:abstractNumId="17">
    <w:nsid w:val="1F1FF7BE"/>
    <w:multiLevelType w:val="multilevel"/>
    <w:tmpl w:val="1F1FF7BE"/>
    <w:lvl w:ilvl="0" w:tentative="0">
      <w:start w:val="1"/>
      <w:numFmt w:val="lowerLetter"/>
      <w:lvlText w:val="%1)"/>
      <w:lvlJc w:val="left"/>
      <w:pPr>
        <w:tabs>
          <w:tab w:val="left" w:pos="840"/>
        </w:tabs>
        <w:ind w:left="839" w:hanging="419"/>
      </w:pPr>
      <w:rPr>
        <w:rFonts w:hint="eastAsia" w:ascii="宋体" w:eastAsia="宋体"/>
        <w:b w:val="0"/>
        <w:i w:val="0"/>
        <w:sz w:val="21"/>
        <w:szCs w:val="21"/>
      </w:rPr>
    </w:lvl>
    <w:lvl w:ilvl="1" w:tentative="0">
      <w:start w:val="1"/>
      <w:numFmt w:val="decimal"/>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8">
    <w:nsid w:val="1FC91163"/>
    <w:multiLevelType w:val="multilevel"/>
    <w:tmpl w:val="1FC91163"/>
    <w:lvl w:ilvl="0" w:tentative="0">
      <w:start w:val="1"/>
      <w:numFmt w:val="decimal"/>
      <w:pStyle w:val="259"/>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260"/>
      <w:suff w:val="nothing"/>
      <w:lvlText w:val="%1.%2　"/>
      <w:lvlJc w:val="left"/>
      <w:pPr>
        <w:ind w:left="0" w:firstLine="0"/>
      </w:pPr>
      <w:rPr>
        <w:rFonts w:hint="eastAsia" w:ascii="黑体" w:hAnsi="Times New Roman" w:eastAsia="黑体" w:cs="Times New Roman"/>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tentative="0">
      <w:start w:val="1"/>
      <w:numFmt w:val="decimal"/>
      <w:pStyle w:val="261"/>
      <w:suff w:val="nothing"/>
      <w:lvlText w:val="%1.%2.%3　"/>
      <w:lvlJc w:val="left"/>
      <w:pPr>
        <w:ind w:left="0" w:firstLine="0"/>
      </w:pPr>
      <w:rPr>
        <w:rFonts w:hint="eastAsia" w:ascii="黑体" w:hAnsi="Times New Roman" w:eastAsia="黑体"/>
        <w:b w:val="0"/>
        <w:i w:val="0"/>
        <w:sz w:val="21"/>
      </w:rPr>
    </w:lvl>
    <w:lvl w:ilvl="3" w:tentative="0">
      <w:start w:val="1"/>
      <w:numFmt w:val="decimal"/>
      <w:pStyle w:val="290"/>
      <w:suff w:val="nothing"/>
      <w:lvlText w:val="%1.%2.%3.%4　"/>
      <w:lvlJc w:val="left"/>
      <w:pPr>
        <w:ind w:left="0" w:firstLine="0"/>
      </w:pPr>
      <w:rPr>
        <w:rFonts w:hint="eastAsia" w:ascii="黑体" w:hAnsi="Times New Roman" w:eastAsia="黑体"/>
        <w:b w:val="0"/>
        <w:i w:val="0"/>
        <w:sz w:val="21"/>
      </w:rPr>
    </w:lvl>
    <w:lvl w:ilvl="4" w:tentative="0">
      <w:start w:val="1"/>
      <w:numFmt w:val="decimal"/>
      <w:pStyle w:val="295"/>
      <w:suff w:val="nothing"/>
      <w:lvlText w:val="%1.%2.%3.%4.%5　"/>
      <w:lvlJc w:val="left"/>
      <w:pPr>
        <w:ind w:left="0" w:firstLine="0"/>
      </w:pPr>
      <w:rPr>
        <w:rFonts w:hint="eastAsia" w:ascii="黑体" w:hAnsi="Times New Roman" w:eastAsia="黑体"/>
        <w:b w:val="0"/>
        <w:i w:val="0"/>
        <w:sz w:val="21"/>
      </w:rPr>
    </w:lvl>
    <w:lvl w:ilvl="5" w:tentative="0">
      <w:start w:val="1"/>
      <w:numFmt w:val="decimal"/>
      <w:pStyle w:val="300"/>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9">
    <w:nsid w:val="2A8F7113"/>
    <w:multiLevelType w:val="multilevel"/>
    <w:tmpl w:val="2A8F7113"/>
    <w:lvl w:ilvl="0" w:tentative="0">
      <w:start w:val="1"/>
      <w:numFmt w:val="upperLetter"/>
      <w:pStyle w:val="348"/>
      <w:suff w:val="space"/>
      <w:lvlText w:val="%1"/>
      <w:lvlJc w:val="left"/>
      <w:pPr>
        <w:ind w:left="0" w:firstLine="0"/>
      </w:pPr>
      <w:rPr>
        <w:rFonts w:hint="eastAsia"/>
      </w:rPr>
    </w:lvl>
    <w:lvl w:ilvl="1" w:tentative="0">
      <w:start w:val="1"/>
      <w:numFmt w:val="decimal"/>
      <w:pStyle w:val="281"/>
      <w:suff w:val="nothing"/>
      <w:lvlText w:val="图%1.%2　"/>
      <w:lvlJc w:val="left"/>
      <w:pPr>
        <w:ind w:left="0" w:firstLine="0"/>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20">
    <w:nsid w:val="32F04FB2"/>
    <w:multiLevelType w:val="multilevel"/>
    <w:tmpl w:val="32F04FB2"/>
    <w:lvl w:ilvl="0" w:tentative="0">
      <w:start w:val="1"/>
      <w:numFmt w:val="lowerLetter"/>
      <w:pStyle w:val="527"/>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1">
    <w:nsid w:val="34431F99"/>
    <w:multiLevelType w:val="multilevel"/>
    <w:tmpl w:val="34431F99"/>
    <w:lvl w:ilvl="0" w:tentative="0">
      <w:start w:val="1"/>
      <w:numFmt w:val="upperLetter"/>
      <w:pStyle w:val="509"/>
      <w:lvlText w:val="%1"/>
      <w:lvlJc w:val="left"/>
      <w:pPr>
        <w:ind w:left="0" w:firstLine="0"/>
      </w:pPr>
      <w:rPr>
        <w:rFonts w:hint="eastAsia"/>
        <w:color w:val="FFFFFF" w:themeColor="background1"/>
        <w:sz w:val="2"/>
        <w14:textFill>
          <w14:solidFill>
            <w14:schemeClr w14:val="bg1"/>
          </w14:solidFill>
        </w14:textFill>
      </w:rPr>
    </w:lvl>
    <w:lvl w:ilvl="1" w:tentative="0">
      <w:start w:val="1"/>
      <w:numFmt w:val="decimal"/>
      <w:pStyle w:val="510"/>
      <w:lvlText w:val="(%1.%2)"/>
      <w:lvlJc w:val="left"/>
      <w:pPr>
        <w:ind w:left="0" w:firstLine="0"/>
      </w:pPr>
      <w:rPr>
        <w:rFonts w:hAnsi="Times New Roman" w:cs="Times New Roman"/>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2">
    <w:nsid w:val="4B733A5F"/>
    <w:multiLevelType w:val="multilevel"/>
    <w:tmpl w:val="4B733A5F"/>
    <w:lvl w:ilvl="0" w:tentative="0">
      <w:start w:val="1"/>
      <w:numFmt w:val="decimal"/>
      <w:pStyle w:val="306"/>
      <w:suff w:val="nothing"/>
      <w:lvlText w:val="示例%1："/>
      <w:lvlJc w:val="left"/>
      <w:pPr>
        <w:ind w:left="0" w:firstLine="363"/>
      </w:pPr>
      <w:rPr>
        <w:rFonts w:hint="eastAsia" w:ascii="黑体" w:hAnsi="Times New Roman" w:eastAsia="黑体"/>
        <w:b w:val="0"/>
        <w:i w:val="0"/>
        <w:sz w:val="18"/>
        <w:szCs w:val="18"/>
        <w:vertAlign w:val="baseline"/>
      </w:rPr>
    </w:lvl>
    <w:lvl w:ilvl="1" w:tentative="0">
      <w:start w:val="1"/>
      <w:numFmt w:val="none"/>
      <w:suff w:val="space"/>
      <w:lvlText w:val=""/>
      <w:lvlJc w:val="left"/>
      <w:pPr>
        <w:ind w:left="0" w:firstLine="0"/>
      </w:pPr>
      <w:rPr>
        <w:rFonts w:hint="eastAsia"/>
        <w:vertAlign w:val="baseline"/>
      </w:rPr>
    </w:lvl>
    <w:lvl w:ilvl="2" w:tentative="0">
      <w:start w:val="1"/>
      <w:numFmt w:val="decimal"/>
      <w:suff w:val="space"/>
      <w:lvlText w:val="2.2.%3"/>
      <w:lvlJc w:val="left"/>
      <w:pPr>
        <w:ind w:left="0" w:firstLine="0"/>
      </w:pPr>
      <w:rPr>
        <w:rFonts w:hint="eastAsia"/>
        <w:vertAlign w:val="baseline"/>
      </w:rPr>
    </w:lvl>
    <w:lvl w:ilvl="3" w:tentative="0">
      <w:start w:val="1"/>
      <w:numFmt w:val="decimal"/>
      <w:lvlText w:val="%4."/>
      <w:lvlJc w:val="left"/>
      <w:pPr>
        <w:tabs>
          <w:tab w:val="left" w:pos="0"/>
        </w:tabs>
        <w:ind w:left="992" w:hanging="629"/>
      </w:pPr>
      <w:rPr>
        <w:rFonts w:hint="eastAsia"/>
        <w:vertAlign w:val="baseline"/>
      </w:rPr>
    </w:lvl>
    <w:lvl w:ilvl="4" w:tentative="0">
      <w:start w:val="1"/>
      <w:numFmt w:val="lowerLetter"/>
      <w:lvlText w:val="%5)"/>
      <w:lvlJc w:val="left"/>
      <w:pPr>
        <w:tabs>
          <w:tab w:val="left" w:pos="0"/>
        </w:tabs>
        <w:ind w:left="992" w:hanging="629"/>
      </w:pPr>
      <w:rPr>
        <w:rFonts w:hint="eastAsia"/>
        <w:vertAlign w:val="baseline"/>
      </w:rPr>
    </w:lvl>
    <w:lvl w:ilvl="5" w:tentative="0">
      <w:start w:val="1"/>
      <w:numFmt w:val="lowerRoman"/>
      <w:lvlText w:val="%6."/>
      <w:lvlJc w:val="right"/>
      <w:pPr>
        <w:tabs>
          <w:tab w:val="left" w:pos="0"/>
        </w:tabs>
        <w:ind w:left="992" w:hanging="629"/>
      </w:pPr>
      <w:rPr>
        <w:rFonts w:hint="eastAsia"/>
        <w:vertAlign w:val="baseline"/>
      </w:rPr>
    </w:lvl>
    <w:lvl w:ilvl="6" w:tentative="0">
      <w:start w:val="1"/>
      <w:numFmt w:val="decimal"/>
      <w:lvlText w:val="%7."/>
      <w:lvlJc w:val="left"/>
      <w:pPr>
        <w:tabs>
          <w:tab w:val="left" w:pos="0"/>
        </w:tabs>
        <w:ind w:left="992" w:hanging="629"/>
      </w:pPr>
      <w:rPr>
        <w:rFonts w:hint="eastAsia"/>
        <w:vertAlign w:val="baseline"/>
      </w:rPr>
    </w:lvl>
    <w:lvl w:ilvl="7" w:tentative="0">
      <w:start w:val="1"/>
      <w:numFmt w:val="lowerLetter"/>
      <w:lvlText w:val="%8)"/>
      <w:lvlJc w:val="left"/>
      <w:pPr>
        <w:tabs>
          <w:tab w:val="left" w:pos="0"/>
        </w:tabs>
        <w:ind w:left="992" w:hanging="629"/>
      </w:pPr>
      <w:rPr>
        <w:rFonts w:hint="eastAsia"/>
        <w:vertAlign w:val="baseline"/>
      </w:rPr>
    </w:lvl>
    <w:lvl w:ilvl="8" w:tentative="0">
      <w:start w:val="1"/>
      <w:numFmt w:val="lowerRoman"/>
      <w:lvlText w:val="%9."/>
      <w:lvlJc w:val="right"/>
      <w:pPr>
        <w:tabs>
          <w:tab w:val="left" w:pos="0"/>
        </w:tabs>
        <w:ind w:left="992" w:hanging="629"/>
      </w:pPr>
      <w:rPr>
        <w:rFonts w:hint="eastAsia"/>
        <w:vertAlign w:val="baseline"/>
      </w:rPr>
    </w:lvl>
  </w:abstractNum>
  <w:abstractNum w:abstractNumId="23">
    <w:nsid w:val="55E02EF4"/>
    <w:multiLevelType w:val="multilevel"/>
    <w:tmpl w:val="55E02EF4"/>
    <w:lvl w:ilvl="0" w:tentative="0">
      <w:start w:val="1"/>
      <w:numFmt w:val="decimal"/>
      <w:pStyle w:val="302"/>
      <w:lvlText w:val="图%1"/>
      <w:lvlJc w:val="left"/>
      <w:pPr>
        <w:tabs>
          <w:tab w:val="left" w:pos="510"/>
        </w:tabs>
        <w:ind w:left="0" w:firstLine="0"/>
      </w:pPr>
      <w:rPr>
        <w:rFonts w:hint="eastAsia" w:ascii="黑体" w:eastAsia="黑体"/>
        <w:b w:val="0"/>
        <w:i w:val="0"/>
        <w:sz w:val="21"/>
        <w:szCs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561546E1"/>
    <w:multiLevelType w:val="multilevel"/>
    <w:tmpl w:val="561546E1"/>
    <w:lvl w:ilvl="0" w:tentative="0">
      <w:start w:val="1"/>
      <w:numFmt w:val="lowerLetter"/>
      <w:pStyle w:val="305"/>
      <w:lvlText w:val="%1)"/>
      <w:lvlJc w:val="left"/>
      <w:pPr>
        <w:tabs>
          <w:tab w:val="left" w:pos="840"/>
        </w:tabs>
        <w:ind w:left="839" w:hanging="419"/>
      </w:pPr>
      <w:rPr>
        <w:rFonts w:hint="eastAsia" w:ascii="宋体" w:eastAsia="宋体"/>
        <w:b w:val="0"/>
        <w:i w:val="0"/>
        <w:sz w:val="21"/>
        <w:szCs w:val="21"/>
      </w:rPr>
    </w:lvl>
    <w:lvl w:ilvl="1" w:tentative="0">
      <w:start w:val="1"/>
      <w:numFmt w:val="decimal"/>
      <w:pStyle w:val="294"/>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25">
    <w:nsid w:val="59641F7A"/>
    <w:multiLevelType w:val="multilevel"/>
    <w:tmpl w:val="59641F7A"/>
    <w:lvl w:ilvl="0" w:tentative="0">
      <w:start w:val="1"/>
      <w:numFmt w:val="decimal"/>
      <w:pStyle w:val="524"/>
      <w:suff w:val="nothing"/>
      <w:lvlText w:val="[%1] "/>
      <w:lvlJc w:val="left"/>
      <w:pPr>
        <w:ind w:left="0" w:firstLine="0"/>
      </w:pPr>
      <w:rPr>
        <w:rFonts w:hint="eastAsia" w:ascii="宋体" w:eastAsia="宋体"/>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5B7E3733"/>
    <w:multiLevelType w:val="multilevel"/>
    <w:tmpl w:val="5B7E3733"/>
    <w:lvl w:ilvl="0" w:tentative="0">
      <w:start w:val="1"/>
      <w:numFmt w:val="decimal"/>
      <w:pStyle w:val="296"/>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27">
    <w:nsid w:val="60B55DC2"/>
    <w:multiLevelType w:val="multilevel"/>
    <w:tmpl w:val="60B55DC2"/>
    <w:lvl w:ilvl="0" w:tentative="0">
      <w:start w:val="1"/>
      <w:numFmt w:val="upperLetter"/>
      <w:pStyle w:val="347"/>
      <w:lvlText w:val="%1"/>
      <w:lvlJc w:val="left"/>
      <w:pPr>
        <w:tabs>
          <w:tab w:val="left" w:pos="0"/>
        </w:tabs>
        <w:ind w:left="0" w:firstLine="0"/>
      </w:pPr>
      <w:rPr>
        <w:rFonts w:hint="eastAsia"/>
      </w:rPr>
    </w:lvl>
    <w:lvl w:ilvl="1" w:tentative="0">
      <w:start w:val="1"/>
      <w:numFmt w:val="decimal"/>
      <w:pStyle w:val="275"/>
      <w:suff w:val="nothing"/>
      <w:lvlText w:val="表%1.%2　"/>
      <w:lvlJc w:val="left"/>
      <w:pPr>
        <w:ind w:left="0" w:firstLine="0"/>
      </w:pPr>
      <w:rPr>
        <w:rFonts w:hint="eastAsia" w:ascii="黑体" w:hAnsi="黑体" w:eastAsia="黑体"/>
        <w:b w:val="0"/>
        <w:i w:val="0"/>
        <w:caps w:val="0"/>
        <w:strike w:val="0"/>
        <w:dstrike w:val="0"/>
        <w:snapToGrid w:val="0"/>
        <w:vanish w:val="0"/>
        <w:kern w:val="0"/>
        <w:sz w:val="21"/>
        <w:vertAlign w:val="baseline"/>
        <w14:cntxtalts w14:val="0"/>
      </w:rPr>
    </w:lvl>
    <w:lvl w:ilvl="2" w:tentative="0">
      <w:start w:val="1"/>
      <w:numFmt w:val="none"/>
      <w:pStyle w:val="317"/>
      <w:suff w:val="nothing"/>
      <w:lvlText w:val="表%1.%2　"/>
      <w:lvlJc w:val="left"/>
      <w:pPr>
        <w:ind w:left="0" w:firstLine="0"/>
      </w:pPr>
      <w:rPr>
        <w:rFonts w:hint="eastAsia" w:ascii="黑体" w:hAnsi="黑体" w:eastAsia="黑体"/>
        <w:b w:val="0"/>
        <w:i w:val="0"/>
        <w:sz w:val="21"/>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28">
    <w:nsid w:val="657D3FBC"/>
    <w:multiLevelType w:val="multilevel"/>
    <w:tmpl w:val="657D3FBC"/>
    <w:lvl w:ilvl="0" w:tentative="0">
      <w:start w:val="1"/>
      <w:numFmt w:val="upperLetter"/>
      <w:pStyle w:val="274"/>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pStyle w:val="276"/>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277"/>
      <w:suff w:val="nothing"/>
      <w:lvlText w:val="%1.%2.%3　"/>
      <w:lvlJc w:val="left"/>
      <w:pPr>
        <w:ind w:left="0" w:firstLine="0"/>
      </w:pPr>
      <w:rPr>
        <w:rFonts w:hint="eastAsia" w:ascii="黑体" w:hAnsi="Times New Roman" w:eastAsia="黑体"/>
        <w:b w:val="0"/>
        <w:i w:val="0"/>
        <w:sz w:val="21"/>
      </w:rPr>
    </w:lvl>
    <w:lvl w:ilvl="3" w:tentative="0">
      <w:start w:val="1"/>
      <w:numFmt w:val="decimal"/>
      <w:pStyle w:val="278"/>
      <w:suff w:val="nothing"/>
      <w:lvlText w:val="%1.%2.%3.%4　"/>
      <w:lvlJc w:val="left"/>
      <w:pPr>
        <w:ind w:left="0" w:firstLine="0"/>
      </w:pPr>
      <w:rPr>
        <w:rFonts w:hint="eastAsia" w:ascii="黑体" w:hAnsi="Times New Roman" w:eastAsia="黑体"/>
        <w:b w:val="0"/>
        <w:i w:val="0"/>
        <w:sz w:val="21"/>
      </w:rPr>
    </w:lvl>
    <w:lvl w:ilvl="4" w:tentative="0">
      <w:start w:val="1"/>
      <w:numFmt w:val="decimal"/>
      <w:pStyle w:val="279"/>
      <w:suff w:val="nothing"/>
      <w:lvlText w:val="%1.%2.%3.%4.%5　"/>
      <w:lvlJc w:val="left"/>
      <w:pPr>
        <w:ind w:left="0" w:firstLine="0"/>
      </w:pPr>
      <w:rPr>
        <w:rFonts w:hint="eastAsia" w:ascii="黑体" w:hAnsi="Times New Roman" w:eastAsia="黑体"/>
        <w:b w:val="0"/>
        <w:i w:val="0"/>
        <w:sz w:val="21"/>
      </w:rPr>
    </w:lvl>
    <w:lvl w:ilvl="5" w:tentative="0">
      <w:start w:val="1"/>
      <w:numFmt w:val="decimal"/>
      <w:pStyle w:val="280"/>
      <w:suff w:val="nothing"/>
      <w:lvlText w:val="%1.%2.%3.%4.%5.%6　"/>
      <w:lvlJc w:val="left"/>
      <w:pPr>
        <w:ind w:left="0" w:firstLine="0"/>
      </w:pPr>
      <w:rPr>
        <w:rFonts w:ascii="黑体" w:hAnsi="黑体" w:eastAsia="黑体" w:cs="Times New Roman"/>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6" w:tentative="0">
      <w:start w:val="1"/>
      <w:numFmt w:val="decimal"/>
      <w:pStyle w:val="282"/>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9">
    <w:nsid w:val="6CEA2025"/>
    <w:multiLevelType w:val="multilevel"/>
    <w:tmpl w:val="6CEA2025"/>
    <w:lvl w:ilvl="0" w:tentative="0">
      <w:start w:val="1"/>
      <w:numFmt w:val="none"/>
      <w:pStyle w:val="521"/>
      <w:suff w:val="nothing"/>
      <w:lvlText w:val="%1"/>
      <w:lvlJc w:val="left"/>
      <w:pPr>
        <w:ind w:left="0" w:firstLine="0"/>
      </w:pPr>
      <w:rPr>
        <w:rFonts w:hint="eastAsia"/>
      </w:rPr>
    </w:lvl>
    <w:lvl w:ilvl="1" w:tentative="0">
      <w:start w:val="1"/>
      <w:numFmt w:val="decimal"/>
      <w:suff w:val="nothing"/>
      <w:lvlText w:val="%1%2　"/>
      <w:lvlJc w:val="left"/>
      <w:pPr>
        <w:ind w:left="0" w:firstLine="0"/>
      </w:pPr>
      <w:rPr>
        <w:rFonts w:hint="eastAsia" w:ascii="黑体" w:eastAsia="黑体"/>
        <w:b w:val="0"/>
        <w:i w:val="0"/>
        <w:sz w:val="21"/>
      </w:rPr>
    </w:lvl>
    <w:lvl w:ilvl="2" w:tentative="0">
      <w:start w:val="1"/>
      <w:numFmt w:val="decimal"/>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decimal"/>
      <w:suff w:val="nothing"/>
      <w:lvlText w:val="%1%2.%3.%4　"/>
      <w:lvlJc w:val="left"/>
      <w:pPr>
        <w:ind w:left="0"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0">
    <w:nsid w:val="6DBF04F4"/>
    <w:multiLevelType w:val="multilevel"/>
    <w:tmpl w:val="6DBF04F4"/>
    <w:lvl w:ilvl="0" w:tentative="0">
      <w:start w:val="1"/>
      <w:numFmt w:val="none"/>
      <w:pStyle w:val="303"/>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1">
    <w:nsid w:val="763A6836"/>
    <w:multiLevelType w:val="multilevel"/>
    <w:tmpl w:val="763A6836"/>
    <w:lvl w:ilvl="0" w:tentative="0">
      <w:start w:val="1"/>
      <w:numFmt w:val="none"/>
      <w:suff w:val="nothing"/>
      <w:lvlText w:val=""/>
      <w:lvlJc w:val="left"/>
      <w:pPr>
        <w:ind w:left="0" w:firstLine="0"/>
      </w:pPr>
      <w:rPr>
        <w:rFonts w:hint="eastAsia" w:ascii="黑体" w:hAnsi="Times New Roman" w:eastAsia="黑体"/>
        <w:b/>
        <w:i w:val="0"/>
        <w:sz w:val="28"/>
      </w:rPr>
    </w:lvl>
    <w:lvl w:ilvl="1" w:tentative="0">
      <w:start w:val="1"/>
      <w:numFmt w:val="decimal"/>
      <w:pStyle w:val="307"/>
      <w:suff w:val="nothing"/>
      <w:lvlText w:val="%1%2 "/>
      <w:lvlJc w:val="left"/>
      <w:pPr>
        <w:ind w:left="0" w:firstLine="0"/>
      </w:pPr>
      <w:rPr>
        <w:rFonts w:hint="eastAsia" w:ascii="黑体" w:hAnsi="Times New Roman" w:eastAsia="黑体"/>
        <w:b/>
        <w:i w:val="0"/>
        <w:sz w:val="28"/>
      </w:rPr>
    </w:lvl>
    <w:lvl w:ilvl="2" w:tentative="0">
      <w:start w:val="1"/>
      <w:numFmt w:val="decimal"/>
      <w:pStyle w:val="308"/>
      <w:suff w:val="nothing"/>
      <w:lvlText w:val="%1%2.%3　"/>
      <w:lvlJc w:val="left"/>
      <w:pPr>
        <w:ind w:left="0" w:firstLine="0"/>
      </w:pPr>
      <w:rPr>
        <w:rFonts w:hint="eastAsia" w:ascii="黑体" w:hAnsi="Times New Roman" w:eastAsia="黑体"/>
        <w:b/>
        <w:i w:val="0"/>
        <w:sz w:val="21"/>
      </w:rPr>
    </w:lvl>
    <w:lvl w:ilvl="3" w:tentative="0">
      <w:start w:val="1"/>
      <w:numFmt w:val="decimal"/>
      <w:pStyle w:val="309"/>
      <w:suff w:val="nothing"/>
      <w:lvlText w:val="%1%2.%3.%4　"/>
      <w:lvlJc w:val="left"/>
      <w:pPr>
        <w:ind w:left="0" w:firstLine="0"/>
      </w:pPr>
      <w:rPr>
        <w:rFonts w:hint="eastAsia" w:ascii="黑体" w:hAnsi="Times New Roman" w:eastAsia="黑体"/>
        <w:b/>
        <w:i w:val="0"/>
        <w:sz w:val="21"/>
      </w:rPr>
    </w:lvl>
    <w:lvl w:ilvl="4" w:tentative="0">
      <w:start w:val="1"/>
      <w:numFmt w:val="decimal"/>
      <w:pStyle w:val="310"/>
      <w:suff w:val="nothing"/>
      <w:lvlText w:val="表%1%2.%3.%4-%5 "/>
      <w:lvlJc w:val="left"/>
      <w:pPr>
        <w:ind w:left="0" w:firstLine="0"/>
      </w:pPr>
      <w:rPr>
        <w:rFonts w:hint="eastAsia" w:ascii="黑体" w:hAnsi="Times New Roman" w:eastAsia="黑体"/>
        <w:b/>
        <w:i w:val="0"/>
        <w:sz w:val="21"/>
      </w:rPr>
    </w:lvl>
    <w:lvl w:ilvl="5" w:tentative="0">
      <w:start w:val="1"/>
      <w:numFmt w:val="decimal"/>
      <w:lvlRestart w:val="4"/>
      <w:pStyle w:val="311"/>
      <w:suff w:val="nothing"/>
      <w:lvlText w:val="%1图%2.%3.%4-%6 "/>
      <w:lvlJc w:val="left"/>
      <w:pPr>
        <w:ind w:left="0" w:firstLine="0"/>
      </w:pPr>
      <w:rPr>
        <w:rFonts w:hint="eastAsia" w:ascii="黑体" w:hAnsi="Times New Roman" w:eastAsia="黑体"/>
        <w:b/>
        <w:i w:val="0"/>
        <w:sz w:val="21"/>
      </w:rPr>
    </w:lvl>
    <w:lvl w:ilvl="6" w:tentative="0">
      <w:start w:val="1"/>
      <w:numFmt w:val="decimal"/>
      <w:lvlRestart w:val="4"/>
      <w:pStyle w:val="312"/>
      <w:suff w:val="nothing"/>
      <w:lvlText w:val="(%2.%3.%4-%7)"/>
      <w:lvlJc w:val="center"/>
      <w:pPr>
        <w:ind w:left="288" w:firstLine="288"/>
      </w:pPr>
      <w:rPr>
        <w:rFonts w:hint="eastAsia" w:ascii="黑体" w:hAnsi="Times New Roman" w:eastAsia="黑体"/>
        <w:b/>
        <w:i w:val="0"/>
        <w:sz w:val="21"/>
      </w:rPr>
    </w:lvl>
    <w:lvl w:ilvl="7" w:tentative="0">
      <w:start w:val="1"/>
      <w:numFmt w:val="decimal"/>
      <w:lvlRestart w:val="2"/>
      <w:pStyle w:val="314"/>
      <w:lvlText w:val="    %1%8"/>
      <w:lvlJc w:val="left"/>
      <w:pPr>
        <w:tabs>
          <w:tab w:val="left" w:pos="720"/>
        </w:tabs>
        <w:ind w:left="0" w:firstLine="0"/>
      </w:pPr>
      <w:rPr>
        <w:rFonts w:hint="eastAsia" w:ascii="黑体" w:eastAsia="黑体"/>
        <w:b/>
        <w:i w:val="0"/>
        <w:sz w:val="21"/>
      </w:rPr>
    </w:lvl>
    <w:lvl w:ilvl="8" w:tentative="0">
      <w:start w:val="1"/>
      <w:numFmt w:val="decimal"/>
      <w:lvlRestart w:val="2"/>
      <w:pStyle w:val="313"/>
      <w:lvlText w:val="%2.0.%9"/>
      <w:lvlJc w:val="left"/>
      <w:pPr>
        <w:tabs>
          <w:tab w:val="left" w:pos="720"/>
        </w:tabs>
        <w:ind w:left="0" w:firstLine="0"/>
      </w:pPr>
      <w:rPr>
        <w:rFonts w:hint="eastAsia" w:ascii="黑体" w:hAnsi="华文细黑" w:eastAsia="黑体"/>
        <w:b/>
        <w:i w:val="0"/>
        <w:sz w:val="21"/>
      </w:rPr>
    </w:lvl>
  </w:abstractNum>
  <w:abstractNum w:abstractNumId="32">
    <w:nsid w:val="76933334"/>
    <w:multiLevelType w:val="multilevel"/>
    <w:tmpl w:val="76933334"/>
    <w:lvl w:ilvl="0" w:tentative="0">
      <w:start w:val="1"/>
      <w:numFmt w:val="none"/>
      <w:pStyle w:val="285"/>
      <w:lvlText w:val="%1——"/>
      <w:lvlJc w:val="left"/>
      <w:pPr>
        <w:tabs>
          <w:tab w:val="left" w:pos="1140"/>
        </w:tabs>
        <w:ind w:left="840" w:hanging="420"/>
      </w:pPr>
      <w:rPr>
        <w:rFonts w:hint="eastAsia" w:ascii="黑体" w:hAnsi="黑体"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3">
    <w:nsid w:val="7769F8D3"/>
    <w:multiLevelType w:val="multilevel"/>
    <w:tmpl w:val="7769F8D3"/>
    <w:lvl w:ilvl="0" w:tentative="0">
      <w:start w:val="1"/>
      <w:numFmt w:val="lowerLetter"/>
      <w:lvlText w:val="%1)"/>
      <w:lvlJc w:val="left"/>
      <w:pPr>
        <w:tabs>
          <w:tab w:val="left" w:pos="840"/>
        </w:tabs>
        <w:ind w:left="839" w:hanging="419"/>
      </w:pPr>
      <w:rPr>
        <w:rFonts w:hint="eastAsia" w:ascii="宋体" w:eastAsia="宋体"/>
        <w:b w:val="0"/>
        <w:i w:val="0"/>
        <w:sz w:val="21"/>
        <w:szCs w:val="21"/>
      </w:rPr>
    </w:lvl>
    <w:lvl w:ilvl="1" w:tentative="0">
      <w:start w:val="1"/>
      <w:numFmt w:val="decimal"/>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num w:numId="1">
    <w:abstractNumId w:val="5"/>
  </w:num>
  <w:num w:numId="2">
    <w:abstractNumId w:val="7"/>
  </w:num>
  <w:num w:numId="3">
    <w:abstractNumId w:val="10"/>
  </w:num>
  <w:num w:numId="4">
    <w:abstractNumId w:val="11"/>
  </w:num>
  <w:num w:numId="5">
    <w:abstractNumId w:val="8"/>
  </w:num>
  <w:num w:numId="6">
    <w:abstractNumId w:val="4"/>
  </w:num>
  <w:num w:numId="7">
    <w:abstractNumId w:val="9"/>
  </w:num>
  <w:num w:numId="8">
    <w:abstractNumId w:val="6"/>
  </w:num>
  <w:num w:numId="9">
    <w:abstractNumId w:val="3"/>
  </w:num>
  <w:num w:numId="10">
    <w:abstractNumId w:val="2"/>
  </w:num>
  <w:num w:numId="11">
    <w:abstractNumId w:val="18"/>
  </w:num>
  <w:num w:numId="12">
    <w:abstractNumId w:val="28"/>
  </w:num>
  <w:num w:numId="13">
    <w:abstractNumId w:val="27"/>
  </w:num>
  <w:num w:numId="14">
    <w:abstractNumId w:val="19"/>
  </w:num>
  <w:num w:numId="15">
    <w:abstractNumId w:val="32"/>
  </w:num>
  <w:num w:numId="16">
    <w:abstractNumId w:val="15"/>
  </w:num>
  <w:num w:numId="17">
    <w:abstractNumId w:val="24"/>
  </w:num>
  <w:num w:numId="18">
    <w:abstractNumId w:val="26"/>
  </w:num>
  <w:num w:numId="19">
    <w:abstractNumId w:val="14"/>
  </w:num>
  <w:num w:numId="20">
    <w:abstractNumId w:val="23"/>
  </w:num>
  <w:num w:numId="21">
    <w:abstractNumId w:val="30"/>
  </w:num>
  <w:num w:numId="22">
    <w:abstractNumId w:val="12"/>
  </w:num>
  <w:num w:numId="23">
    <w:abstractNumId w:val="22"/>
  </w:num>
  <w:num w:numId="24">
    <w:abstractNumId w:val="31"/>
  </w:num>
  <w:num w:numId="25">
    <w:abstractNumId w:val="16"/>
  </w:num>
  <w:num w:numId="26">
    <w:abstractNumId w:val="21"/>
  </w:num>
  <w:num w:numId="27">
    <w:abstractNumId w:val="13"/>
  </w:num>
  <w:num w:numId="28">
    <w:abstractNumId w:val="29"/>
  </w:num>
  <w:num w:numId="29">
    <w:abstractNumId w:val="25"/>
  </w:num>
  <w:num w:numId="30">
    <w:abstractNumId w:val="20"/>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attachedTemplate r:id="rId1"/>
  <w:documentProtection w:formatting="1" w:enforcement="0"/>
  <w:defaultTabStop w:val="210"/>
  <w:evenAndOddHeaders w:val="1"/>
  <w:drawingGridHorizontalSpacing w:val="210"/>
  <w:drawingGridVerticalSpacing w:val="156"/>
  <w:displayHorizontalDrawingGridEvery w:val="1"/>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4BF14D3"/>
    <w:rsid w:val="00006548"/>
    <w:rsid w:val="00027BD3"/>
    <w:rsid w:val="00031EEE"/>
    <w:rsid w:val="00036B39"/>
    <w:rsid w:val="000372EA"/>
    <w:rsid w:val="00040BBF"/>
    <w:rsid w:val="00043421"/>
    <w:rsid w:val="00050E91"/>
    <w:rsid w:val="00053FB5"/>
    <w:rsid w:val="00075DD9"/>
    <w:rsid w:val="00076F59"/>
    <w:rsid w:val="0009271F"/>
    <w:rsid w:val="0009648F"/>
    <w:rsid w:val="000A23AE"/>
    <w:rsid w:val="000A568D"/>
    <w:rsid w:val="000A6E5F"/>
    <w:rsid w:val="000B6ECB"/>
    <w:rsid w:val="000C21DC"/>
    <w:rsid w:val="000C2EFF"/>
    <w:rsid w:val="000D2D03"/>
    <w:rsid w:val="000E2B29"/>
    <w:rsid w:val="000E7B1D"/>
    <w:rsid w:val="000F1341"/>
    <w:rsid w:val="00123BF9"/>
    <w:rsid w:val="00127602"/>
    <w:rsid w:val="00144633"/>
    <w:rsid w:val="001517CF"/>
    <w:rsid w:val="00164C6D"/>
    <w:rsid w:val="00170B1F"/>
    <w:rsid w:val="00172236"/>
    <w:rsid w:val="001748CC"/>
    <w:rsid w:val="0017737E"/>
    <w:rsid w:val="001830DE"/>
    <w:rsid w:val="001A5BF9"/>
    <w:rsid w:val="001B0DE6"/>
    <w:rsid w:val="001C2054"/>
    <w:rsid w:val="001D5AA4"/>
    <w:rsid w:val="001D71BA"/>
    <w:rsid w:val="001E5A95"/>
    <w:rsid w:val="001F0E09"/>
    <w:rsid w:val="001F724D"/>
    <w:rsid w:val="00216264"/>
    <w:rsid w:val="00227E52"/>
    <w:rsid w:val="002310FD"/>
    <w:rsid w:val="00235CB0"/>
    <w:rsid w:val="00245A17"/>
    <w:rsid w:val="00247E6D"/>
    <w:rsid w:val="00267674"/>
    <w:rsid w:val="00277D91"/>
    <w:rsid w:val="00282FBE"/>
    <w:rsid w:val="00287FD8"/>
    <w:rsid w:val="00290905"/>
    <w:rsid w:val="002917C0"/>
    <w:rsid w:val="002A3BE2"/>
    <w:rsid w:val="002A4DD0"/>
    <w:rsid w:val="002A6433"/>
    <w:rsid w:val="002A6B18"/>
    <w:rsid w:val="002B778D"/>
    <w:rsid w:val="002C6C4A"/>
    <w:rsid w:val="002E08C1"/>
    <w:rsid w:val="002E5F3F"/>
    <w:rsid w:val="002F1862"/>
    <w:rsid w:val="00303CA5"/>
    <w:rsid w:val="00316CBA"/>
    <w:rsid w:val="00324802"/>
    <w:rsid w:val="00337CA1"/>
    <w:rsid w:val="00366B99"/>
    <w:rsid w:val="00397925"/>
    <w:rsid w:val="003A4F7B"/>
    <w:rsid w:val="003B65E2"/>
    <w:rsid w:val="003C5C82"/>
    <w:rsid w:val="003D636C"/>
    <w:rsid w:val="003E7CE2"/>
    <w:rsid w:val="003F2DA8"/>
    <w:rsid w:val="003F603C"/>
    <w:rsid w:val="003F764E"/>
    <w:rsid w:val="00405B77"/>
    <w:rsid w:val="00406CC1"/>
    <w:rsid w:val="00407D23"/>
    <w:rsid w:val="0041207A"/>
    <w:rsid w:val="00436ECC"/>
    <w:rsid w:val="004414E6"/>
    <w:rsid w:val="00447DDB"/>
    <w:rsid w:val="004548A9"/>
    <w:rsid w:val="0046160C"/>
    <w:rsid w:val="004619AC"/>
    <w:rsid w:val="00463A10"/>
    <w:rsid w:val="00465B7B"/>
    <w:rsid w:val="00466FF2"/>
    <w:rsid w:val="00467339"/>
    <w:rsid w:val="004826C9"/>
    <w:rsid w:val="0048668C"/>
    <w:rsid w:val="00490088"/>
    <w:rsid w:val="004A3243"/>
    <w:rsid w:val="004D0182"/>
    <w:rsid w:val="004D5BF2"/>
    <w:rsid w:val="0050545B"/>
    <w:rsid w:val="005134E3"/>
    <w:rsid w:val="00515AC9"/>
    <w:rsid w:val="005175BF"/>
    <w:rsid w:val="00517D40"/>
    <w:rsid w:val="00520DEA"/>
    <w:rsid w:val="00521E61"/>
    <w:rsid w:val="005272AE"/>
    <w:rsid w:val="005322CC"/>
    <w:rsid w:val="00532D32"/>
    <w:rsid w:val="0053303D"/>
    <w:rsid w:val="00534928"/>
    <w:rsid w:val="00562526"/>
    <w:rsid w:val="00573966"/>
    <w:rsid w:val="00573CAA"/>
    <w:rsid w:val="00596BBE"/>
    <w:rsid w:val="005A35D5"/>
    <w:rsid w:val="005A406C"/>
    <w:rsid w:val="005C19E3"/>
    <w:rsid w:val="005D203A"/>
    <w:rsid w:val="005D5966"/>
    <w:rsid w:val="00601445"/>
    <w:rsid w:val="00603182"/>
    <w:rsid w:val="00611BD0"/>
    <w:rsid w:val="0061695B"/>
    <w:rsid w:val="00630366"/>
    <w:rsid w:val="00630EC5"/>
    <w:rsid w:val="0065094C"/>
    <w:rsid w:val="00674639"/>
    <w:rsid w:val="00677E34"/>
    <w:rsid w:val="00681844"/>
    <w:rsid w:val="006A01D7"/>
    <w:rsid w:val="006B643E"/>
    <w:rsid w:val="006D12A2"/>
    <w:rsid w:val="006D6D2B"/>
    <w:rsid w:val="006E740A"/>
    <w:rsid w:val="006E7E4F"/>
    <w:rsid w:val="006F1FF9"/>
    <w:rsid w:val="006F20D7"/>
    <w:rsid w:val="007064A5"/>
    <w:rsid w:val="007141B1"/>
    <w:rsid w:val="00715BD0"/>
    <w:rsid w:val="00727842"/>
    <w:rsid w:val="0073641E"/>
    <w:rsid w:val="00743CC7"/>
    <w:rsid w:val="0074732A"/>
    <w:rsid w:val="00767B2F"/>
    <w:rsid w:val="00773A5E"/>
    <w:rsid w:val="00776408"/>
    <w:rsid w:val="0078233D"/>
    <w:rsid w:val="00792486"/>
    <w:rsid w:val="00792DBE"/>
    <w:rsid w:val="00795E45"/>
    <w:rsid w:val="007D2FAA"/>
    <w:rsid w:val="007E0206"/>
    <w:rsid w:val="007E3F4F"/>
    <w:rsid w:val="007F69B9"/>
    <w:rsid w:val="00800A29"/>
    <w:rsid w:val="00811C33"/>
    <w:rsid w:val="00846D16"/>
    <w:rsid w:val="00852FD6"/>
    <w:rsid w:val="00862997"/>
    <w:rsid w:val="00863677"/>
    <w:rsid w:val="0086798F"/>
    <w:rsid w:val="00867C2D"/>
    <w:rsid w:val="008708FD"/>
    <w:rsid w:val="008C0296"/>
    <w:rsid w:val="008C5347"/>
    <w:rsid w:val="008D2560"/>
    <w:rsid w:val="008D383F"/>
    <w:rsid w:val="008E1AE0"/>
    <w:rsid w:val="008E351F"/>
    <w:rsid w:val="00901DA3"/>
    <w:rsid w:val="0091784D"/>
    <w:rsid w:val="009535DF"/>
    <w:rsid w:val="0095659D"/>
    <w:rsid w:val="00964AC8"/>
    <w:rsid w:val="009676B1"/>
    <w:rsid w:val="009721AF"/>
    <w:rsid w:val="00984705"/>
    <w:rsid w:val="00995610"/>
    <w:rsid w:val="009A2C2B"/>
    <w:rsid w:val="009C0704"/>
    <w:rsid w:val="009C682F"/>
    <w:rsid w:val="009D19E4"/>
    <w:rsid w:val="009E0625"/>
    <w:rsid w:val="009E723F"/>
    <w:rsid w:val="009F7CDF"/>
    <w:rsid w:val="00A329C9"/>
    <w:rsid w:val="00A342E2"/>
    <w:rsid w:val="00A35C5B"/>
    <w:rsid w:val="00A40CF5"/>
    <w:rsid w:val="00A470A7"/>
    <w:rsid w:val="00A473CC"/>
    <w:rsid w:val="00A832D8"/>
    <w:rsid w:val="00A87239"/>
    <w:rsid w:val="00A94542"/>
    <w:rsid w:val="00AA4903"/>
    <w:rsid w:val="00AA4BDA"/>
    <w:rsid w:val="00AB12B4"/>
    <w:rsid w:val="00AC06BB"/>
    <w:rsid w:val="00AC3ACC"/>
    <w:rsid w:val="00AD7ECC"/>
    <w:rsid w:val="00AE108D"/>
    <w:rsid w:val="00AE3FF9"/>
    <w:rsid w:val="00AE547B"/>
    <w:rsid w:val="00AF2B0D"/>
    <w:rsid w:val="00AF2DD6"/>
    <w:rsid w:val="00AF4B94"/>
    <w:rsid w:val="00B01D8B"/>
    <w:rsid w:val="00B0338D"/>
    <w:rsid w:val="00B0682B"/>
    <w:rsid w:val="00B06B22"/>
    <w:rsid w:val="00B06F9F"/>
    <w:rsid w:val="00B13E76"/>
    <w:rsid w:val="00B226E1"/>
    <w:rsid w:val="00B23075"/>
    <w:rsid w:val="00B3477C"/>
    <w:rsid w:val="00B37C0E"/>
    <w:rsid w:val="00B454CA"/>
    <w:rsid w:val="00B55871"/>
    <w:rsid w:val="00B565EB"/>
    <w:rsid w:val="00B614B1"/>
    <w:rsid w:val="00B74D02"/>
    <w:rsid w:val="00B807AF"/>
    <w:rsid w:val="00B90349"/>
    <w:rsid w:val="00BB5BF7"/>
    <w:rsid w:val="00BC6C4C"/>
    <w:rsid w:val="00BE027D"/>
    <w:rsid w:val="00BF3DB8"/>
    <w:rsid w:val="00BF533F"/>
    <w:rsid w:val="00C01946"/>
    <w:rsid w:val="00C12F1C"/>
    <w:rsid w:val="00C22264"/>
    <w:rsid w:val="00C231D9"/>
    <w:rsid w:val="00C26FF1"/>
    <w:rsid w:val="00C2754A"/>
    <w:rsid w:val="00C30CAE"/>
    <w:rsid w:val="00C7294C"/>
    <w:rsid w:val="00C7721B"/>
    <w:rsid w:val="00C80B64"/>
    <w:rsid w:val="00C825D9"/>
    <w:rsid w:val="00C82D66"/>
    <w:rsid w:val="00CA1496"/>
    <w:rsid w:val="00CA612B"/>
    <w:rsid w:val="00CA6A4E"/>
    <w:rsid w:val="00CB5BB7"/>
    <w:rsid w:val="00CC19EC"/>
    <w:rsid w:val="00CE0378"/>
    <w:rsid w:val="00CE5930"/>
    <w:rsid w:val="00CF740D"/>
    <w:rsid w:val="00D10F52"/>
    <w:rsid w:val="00D20260"/>
    <w:rsid w:val="00D32102"/>
    <w:rsid w:val="00D431FE"/>
    <w:rsid w:val="00D57726"/>
    <w:rsid w:val="00D679FB"/>
    <w:rsid w:val="00D77681"/>
    <w:rsid w:val="00DA6082"/>
    <w:rsid w:val="00DB79A4"/>
    <w:rsid w:val="00DC300E"/>
    <w:rsid w:val="00DC5920"/>
    <w:rsid w:val="00DD42C1"/>
    <w:rsid w:val="00DE6C5C"/>
    <w:rsid w:val="00DE79D1"/>
    <w:rsid w:val="00DF3719"/>
    <w:rsid w:val="00E05C6A"/>
    <w:rsid w:val="00E05E73"/>
    <w:rsid w:val="00E12E32"/>
    <w:rsid w:val="00E12E4B"/>
    <w:rsid w:val="00E245C7"/>
    <w:rsid w:val="00E307EE"/>
    <w:rsid w:val="00E30917"/>
    <w:rsid w:val="00E33A22"/>
    <w:rsid w:val="00E376DF"/>
    <w:rsid w:val="00E558DE"/>
    <w:rsid w:val="00E6055B"/>
    <w:rsid w:val="00E638E4"/>
    <w:rsid w:val="00E72EF6"/>
    <w:rsid w:val="00E73319"/>
    <w:rsid w:val="00E766DD"/>
    <w:rsid w:val="00E83142"/>
    <w:rsid w:val="00E87A23"/>
    <w:rsid w:val="00E96E93"/>
    <w:rsid w:val="00ED1474"/>
    <w:rsid w:val="00ED7098"/>
    <w:rsid w:val="00EE4858"/>
    <w:rsid w:val="00EE4A1A"/>
    <w:rsid w:val="00F172FB"/>
    <w:rsid w:val="00F17B6A"/>
    <w:rsid w:val="00F252F0"/>
    <w:rsid w:val="00F25CA4"/>
    <w:rsid w:val="00F3590F"/>
    <w:rsid w:val="00F66499"/>
    <w:rsid w:val="00F73EF2"/>
    <w:rsid w:val="00F8041E"/>
    <w:rsid w:val="00F863B5"/>
    <w:rsid w:val="00FD74B3"/>
    <w:rsid w:val="00FE15CE"/>
    <w:rsid w:val="09BE22D9"/>
    <w:rsid w:val="0F3C3954"/>
    <w:rsid w:val="10EB1B59"/>
    <w:rsid w:val="1A6353EE"/>
    <w:rsid w:val="27F84A8D"/>
    <w:rsid w:val="374F25A2"/>
    <w:rsid w:val="46916381"/>
    <w:rsid w:val="4EFE380D"/>
    <w:rsid w:val="52DC6BD6"/>
    <w:rsid w:val="53982C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qFormat="1" w:uiPriority="99" w:name="index 2"/>
    <w:lsdException w:qFormat="1" w:uiPriority="99" w:name="index 3"/>
    <w:lsdException w:qFormat="1" w:uiPriority="99" w:name="index 4"/>
    <w:lsdException w:qFormat="1" w:uiPriority="99" w:name="index 5"/>
    <w:lsdException w:qFormat="1" w:uiPriority="99" w:name="index 6"/>
    <w:lsdException w:qFormat="1" w:uiPriority="99" w:name="index 7"/>
    <w:lsdException w:qFormat="1" w:uiPriority="99" w:name="index 8"/>
    <w:lsdException w:qFormat="1" w:uiPriority="99" w:name="index 9"/>
    <w:lsdException w:qFormat="1" w:unhideWhenUsed="0" w:uiPriority="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iPriority="99" w:name="Normal Indent"/>
    <w:lsdException w:qFormat="1" w:unhideWhenUsed="0" w:uiPriority="0" w:name="footnote text"/>
    <w:lsdException w:qFormat="1" w:uiPriority="99" w:name="annotation text"/>
    <w:lsdException w:qFormat="1" w:unhideWhenUsed="0" w:uiPriority="0" w:name="header"/>
    <w:lsdException w:qFormat="1" w:unhideWhenUsed="0" w:uiPriority="0" w:name="footer"/>
    <w:lsdException w:qFormat="1" w:uiPriority="99" w:name="index heading"/>
    <w:lsdException w:qFormat="1" w:unhideWhenUsed="0" w:uiPriority="0" w:semiHidden="0" w:name="caption"/>
    <w:lsdException w:qFormat="1" w:unhideWhenUsed="0" w:uiPriority="0" w:name="table of figures"/>
    <w:lsdException w:qFormat="1" w:uiPriority="99" w:name="envelope address"/>
    <w:lsdException w:qFormat="1" w:uiPriority="99" w:name="envelope return"/>
    <w:lsdException w:qFormat="1" w:unhideWhenUsed="0" w:uiPriority="0" w:name="footnote reference"/>
    <w:lsdException w:qFormat="1" w:uiPriority="99" w:name="annotation reference"/>
    <w:lsdException w:qFormat="1" w:uiPriority="99" w:name="line number"/>
    <w:lsdException w:qFormat="1" w:unhideWhenUsed="0" w:uiPriority="0" w:name="page number"/>
    <w:lsdException w:qFormat="1" w:uiPriority="99" w:name="endnote reference"/>
    <w:lsdException w:qFormat="1" w:uiPriority="99" w:name="endnote text"/>
    <w:lsdException w:qFormat="1" w:uiPriority="99" w:name="table of authorities"/>
    <w:lsdException w:qFormat="1" w:uiPriority="99" w:name="macro"/>
    <w:lsdException w:qFormat="1" w:uiPriority="99" w:name="toa heading"/>
    <w:lsdException w:qFormat="1" w:uiPriority="99" w:name="List"/>
    <w:lsdException w:qFormat="1" w:uiPriority="99" w:name="List Bullet"/>
    <w:lsdException w:qFormat="1" w:uiPriority="99" w:name="List Number"/>
    <w:lsdException w:qFormat="1" w:uiPriority="99" w:name="List 2"/>
    <w:lsdException w:qFormat="1" w:uiPriority="99" w:name="List 3"/>
    <w:lsdException w:qFormat="1" w:uiPriority="99" w:name="List 4"/>
    <w:lsdException w:qFormat="1" w:uiPriority="99" w:name="List 5"/>
    <w:lsdException w:qFormat="1" w:uiPriority="99" w:name="List Bullet 2"/>
    <w:lsdException w:qFormat="1" w:uiPriority="99" w:name="List Bullet 3"/>
    <w:lsdException w:qFormat="1" w:uiPriority="99" w:name="List Bullet 4"/>
    <w:lsdException w:qFormat="1" w:uiPriority="99" w:name="List Bullet 5"/>
    <w:lsdException w:qFormat="1" w:uiPriority="99" w:name="List Number 2"/>
    <w:lsdException w:qFormat="1" w:uiPriority="99" w:name="List Number 3"/>
    <w:lsdException w:qFormat="1" w:uiPriority="99" w:name="List Number 4"/>
    <w:lsdException w:qFormat="1" w:uiPriority="99" w:name="List Number 5"/>
    <w:lsdException w:qFormat="1" w:unhideWhenUsed="0" w:uiPriority="0" w:semiHidden="0" w:name="Title"/>
    <w:lsdException w:qFormat="1" w:uiPriority="99" w:name="Closing"/>
    <w:lsdException w:qFormat="1" w:uiPriority="99" w:name="Signature"/>
    <w:lsdException w:qFormat="1" w:uiPriority="1" w:name="Default Paragraph Font"/>
    <w:lsdException w:qFormat="1" w:uiPriority="99" w:name="Body Text"/>
    <w:lsdException w:qFormat="1" w:uiPriority="99" w:name="Body Text Indent"/>
    <w:lsdException w:qFormat="1" w:uiPriority="99" w:name="List Continue"/>
    <w:lsdException w:qFormat="1" w:uiPriority="99" w:name="List Continue 2"/>
    <w:lsdException w:qFormat="1" w:uiPriority="99" w:name="List Continue 3"/>
    <w:lsdException w:qFormat="1" w:uiPriority="99" w:name="List Continue 4"/>
    <w:lsdException w:qFormat="1" w:uiPriority="99" w:name="List Continue 5"/>
    <w:lsdException w:qFormat="1" w:uiPriority="99" w:name="Message Header"/>
    <w:lsdException w:qFormat="1" w:unhideWhenUsed="0" w:uiPriority="11" w:semiHidden="0" w:name="Subtitle"/>
    <w:lsdException w:qFormat="1" w:uiPriority="99" w:name="Salutation"/>
    <w:lsdException w:qFormat="1" w:uiPriority="99" w:name="Date"/>
    <w:lsdException w:qFormat="1" w:uiPriority="99" w:name="Body Text First Indent"/>
    <w:lsdException w:qFormat="1" w:uiPriority="99" w:name="Body Text First Indent 2"/>
    <w:lsdException w:qFormat="1" w:uiPriority="99" w:name="Note Heading"/>
    <w:lsdException w:qFormat="1" w:uiPriority="99" w:name="Body Text 2"/>
    <w:lsdException w:qFormat="1" w:uiPriority="99" w:name="Body Text 3"/>
    <w:lsdException w:qFormat="1" w:uiPriority="99" w:name="Body Text Indent 2"/>
    <w:lsdException w:qFormat="1" w:uiPriority="99" w:name="Body Text Indent 3"/>
    <w:lsdException w:qFormat="1"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99" w:name="Plain Text"/>
    <w:lsdException w:qFormat="1" w:uiPriority="99" w:name="E-mail Signature"/>
    <w:lsdException w:qFormat="1" w:uiPriority="99" w:name="Normal (Web)"/>
    <w:lsdException w:qFormat="1" w:unhideWhenUsed="0" w:uiPriority="0" w:name="HTML Acronym"/>
    <w:lsdException w:qFormat="1" w:unhideWhenUsed="0" w:uiPriority="0" w:name="HTML Address"/>
    <w:lsdException w:qFormat="1" w:unhideWhenUsed="0" w:uiPriority="0" w:name="HTML Cite"/>
    <w:lsdException w:qFormat="1" w:unhideWhenUsed="0" w:uiPriority="0" w:name="HTML Code"/>
    <w:lsdException w:qFormat="1" w:unhideWhenUsed="0" w:uiPriority="0" w:name="HTML Definition"/>
    <w:lsdException w:qFormat="1" w:unhideWhenUsed="0" w:uiPriority="0" w:name="HTML Keyboard"/>
    <w:lsdException w:qFormat="1" w:unhideWhenUsed="0" w:uiPriority="0" w:name="HTML Preformatted"/>
    <w:lsdException w:qFormat="1" w:unhideWhenUsed="0" w:uiPriority="0" w:name="HTML Sample"/>
    <w:lsdException w:qFormat="1" w:unhideWhenUsed="0" w:uiPriority="0" w:name="HTML Typewriter"/>
    <w:lsdException w:qFormat="1" w:unhideWhenUsed="0" w:uiPriority="0" w:name="HTML Variable"/>
    <w:lsdException w:qFormat="1" w:uiPriority="99" w:name="Normal Table"/>
    <w:lsdException w:qFormat="1" w:uiPriority="99" w:name="annotation subject"/>
    <w:lsdException w:qFormat="1" w:uiPriority="99" w:name="Table Simple 1"/>
    <w:lsdException w:qFormat="1" w:uiPriority="99" w:name="Table Simple 2"/>
    <w:lsdException w:qFormat="1" w:uiPriority="99" w:name="Table Simple 3"/>
    <w:lsdException w:qFormat="1" w:uiPriority="99" w:name="Table Classic 1"/>
    <w:lsdException w:qFormat="1" w:uiPriority="99" w:name="Table Classic 2"/>
    <w:lsdException w:qFormat="1" w:uiPriority="99" w:name="Table Classic 3"/>
    <w:lsdException w:qFormat="1" w:uiPriority="99" w:name="Table Classic 4"/>
    <w:lsdException w:qFormat="1" w:uiPriority="99" w:name="Table Colorful 1"/>
    <w:lsdException w:qFormat="1" w:uiPriority="99" w:name="Table Colorful 2"/>
    <w:lsdException w:qFormat="1" w:uiPriority="99" w:name="Table Colorful 3"/>
    <w:lsdException w:qFormat="1" w:uiPriority="99" w:name="Table Columns 1"/>
    <w:lsdException w:qFormat="1" w:uiPriority="99" w:name="Table Columns 2"/>
    <w:lsdException w:qFormat="1" w:uiPriority="99" w:name="Table Columns 3"/>
    <w:lsdException w:qFormat="1" w:uiPriority="99" w:name="Table Columns 4"/>
    <w:lsdException w:qFormat="1" w:uiPriority="99" w:name="Table Columns 5"/>
    <w:lsdException w:qFormat="1" w:uiPriority="99" w:name="Table Grid 1"/>
    <w:lsdException w:qFormat="1" w:uiPriority="99" w:name="Table Grid 2"/>
    <w:lsdException w:qFormat="1" w:uiPriority="99" w:name="Table Grid 3"/>
    <w:lsdException w:qFormat="1" w:uiPriority="99" w:name="Table Grid 4"/>
    <w:lsdException w:qFormat="1" w:uiPriority="99" w:name="Table Grid 5"/>
    <w:lsdException w:qFormat="1" w:uiPriority="99" w:name="Table Grid 6"/>
    <w:lsdException w:qFormat="1" w:uiPriority="99" w:name="Table Grid 7"/>
    <w:lsdException w:qFormat="1" w:uiPriority="99" w:name="Table Grid 8"/>
    <w:lsdException w:qFormat="1" w:uiPriority="99" w:name="Table List 1"/>
    <w:lsdException w:qFormat="1" w:uiPriority="99" w:name="Table List 2"/>
    <w:lsdException w:qFormat="1" w:uiPriority="99" w:name="Table List 3"/>
    <w:lsdException w:qFormat="1" w:uiPriority="99" w:name="Table List 4"/>
    <w:lsdException w:qFormat="1" w:uiPriority="99" w:name="Table List 5"/>
    <w:lsdException w:qFormat="1" w:uiPriority="99" w:name="Table List 6"/>
    <w:lsdException w:qFormat="1" w:uiPriority="99" w:name="Table List 7"/>
    <w:lsdException w:qFormat="1" w:uiPriority="99" w:name="Table List 8"/>
    <w:lsdException w:qFormat="1" w:uiPriority="99" w:name="Table 3D effects 1"/>
    <w:lsdException w:qFormat="1" w:uiPriority="99" w:name="Table 3D effects 2"/>
    <w:lsdException w:qFormat="1" w:uiPriority="99" w:name="Table 3D effects 3"/>
    <w:lsdException w:qFormat="1" w:uiPriority="99" w:name="Table Contemporary"/>
    <w:lsdException w:qFormat="1" w:uiPriority="99" w:name="Table Elegant"/>
    <w:lsdException w:qFormat="1" w:uiPriority="99" w:name="Table Professional"/>
    <w:lsdException w:qFormat="1" w:uiPriority="99" w:name="Table Subtle 1"/>
    <w:lsdException w:qFormat="1" w:uiPriority="99" w:name="Table Subtle 2"/>
    <w:lsdException w:qFormat="1" w:uiPriority="99" w:name="Table Web 1"/>
    <w:lsdException w:qFormat="1" w:uiPriority="99" w:name="Table Web 2"/>
    <w:lsdException w:qFormat="1" w:uiPriority="99" w:name="Table Web 3"/>
    <w:lsdException w:qFormat="1" w:uiPriority="99" w:name="Balloon Text"/>
    <w:lsdException w:qFormat="1" w:unhideWhenUsed="0" w:uiPriority="59" w:semiHidden="0" w:name="Table Grid"/>
    <w:lsdException w:qFormat="1" w:uiPriority="99" w:name="Table Theme"/>
    <w:lsdException w:qFormat="1" w:unhideWhenUsed="0" w:uiPriority="99" w:name="Placeholder Text"/>
    <w:lsdException w:qFormat="1" w:unhideWhenUsed="0" w:uiPriority="1" w:semiHidden="0" w:name="No Spacing"/>
    <w:lsdException w:qFormat="1" w:uiPriority="60" w:name="Light Shading"/>
    <w:lsdException w:qFormat="1" w:uiPriority="61" w:name="Light List"/>
    <w:lsdException w:qFormat="1" w:uiPriority="62" w:name="Light Grid"/>
    <w:lsdException w:qFormat="1" w:uiPriority="63" w:name="Medium Shading 1"/>
    <w:lsdException w:qFormat="1" w:uiPriority="64" w:name="Medium Shading 2"/>
    <w:lsdException w:qFormat="1" w:uiPriority="65" w:name="Medium List 1"/>
    <w:lsdException w:qFormat="1" w:uiPriority="66" w:name="Medium List 2"/>
    <w:lsdException w:qFormat="1" w:uiPriority="67" w:name="Medium Grid 1"/>
    <w:lsdException w:qFormat="1" w:uiPriority="68" w:name="Medium Grid 2"/>
    <w:lsdException w:qFormat="1" w:uiPriority="69" w:name="Medium Grid 3"/>
    <w:lsdException w:qFormat="1" w:uiPriority="70" w:name="Dark List"/>
    <w:lsdException w:qFormat="1" w:uiPriority="71" w:name="Colorful Shading"/>
    <w:lsdException w:qFormat="1" w:uiPriority="72" w:name="Colorful List"/>
    <w:lsdException w:qFormat="1" w:uiPriority="73" w:name="Colorful Grid"/>
    <w:lsdException w:qFormat="1" w:uiPriority="60" w:name="Light Shading Accent 1"/>
    <w:lsdException w:qFormat="1" w:uiPriority="61" w:name="Light List Accent 1"/>
    <w:lsdException w:qFormat="1" w:uiPriority="62" w:name="Light Grid Accent 1"/>
    <w:lsdException w:qFormat="1" w:uiPriority="63" w:name="Medium Shading 1 Accent 1"/>
    <w:lsdException w:qFormat="1" w:uiPriority="64" w:name="Medium Shading 2 Accent 1"/>
    <w:lsdException w:qFormat="1" w:uiPriority="65"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iPriority="66" w:name="Medium List 2 Accent 1"/>
    <w:lsdException w:qFormat="1" w:uiPriority="67" w:name="Medium Grid 1 Accent 1"/>
    <w:lsdException w:qFormat="1" w:uiPriority="68" w:name="Medium Grid 2 Accent 1"/>
    <w:lsdException w:qFormat="1" w:uiPriority="69" w:name="Medium Grid 3 Accent 1"/>
    <w:lsdException w:qFormat="1" w:uiPriority="70" w:name="Dark List Accent 1"/>
    <w:lsdException w:qFormat="1" w:uiPriority="71" w:name="Colorful Shading Accent 1"/>
    <w:lsdException w:qFormat="1" w:uiPriority="72" w:name="Colorful List Accent 1"/>
    <w:lsdException w:qFormat="1" w:uiPriority="73" w:name="Colorful Grid Accent 1"/>
    <w:lsdException w:qFormat="1" w:uiPriority="60" w:name="Light Shading Accent 2"/>
    <w:lsdException w:qFormat="1" w:uiPriority="61" w:name="Light List Accent 2"/>
    <w:lsdException w:qFormat="1" w:uiPriority="62" w:name="Light Grid Accent 2"/>
    <w:lsdException w:qFormat="1" w:uiPriority="63" w:name="Medium Shading 1 Accent 2"/>
    <w:lsdException w:qFormat="1" w:uiPriority="64" w:name="Medium Shading 2 Accent 2"/>
    <w:lsdException w:qFormat="1" w:uiPriority="65" w:name="Medium List 1 Accent 2"/>
    <w:lsdException w:qFormat="1" w:uiPriority="66" w:name="Medium List 2 Accent 2"/>
    <w:lsdException w:qFormat="1" w:uiPriority="67" w:name="Medium Grid 1 Accent 2"/>
    <w:lsdException w:qFormat="1" w:uiPriority="68" w:name="Medium Grid 2 Accent 2"/>
    <w:lsdException w:qFormat="1" w:uiPriority="69" w:name="Medium Grid 3 Accent 2"/>
    <w:lsdException w:qFormat="1" w:uiPriority="70" w:name="Dark List Accent 2"/>
    <w:lsdException w:qFormat="1" w:uiPriority="71" w:name="Colorful Shading Accent 2"/>
    <w:lsdException w:qFormat="1" w:uiPriority="72" w:name="Colorful List Accent 2"/>
    <w:lsdException w:qFormat="1" w:uiPriority="73" w:name="Colorful Grid Accent 2"/>
    <w:lsdException w:qFormat="1" w:uiPriority="60" w:name="Light Shading Accent 3"/>
    <w:lsdException w:qFormat="1" w:uiPriority="61" w:name="Light List Accent 3"/>
    <w:lsdException w:qFormat="1" w:uiPriority="62" w:name="Light Grid Accent 3"/>
    <w:lsdException w:qFormat="1" w:uiPriority="63" w:name="Medium Shading 1 Accent 3"/>
    <w:lsdException w:qFormat="1" w:uiPriority="64" w:name="Medium Shading 2 Accent 3"/>
    <w:lsdException w:qFormat="1" w:uiPriority="65" w:name="Medium List 1 Accent 3"/>
    <w:lsdException w:qFormat="1" w:uiPriority="66" w:name="Medium List 2 Accent 3"/>
    <w:lsdException w:qFormat="1" w:uiPriority="67" w:name="Medium Grid 1 Accent 3"/>
    <w:lsdException w:qFormat="1" w:uiPriority="68" w:name="Medium Grid 2 Accent 3"/>
    <w:lsdException w:qFormat="1" w:uiPriority="69" w:name="Medium Grid 3 Accent 3"/>
    <w:lsdException w:qFormat="1" w:uiPriority="70" w:name="Dark List Accent 3"/>
    <w:lsdException w:qFormat="1" w:uiPriority="71" w:name="Colorful Shading Accent 3"/>
    <w:lsdException w:qFormat="1" w:uiPriority="72" w:name="Colorful List Accent 3"/>
    <w:lsdException w:qFormat="1" w:uiPriority="73" w:name="Colorful Grid Accent 3"/>
    <w:lsdException w:qFormat="1" w:uiPriority="60" w:name="Light Shading Accent 4"/>
    <w:lsdException w:qFormat="1" w:uiPriority="61" w:name="Light List Accent 4"/>
    <w:lsdException w:qFormat="1" w:uiPriority="62" w:name="Light Grid Accent 4"/>
    <w:lsdException w:qFormat="1" w:uiPriority="63" w:name="Medium Shading 1 Accent 4"/>
    <w:lsdException w:qFormat="1" w:uiPriority="64" w:name="Medium Shading 2 Accent 4"/>
    <w:lsdException w:qFormat="1" w:uiPriority="65" w:name="Medium List 1 Accent 4"/>
    <w:lsdException w:qFormat="1" w:uiPriority="66" w:name="Medium List 2 Accent 4"/>
    <w:lsdException w:qFormat="1" w:uiPriority="67" w:name="Medium Grid 1 Accent 4"/>
    <w:lsdException w:qFormat="1" w:uiPriority="68" w:name="Medium Grid 2 Accent 4"/>
    <w:lsdException w:qFormat="1" w:uiPriority="69" w:name="Medium Grid 3 Accent 4"/>
    <w:lsdException w:qFormat="1" w:uiPriority="70" w:name="Dark List Accent 4"/>
    <w:lsdException w:qFormat="1" w:uiPriority="71" w:name="Colorful Shading Accent 4"/>
    <w:lsdException w:qFormat="1" w:uiPriority="72" w:name="Colorful List Accent 4"/>
    <w:lsdException w:qFormat="1" w:uiPriority="73" w:name="Colorful Grid Accent 4"/>
    <w:lsdException w:qFormat="1" w:uiPriority="60" w:name="Light Shading Accent 5"/>
    <w:lsdException w:qFormat="1" w:uiPriority="61" w:name="Light List Accent 5"/>
    <w:lsdException w:qFormat="1" w:uiPriority="62" w:name="Light Grid Accent 5"/>
    <w:lsdException w:qFormat="1" w:uiPriority="63" w:name="Medium Shading 1 Accent 5"/>
    <w:lsdException w:qFormat="1" w:uiPriority="64" w:name="Medium Shading 2 Accent 5"/>
    <w:lsdException w:qFormat="1" w:uiPriority="65" w:name="Medium List 1 Accent 5"/>
    <w:lsdException w:qFormat="1" w:uiPriority="66" w:name="Medium List 2 Accent 5"/>
    <w:lsdException w:qFormat="1" w:uiPriority="67" w:name="Medium Grid 1 Accent 5"/>
    <w:lsdException w:qFormat="1" w:uiPriority="68" w:name="Medium Grid 2 Accent 5"/>
    <w:lsdException w:qFormat="1" w:uiPriority="69" w:name="Medium Grid 3 Accent 5"/>
    <w:lsdException w:qFormat="1" w:uiPriority="70" w:name="Dark List Accent 5"/>
    <w:lsdException w:qFormat="1" w:uiPriority="71" w:name="Colorful Shading Accent 5"/>
    <w:lsdException w:qFormat="1" w:uiPriority="72" w:name="Colorful List Accent 5"/>
    <w:lsdException w:qFormat="1" w:uiPriority="73" w:name="Colorful Grid Accent 5"/>
    <w:lsdException w:qFormat="1" w:uiPriority="60" w:name="Light Shading Accent 6"/>
    <w:lsdException w:qFormat="1" w:uiPriority="61" w:name="Light List Accent 6"/>
    <w:lsdException w:qFormat="1" w:uiPriority="62" w:name="Light Grid Accent 6"/>
    <w:lsdException w:qFormat="1" w:uiPriority="63" w:name="Medium Shading 1 Accent 6"/>
    <w:lsdException w:qFormat="1" w:uiPriority="64" w:name="Medium Shading 2 Accent 6"/>
    <w:lsdException w:qFormat="1" w:uiPriority="65" w:name="Medium List 1 Accent 6"/>
    <w:lsdException w:qFormat="1" w:uiPriority="66" w:name="Medium List 2 Accent 6"/>
    <w:lsdException w:qFormat="1" w:uiPriority="67" w:name="Medium Grid 1 Accent 6"/>
    <w:lsdException w:qFormat="1" w:uiPriority="68" w:name="Medium Grid 2 Accent 6"/>
    <w:lsdException w:qFormat="1" w:uiPriority="69" w:name="Medium Grid 3 Accent 6"/>
    <w:lsdException w:qFormat="1" w:uiPriority="70" w:name="Dark List Accent 6"/>
    <w:lsdException w:qFormat="1" w:uiPriority="71" w:name="Colorful Shading Accent 6"/>
    <w:lsdException w:qFormat="1" w:uiPriority="72" w:name="Colorful List Accent 6"/>
    <w:lsdException w:qFormat="1" w:uiPriority="73"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qFormat/>
    <w:uiPriority w:val="0"/>
    <w:pPr>
      <w:keepNext/>
      <w:keepLines/>
      <w:spacing w:before="280" w:after="290" w:line="376" w:lineRule="auto"/>
      <w:outlineLvl w:val="4"/>
    </w:pPr>
    <w:rPr>
      <w:b/>
      <w:bCs/>
      <w:sz w:val="28"/>
      <w:szCs w:val="28"/>
    </w:rPr>
  </w:style>
  <w:style w:type="paragraph" w:styleId="8">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9">
    <w:name w:val="heading 7"/>
    <w:basedOn w:val="1"/>
    <w:next w:val="1"/>
    <w:qFormat/>
    <w:uiPriority w:val="0"/>
    <w:pPr>
      <w:keepNext/>
      <w:keepLines/>
      <w:spacing w:before="240" w:after="64" w:line="320" w:lineRule="auto"/>
      <w:outlineLvl w:val="6"/>
    </w:pPr>
    <w:rPr>
      <w:b/>
      <w:bCs/>
      <w:sz w:val="24"/>
    </w:rPr>
  </w:style>
  <w:style w:type="paragraph" w:styleId="10">
    <w:name w:val="heading 8"/>
    <w:basedOn w:val="1"/>
    <w:next w:val="1"/>
    <w:qFormat/>
    <w:uiPriority w:val="0"/>
    <w:pPr>
      <w:keepNext/>
      <w:keepLines/>
      <w:spacing w:before="240" w:after="64" w:line="320" w:lineRule="auto"/>
      <w:outlineLvl w:val="7"/>
    </w:pPr>
    <w:rPr>
      <w:rFonts w:ascii="Arial" w:hAnsi="Arial" w:eastAsia="黑体"/>
      <w:sz w:val="24"/>
    </w:rPr>
  </w:style>
  <w:style w:type="paragraph" w:styleId="11">
    <w:name w:val="heading 9"/>
    <w:basedOn w:val="1"/>
    <w:next w:val="1"/>
    <w:qFormat/>
    <w:uiPriority w:val="0"/>
    <w:pPr>
      <w:keepNext/>
      <w:keepLines/>
      <w:spacing w:before="240" w:after="64" w:line="320" w:lineRule="auto"/>
      <w:outlineLvl w:val="8"/>
    </w:pPr>
    <w:rPr>
      <w:rFonts w:ascii="Arial" w:hAnsi="Arial" w:eastAsia="黑体"/>
      <w:szCs w:val="21"/>
    </w:rPr>
  </w:style>
  <w:style w:type="character" w:default="1" w:styleId="231">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358"/>
    <w:semiHidden/>
    <w:unhideWhenUsed/>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semiHidden/>
    <w:unhideWhenUsed/>
    <w:qFormat/>
    <w:uiPriority w:val="99"/>
    <w:pPr>
      <w:ind w:left="100" w:leftChars="400" w:hanging="200" w:hangingChars="200"/>
      <w:contextualSpacing/>
    </w:pPr>
  </w:style>
  <w:style w:type="paragraph" w:styleId="13">
    <w:name w:val="toc 7"/>
    <w:basedOn w:val="14"/>
    <w:semiHidden/>
    <w:qFormat/>
    <w:uiPriority w:val="0"/>
    <w:pPr>
      <w:ind w:left="500" w:leftChars="500"/>
    </w:pPr>
  </w:style>
  <w:style w:type="paragraph" w:styleId="14">
    <w:name w:val="toc 6"/>
    <w:basedOn w:val="15"/>
    <w:semiHidden/>
    <w:qFormat/>
    <w:uiPriority w:val="0"/>
    <w:pPr>
      <w:ind w:left="400" w:leftChars="400"/>
    </w:pPr>
  </w:style>
  <w:style w:type="paragraph" w:styleId="15">
    <w:name w:val="toc 5"/>
    <w:basedOn w:val="16"/>
    <w:semiHidden/>
    <w:qFormat/>
    <w:uiPriority w:val="0"/>
    <w:pPr>
      <w:ind w:left="300" w:leftChars="300"/>
    </w:pPr>
  </w:style>
  <w:style w:type="paragraph" w:styleId="16">
    <w:name w:val="toc 4"/>
    <w:basedOn w:val="17"/>
    <w:semiHidden/>
    <w:qFormat/>
    <w:uiPriority w:val="0"/>
    <w:pPr>
      <w:ind w:left="200" w:leftChars="200"/>
    </w:pPr>
  </w:style>
  <w:style w:type="paragraph" w:styleId="17">
    <w:name w:val="toc 3"/>
    <w:basedOn w:val="18"/>
    <w:semiHidden/>
    <w:qFormat/>
    <w:uiPriority w:val="0"/>
    <w:pPr>
      <w:ind w:left="100" w:leftChars="100"/>
    </w:pPr>
  </w:style>
  <w:style w:type="paragraph" w:styleId="18">
    <w:name w:val="toc 2"/>
    <w:basedOn w:val="19"/>
    <w:qFormat/>
    <w:uiPriority w:val="39"/>
  </w:style>
  <w:style w:type="paragraph" w:styleId="19">
    <w:name w:val="toc 1"/>
    <w:semiHidden/>
    <w:qFormat/>
    <w:uiPriority w:val="0"/>
    <w:pPr>
      <w:spacing w:before="25" w:beforeLines="25" w:after="25" w:afterLines="25"/>
      <w:jc w:val="both"/>
    </w:pPr>
    <w:rPr>
      <w:rFonts w:ascii="宋体" w:hAnsi="Times New Roman" w:eastAsia="宋体" w:cs="Times New Roman"/>
      <w:sz w:val="21"/>
      <w:lang w:val="en-US" w:eastAsia="zh-CN" w:bidi="ar-SA"/>
    </w:rPr>
  </w:style>
  <w:style w:type="paragraph" w:styleId="20">
    <w:name w:val="List Number 2"/>
    <w:basedOn w:val="1"/>
    <w:semiHidden/>
    <w:unhideWhenUsed/>
    <w:qFormat/>
    <w:uiPriority w:val="99"/>
    <w:pPr>
      <w:numPr>
        <w:ilvl w:val="0"/>
        <w:numId w:val="1"/>
      </w:numPr>
      <w:contextualSpacing/>
    </w:pPr>
  </w:style>
  <w:style w:type="paragraph" w:styleId="21">
    <w:name w:val="table of authorities"/>
    <w:basedOn w:val="1"/>
    <w:next w:val="1"/>
    <w:semiHidden/>
    <w:unhideWhenUsed/>
    <w:qFormat/>
    <w:uiPriority w:val="99"/>
    <w:pPr>
      <w:ind w:left="420" w:leftChars="200"/>
    </w:pPr>
  </w:style>
  <w:style w:type="paragraph" w:styleId="22">
    <w:name w:val="Note Heading"/>
    <w:basedOn w:val="1"/>
    <w:next w:val="1"/>
    <w:link w:val="490"/>
    <w:semiHidden/>
    <w:unhideWhenUsed/>
    <w:qFormat/>
    <w:uiPriority w:val="99"/>
    <w:pPr>
      <w:jc w:val="center"/>
    </w:pPr>
  </w:style>
  <w:style w:type="paragraph" w:styleId="23">
    <w:name w:val="List Bullet 4"/>
    <w:basedOn w:val="1"/>
    <w:semiHidden/>
    <w:unhideWhenUsed/>
    <w:qFormat/>
    <w:uiPriority w:val="99"/>
    <w:pPr>
      <w:numPr>
        <w:ilvl w:val="0"/>
        <w:numId w:val="2"/>
      </w:numPr>
      <w:contextualSpacing/>
    </w:pPr>
  </w:style>
  <w:style w:type="paragraph" w:styleId="24">
    <w:name w:val="index 8"/>
    <w:basedOn w:val="1"/>
    <w:next w:val="1"/>
    <w:semiHidden/>
    <w:unhideWhenUsed/>
    <w:qFormat/>
    <w:uiPriority w:val="99"/>
    <w:pPr>
      <w:ind w:left="1400" w:leftChars="1400"/>
    </w:pPr>
  </w:style>
  <w:style w:type="paragraph" w:styleId="25">
    <w:name w:val="E-mail Signature"/>
    <w:basedOn w:val="1"/>
    <w:link w:val="356"/>
    <w:semiHidden/>
    <w:unhideWhenUsed/>
    <w:qFormat/>
    <w:uiPriority w:val="99"/>
  </w:style>
  <w:style w:type="paragraph" w:styleId="26">
    <w:name w:val="List Number"/>
    <w:basedOn w:val="1"/>
    <w:semiHidden/>
    <w:unhideWhenUsed/>
    <w:qFormat/>
    <w:uiPriority w:val="99"/>
    <w:pPr>
      <w:numPr>
        <w:ilvl w:val="0"/>
        <w:numId w:val="3"/>
      </w:numPr>
      <w:contextualSpacing/>
    </w:pPr>
  </w:style>
  <w:style w:type="paragraph" w:styleId="27">
    <w:name w:val="Normal Indent"/>
    <w:basedOn w:val="1"/>
    <w:semiHidden/>
    <w:unhideWhenUsed/>
    <w:qFormat/>
    <w:uiPriority w:val="99"/>
    <w:pPr>
      <w:ind w:firstLine="420" w:firstLineChars="200"/>
    </w:pPr>
  </w:style>
  <w:style w:type="paragraph" w:styleId="28">
    <w:name w:val="caption"/>
    <w:basedOn w:val="1"/>
    <w:next w:val="1"/>
    <w:qFormat/>
    <w:uiPriority w:val="0"/>
    <w:rPr>
      <w:rFonts w:ascii="宋体" w:hAnsi="Arial" w:cs="Arial"/>
      <w:szCs w:val="20"/>
    </w:rPr>
  </w:style>
  <w:style w:type="paragraph" w:styleId="29">
    <w:name w:val="index 5"/>
    <w:basedOn w:val="1"/>
    <w:next w:val="1"/>
    <w:semiHidden/>
    <w:unhideWhenUsed/>
    <w:qFormat/>
    <w:uiPriority w:val="99"/>
    <w:pPr>
      <w:ind w:left="800" w:leftChars="800"/>
    </w:pPr>
  </w:style>
  <w:style w:type="paragraph" w:styleId="30">
    <w:name w:val="List Bullet"/>
    <w:basedOn w:val="1"/>
    <w:semiHidden/>
    <w:unhideWhenUsed/>
    <w:qFormat/>
    <w:uiPriority w:val="99"/>
    <w:pPr>
      <w:numPr>
        <w:ilvl w:val="0"/>
        <w:numId w:val="4"/>
      </w:numPr>
      <w:contextualSpacing/>
    </w:pPr>
  </w:style>
  <w:style w:type="paragraph" w:styleId="31">
    <w:name w:val="envelope address"/>
    <w:basedOn w:val="1"/>
    <w:semiHidden/>
    <w:unhideWhenUsed/>
    <w:qFormat/>
    <w:uiPriority w:val="99"/>
    <w:pPr>
      <w:framePr w:w="7920" w:h="1980" w:hRule="exact" w:hSpace="180" w:wrap="auto" w:vAnchor="margin" w:hAnchor="page" w:xAlign="center" w:yAlign="bottom"/>
      <w:snapToGrid w:val="0"/>
      <w:ind w:left="100" w:leftChars="1400"/>
    </w:pPr>
    <w:rPr>
      <w:rFonts w:asciiTheme="majorHAnsi" w:hAnsiTheme="majorHAnsi" w:eastAsiaTheme="majorEastAsia" w:cstheme="majorBidi"/>
      <w:sz w:val="24"/>
    </w:rPr>
  </w:style>
  <w:style w:type="paragraph" w:styleId="32">
    <w:name w:val="Document Map"/>
    <w:basedOn w:val="1"/>
    <w:link w:val="472"/>
    <w:semiHidden/>
    <w:unhideWhenUsed/>
    <w:qFormat/>
    <w:uiPriority w:val="99"/>
    <w:rPr>
      <w:rFonts w:ascii="Microsoft YaHei UI" w:eastAsia="Microsoft YaHei UI"/>
      <w:sz w:val="18"/>
      <w:szCs w:val="18"/>
    </w:rPr>
  </w:style>
  <w:style w:type="paragraph" w:styleId="33">
    <w:name w:val="toa heading"/>
    <w:basedOn w:val="1"/>
    <w:next w:val="1"/>
    <w:semiHidden/>
    <w:unhideWhenUsed/>
    <w:qFormat/>
    <w:uiPriority w:val="99"/>
    <w:pPr>
      <w:spacing w:before="120"/>
    </w:pPr>
    <w:rPr>
      <w:rFonts w:asciiTheme="majorHAnsi" w:hAnsiTheme="majorHAnsi" w:cstheme="majorBidi"/>
      <w:sz w:val="24"/>
    </w:rPr>
  </w:style>
  <w:style w:type="paragraph" w:styleId="34">
    <w:name w:val="annotation text"/>
    <w:basedOn w:val="1"/>
    <w:link w:val="366"/>
    <w:semiHidden/>
    <w:unhideWhenUsed/>
    <w:qFormat/>
    <w:uiPriority w:val="99"/>
    <w:pPr>
      <w:jc w:val="left"/>
    </w:pPr>
  </w:style>
  <w:style w:type="paragraph" w:styleId="35">
    <w:name w:val="index 6"/>
    <w:basedOn w:val="1"/>
    <w:next w:val="1"/>
    <w:semiHidden/>
    <w:unhideWhenUsed/>
    <w:qFormat/>
    <w:uiPriority w:val="99"/>
    <w:pPr>
      <w:ind w:left="1000" w:leftChars="1000"/>
    </w:pPr>
  </w:style>
  <w:style w:type="paragraph" w:styleId="36">
    <w:name w:val="Salutation"/>
    <w:basedOn w:val="1"/>
    <w:next w:val="1"/>
    <w:link w:val="354"/>
    <w:semiHidden/>
    <w:unhideWhenUsed/>
    <w:qFormat/>
    <w:uiPriority w:val="99"/>
  </w:style>
  <w:style w:type="paragraph" w:styleId="37">
    <w:name w:val="Body Text 3"/>
    <w:basedOn w:val="1"/>
    <w:link w:val="487"/>
    <w:semiHidden/>
    <w:unhideWhenUsed/>
    <w:qFormat/>
    <w:uiPriority w:val="99"/>
    <w:pPr>
      <w:spacing w:after="120"/>
    </w:pPr>
    <w:rPr>
      <w:sz w:val="16"/>
      <w:szCs w:val="16"/>
    </w:rPr>
  </w:style>
  <w:style w:type="paragraph" w:styleId="38">
    <w:name w:val="Closing"/>
    <w:basedOn w:val="1"/>
    <w:link w:val="359"/>
    <w:semiHidden/>
    <w:unhideWhenUsed/>
    <w:qFormat/>
    <w:uiPriority w:val="99"/>
    <w:pPr>
      <w:ind w:left="100" w:leftChars="2100"/>
    </w:pPr>
  </w:style>
  <w:style w:type="paragraph" w:styleId="39">
    <w:name w:val="List Bullet 3"/>
    <w:basedOn w:val="1"/>
    <w:semiHidden/>
    <w:unhideWhenUsed/>
    <w:qFormat/>
    <w:uiPriority w:val="99"/>
    <w:pPr>
      <w:numPr>
        <w:ilvl w:val="0"/>
        <w:numId w:val="5"/>
      </w:numPr>
      <w:contextualSpacing/>
    </w:pPr>
  </w:style>
  <w:style w:type="paragraph" w:styleId="40">
    <w:name w:val="Body Text"/>
    <w:basedOn w:val="1"/>
    <w:link w:val="332"/>
    <w:semiHidden/>
    <w:unhideWhenUsed/>
    <w:qFormat/>
    <w:uiPriority w:val="99"/>
    <w:pPr>
      <w:spacing w:after="120"/>
    </w:pPr>
  </w:style>
  <w:style w:type="paragraph" w:styleId="41">
    <w:name w:val="Body Text Indent"/>
    <w:basedOn w:val="1"/>
    <w:link w:val="484"/>
    <w:semiHidden/>
    <w:unhideWhenUsed/>
    <w:qFormat/>
    <w:uiPriority w:val="99"/>
    <w:pPr>
      <w:spacing w:after="120"/>
      <w:ind w:left="420" w:leftChars="200"/>
    </w:pPr>
  </w:style>
  <w:style w:type="paragraph" w:styleId="42">
    <w:name w:val="List Number 3"/>
    <w:basedOn w:val="1"/>
    <w:semiHidden/>
    <w:unhideWhenUsed/>
    <w:qFormat/>
    <w:uiPriority w:val="99"/>
    <w:pPr>
      <w:numPr>
        <w:ilvl w:val="0"/>
        <w:numId w:val="6"/>
      </w:numPr>
      <w:contextualSpacing/>
    </w:pPr>
  </w:style>
  <w:style w:type="paragraph" w:styleId="43">
    <w:name w:val="List 2"/>
    <w:basedOn w:val="1"/>
    <w:semiHidden/>
    <w:unhideWhenUsed/>
    <w:qFormat/>
    <w:uiPriority w:val="99"/>
    <w:pPr>
      <w:ind w:left="100" w:leftChars="200" w:hanging="200" w:hangingChars="200"/>
      <w:contextualSpacing/>
    </w:pPr>
  </w:style>
  <w:style w:type="paragraph" w:styleId="44">
    <w:name w:val="List Continue"/>
    <w:basedOn w:val="1"/>
    <w:semiHidden/>
    <w:unhideWhenUsed/>
    <w:qFormat/>
    <w:uiPriority w:val="99"/>
    <w:pPr>
      <w:spacing w:after="120"/>
      <w:ind w:left="420" w:leftChars="200"/>
      <w:contextualSpacing/>
    </w:pPr>
  </w:style>
  <w:style w:type="paragraph" w:styleId="45">
    <w:name w:val="Block Text"/>
    <w:basedOn w:val="1"/>
    <w:semiHidden/>
    <w:unhideWhenUsed/>
    <w:qFormat/>
    <w:uiPriority w:val="99"/>
    <w:pPr>
      <w:spacing w:after="120"/>
      <w:ind w:left="1440" w:leftChars="700" w:right="1440" w:rightChars="700"/>
    </w:pPr>
  </w:style>
  <w:style w:type="paragraph" w:styleId="46">
    <w:name w:val="List Bullet 2"/>
    <w:basedOn w:val="1"/>
    <w:semiHidden/>
    <w:unhideWhenUsed/>
    <w:qFormat/>
    <w:uiPriority w:val="99"/>
    <w:pPr>
      <w:numPr>
        <w:ilvl w:val="0"/>
        <w:numId w:val="7"/>
      </w:numPr>
      <w:contextualSpacing/>
    </w:pPr>
  </w:style>
  <w:style w:type="paragraph" w:styleId="47">
    <w:name w:val="HTML Address"/>
    <w:basedOn w:val="1"/>
    <w:semiHidden/>
    <w:qFormat/>
    <w:uiPriority w:val="0"/>
    <w:rPr>
      <w:i/>
      <w:iCs/>
    </w:rPr>
  </w:style>
  <w:style w:type="paragraph" w:styleId="48">
    <w:name w:val="index 4"/>
    <w:basedOn w:val="1"/>
    <w:next w:val="1"/>
    <w:semiHidden/>
    <w:unhideWhenUsed/>
    <w:qFormat/>
    <w:uiPriority w:val="99"/>
    <w:pPr>
      <w:ind w:left="600" w:leftChars="600"/>
    </w:pPr>
  </w:style>
  <w:style w:type="paragraph" w:styleId="49">
    <w:name w:val="Plain Text"/>
    <w:basedOn w:val="1"/>
    <w:link w:val="355"/>
    <w:semiHidden/>
    <w:unhideWhenUsed/>
    <w:qFormat/>
    <w:uiPriority w:val="99"/>
    <w:rPr>
      <w:rFonts w:ascii="宋体" w:hAnsi="Courier New" w:cs="Courier New"/>
      <w:szCs w:val="21"/>
    </w:rPr>
  </w:style>
  <w:style w:type="paragraph" w:styleId="50">
    <w:name w:val="List Bullet 5"/>
    <w:basedOn w:val="1"/>
    <w:semiHidden/>
    <w:unhideWhenUsed/>
    <w:qFormat/>
    <w:uiPriority w:val="99"/>
    <w:pPr>
      <w:numPr>
        <w:ilvl w:val="0"/>
        <w:numId w:val="8"/>
      </w:numPr>
      <w:contextualSpacing/>
    </w:pPr>
  </w:style>
  <w:style w:type="paragraph" w:styleId="51">
    <w:name w:val="List Number 4"/>
    <w:basedOn w:val="1"/>
    <w:semiHidden/>
    <w:unhideWhenUsed/>
    <w:qFormat/>
    <w:uiPriority w:val="99"/>
    <w:pPr>
      <w:numPr>
        <w:ilvl w:val="0"/>
        <w:numId w:val="9"/>
      </w:numPr>
      <w:contextualSpacing/>
    </w:pPr>
  </w:style>
  <w:style w:type="paragraph" w:styleId="52">
    <w:name w:val="toc 8"/>
    <w:basedOn w:val="13"/>
    <w:semiHidden/>
    <w:qFormat/>
    <w:uiPriority w:val="0"/>
  </w:style>
  <w:style w:type="paragraph" w:styleId="53">
    <w:name w:val="index 3"/>
    <w:basedOn w:val="1"/>
    <w:next w:val="1"/>
    <w:semiHidden/>
    <w:unhideWhenUsed/>
    <w:qFormat/>
    <w:uiPriority w:val="99"/>
    <w:pPr>
      <w:ind w:left="400" w:leftChars="400"/>
    </w:pPr>
  </w:style>
  <w:style w:type="paragraph" w:styleId="54">
    <w:name w:val="Date"/>
    <w:basedOn w:val="1"/>
    <w:next w:val="1"/>
    <w:link w:val="418"/>
    <w:semiHidden/>
    <w:unhideWhenUsed/>
    <w:qFormat/>
    <w:uiPriority w:val="99"/>
    <w:pPr>
      <w:ind w:left="100" w:leftChars="2500"/>
    </w:pPr>
  </w:style>
  <w:style w:type="paragraph" w:styleId="55">
    <w:name w:val="Body Text Indent 2"/>
    <w:basedOn w:val="1"/>
    <w:link w:val="488"/>
    <w:semiHidden/>
    <w:unhideWhenUsed/>
    <w:qFormat/>
    <w:uiPriority w:val="99"/>
    <w:pPr>
      <w:spacing w:after="120" w:line="480" w:lineRule="auto"/>
      <w:ind w:left="420" w:leftChars="200"/>
    </w:pPr>
  </w:style>
  <w:style w:type="paragraph" w:styleId="56">
    <w:name w:val="endnote text"/>
    <w:basedOn w:val="1"/>
    <w:link w:val="471"/>
    <w:semiHidden/>
    <w:unhideWhenUsed/>
    <w:qFormat/>
    <w:uiPriority w:val="99"/>
    <w:pPr>
      <w:snapToGrid w:val="0"/>
      <w:jc w:val="left"/>
    </w:pPr>
  </w:style>
  <w:style w:type="paragraph" w:styleId="57">
    <w:name w:val="List Continue 5"/>
    <w:basedOn w:val="1"/>
    <w:semiHidden/>
    <w:unhideWhenUsed/>
    <w:qFormat/>
    <w:uiPriority w:val="99"/>
    <w:pPr>
      <w:spacing w:after="120"/>
      <w:ind w:left="2100" w:leftChars="1000"/>
      <w:contextualSpacing/>
    </w:pPr>
  </w:style>
  <w:style w:type="paragraph" w:styleId="58">
    <w:name w:val="Balloon Text"/>
    <w:basedOn w:val="1"/>
    <w:link w:val="365"/>
    <w:semiHidden/>
    <w:unhideWhenUsed/>
    <w:qFormat/>
    <w:uiPriority w:val="99"/>
    <w:rPr>
      <w:sz w:val="18"/>
      <w:szCs w:val="18"/>
    </w:rPr>
  </w:style>
  <w:style w:type="paragraph" w:styleId="59">
    <w:name w:val="footer"/>
    <w:basedOn w:val="1"/>
    <w:semiHidden/>
    <w:qFormat/>
    <w:uiPriority w:val="0"/>
    <w:pPr>
      <w:tabs>
        <w:tab w:val="center" w:pos="4153"/>
        <w:tab w:val="right" w:pos="8306"/>
      </w:tabs>
      <w:snapToGrid w:val="0"/>
      <w:jc w:val="right"/>
    </w:pPr>
    <w:rPr>
      <w:sz w:val="18"/>
      <w:szCs w:val="18"/>
    </w:rPr>
  </w:style>
  <w:style w:type="paragraph" w:styleId="60">
    <w:name w:val="envelope return"/>
    <w:basedOn w:val="1"/>
    <w:semiHidden/>
    <w:unhideWhenUsed/>
    <w:qFormat/>
    <w:uiPriority w:val="99"/>
    <w:pPr>
      <w:snapToGrid w:val="0"/>
    </w:pPr>
    <w:rPr>
      <w:rFonts w:asciiTheme="majorHAnsi" w:hAnsiTheme="majorHAnsi" w:eastAsiaTheme="majorEastAsia" w:cstheme="majorBidi"/>
    </w:rPr>
  </w:style>
  <w:style w:type="paragraph" w:styleId="61">
    <w:name w:val="header"/>
    <w:basedOn w:val="1"/>
    <w:semiHidden/>
    <w:qFormat/>
    <w:uiPriority w:val="0"/>
    <w:pPr>
      <w:pBdr>
        <w:bottom w:val="single" w:color="auto" w:sz="6" w:space="1"/>
      </w:pBdr>
      <w:tabs>
        <w:tab w:val="center" w:pos="4153"/>
        <w:tab w:val="right" w:pos="8306"/>
      </w:tabs>
      <w:snapToGrid w:val="0"/>
      <w:jc w:val="center"/>
    </w:pPr>
    <w:rPr>
      <w:sz w:val="18"/>
      <w:szCs w:val="18"/>
    </w:rPr>
  </w:style>
  <w:style w:type="paragraph" w:styleId="62">
    <w:name w:val="Signature"/>
    <w:basedOn w:val="1"/>
    <w:link w:val="368"/>
    <w:semiHidden/>
    <w:unhideWhenUsed/>
    <w:qFormat/>
    <w:uiPriority w:val="99"/>
    <w:pPr>
      <w:ind w:left="100" w:leftChars="2100"/>
    </w:pPr>
  </w:style>
  <w:style w:type="paragraph" w:styleId="63">
    <w:name w:val="List Continue 4"/>
    <w:basedOn w:val="1"/>
    <w:semiHidden/>
    <w:unhideWhenUsed/>
    <w:qFormat/>
    <w:uiPriority w:val="99"/>
    <w:pPr>
      <w:spacing w:after="120"/>
      <w:ind w:left="1680" w:leftChars="800"/>
      <w:contextualSpacing/>
    </w:pPr>
  </w:style>
  <w:style w:type="paragraph" w:styleId="64">
    <w:name w:val="index heading"/>
    <w:basedOn w:val="1"/>
    <w:next w:val="65"/>
    <w:semiHidden/>
    <w:unhideWhenUsed/>
    <w:qFormat/>
    <w:uiPriority w:val="99"/>
    <w:pPr>
      <w:spacing w:before="100" w:beforeLines="100" w:after="100" w:afterLines="100"/>
      <w:jc w:val="center"/>
    </w:pPr>
    <w:rPr>
      <w:rFonts w:eastAsia="黑体" w:asciiTheme="majorHAnsi" w:hAnsiTheme="majorHAnsi" w:cstheme="majorBidi"/>
      <w:bCs/>
    </w:rPr>
  </w:style>
  <w:style w:type="paragraph" w:styleId="65">
    <w:name w:val="index 1"/>
    <w:basedOn w:val="1"/>
    <w:next w:val="1"/>
    <w:semiHidden/>
    <w:unhideWhenUsed/>
    <w:uiPriority w:val="99"/>
    <w:rPr>
      <w:rFonts w:ascii="宋体" w:hAnsi="宋体"/>
    </w:rPr>
  </w:style>
  <w:style w:type="paragraph" w:styleId="66">
    <w:name w:val="Subtitle"/>
    <w:basedOn w:val="1"/>
    <w:next w:val="1"/>
    <w:link w:val="357"/>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67">
    <w:name w:val="List Number 5"/>
    <w:basedOn w:val="1"/>
    <w:semiHidden/>
    <w:unhideWhenUsed/>
    <w:qFormat/>
    <w:uiPriority w:val="99"/>
    <w:pPr>
      <w:numPr>
        <w:ilvl w:val="0"/>
        <w:numId w:val="10"/>
      </w:numPr>
      <w:contextualSpacing/>
    </w:pPr>
  </w:style>
  <w:style w:type="paragraph" w:styleId="68">
    <w:name w:val="List"/>
    <w:basedOn w:val="1"/>
    <w:semiHidden/>
    <w:unhideWhenUsed/>
    <w:qFormat/>
    <w:uiPriority w:val="99"/>
    <w:pPr>
      <w:ind w:left="200" w:hanging="200" w:hangingChars="200"/>
      <w:contextualSpacing/>
    </w:pPr>
  </w:style>
  <w:style w:type="paragraph" w:styleId="69">
    <w:name w:val="footnote text"/>
    <w:basedOn w:val="1"/>
    <w:semiHidden/>
    <w:qFormat/>
    <w:uiPriority w:val="0"/>
    <w:pPr>
      <w:snapToGrid w:val="0"/>
      <w:ind w:left="400" w:leftChars="200" w:hanging="200" w:hangingChars="200"/>
      <w:jc w:val="left"/>
    </w:pPr>
    <w:rPr>
      <w:sz w:val="18"/>
      <w:szCs w:val="18"/>
    </w:rPr>
  </w:style>
  <w:style w:type="paragraph" w:styleId="70">
    <w:name w:val="List 5"/>
    <w:basedOn w:val="1"/>
    <w:semiHidden/>
    <w:unhideWhenUsed/>
    <w:qFormat/>
    <w:uiPriority w:val="99"/>
    <w:pPr>
      <w:ind w:left="100" w:leftChars="800" w:hanging="200" w:hangingChars="200"/>
      <w:contextualSpacing/>
    </w:pPr>
  </w:style>
  <w:style w:type="paragraph" w:styleId="71">
    <w:name w:val="Body Text Indent 3"/>
    <w:basedOn w:val="1"/>
    <w:link w:val="489"/>
    <w:semiHidden/>
    <w:unhideWhenUsed/>
    <w:qFormat/>
    <w:uiPriority w:val="99"/>
    <w:pPr>
      <w:spacing w:after="120"/>
      <w:ind w:left="420" w:leftChars="200"/>
    </w:pPr>
    <w:rPr>
      <w:sz w:val="16"/>
      <w:szCs w:val="16"/>
    </w:rPr>
  </w:style>
  <w:style w:type="paragraph" w:styleId="72">
    <w:name w:val="index 7"/>
    <w:basedOn w:val="1"/>
    <w:next w:val="1"/>
    <w:semiHidden/>
    <w:unhideWhenUsed/>
    <w:qFormat/>
    <w:uiPriority w:val="99"/>
    <w:pPr>
      <w:ind w:left="1200" w:leftChars="1200"/>
    </w:pPr>
  </w:style>
  <w:style w:type="paragraph" w:styleId="73">
    <w:name w:val="index 9"/>
    <w:basedOn w:val="1"/>
    <w:next w:val="1"/>
    <w:semiHidden/>
    <w:unhideWhenUsed/>
    <w:qFormat/>
    <w:uiPriority w:val="99"/>
    <w:pPr>
      <w:ind w:left="1600" w:leftChars="1600"/>
    </w:pPr>
  </w:style>
  <w:style w:type="paragraph" w:styleId="74">
    <w:name w:val="table of figures"/>
    <w:basedOn w:val="1"/>
    <w:next w:val="1"/>
    <w:semiHidden/>
    <w:qFormat/>
    <w:uiPriority w:val="0"/>
  </w:style>
  <w:style w:type="paragraph" w:styleId="75">
    <w:name w:val="toc 9"/>
    <w:basedOn w:val="52"/>
    <w:semiHidden/>
    <w:qFormat/>
    <w:uiPriority w:val="0"/>
  </w:style>
  <w:style w:type="paragraph" w:styleId="76">
    <w:name w:val="Body Text 2"/>
    <w:basedOn w:val="1"/>
    <w:link w:val="486"/>
    <w:semiHidden/>
    <w:unhideWhenUsed/>
    <w:qFormat/>
    <w:uiPriority w:val="99"/>
    <w:pPr>
      <w:spacing w:after="120" w:line="480" w:lineRule="auto"/>
    </w:pPr>
  </w:style>
  <w:style w:type="paragraph" w:styleId="77">
    <w:name w:val="List 4"/>
    <w:basedOn w:val="1"/>
    <w:semiHidden/>
    <w:unhideWhenUsed/>
    <w:qFormat/>
    <w:uiPriority w:val="99"/>
    <w:pPr>
      <w:ind w:left="100" w:leftChars="600" w:hanging="200" w:hangingChars="200"/>
      <w:contextualSpacing/>
    </w:pPr>
  </w:style>
  <w:style w:type="paragraph" w:styleId="78">
    <w:name w:val="List Continue 2"/>
    <w:basedOn w:val="1"/>
    <w:semiHidden/>
    <w:unhideWhenUsed/>
    <w:qFormat/>
    <w:uiPriority w:val="99"/>
    <w:pPr>
      <w:spacing w:after="120"/>
      <w:ind w:left="840" w:leftChars="400"/>
      <w:contextualSpacing/>
    </w:pPr>
  </w:style>
  <w:style w:type="paragraph" w:styleId="79">
    <w:name w:val="Message Header"/>
    <w:basedOn w:val="1"/>
    <w:link w:val="479"/>
    <w:semiHidden/>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Theme="majorHAnsi" w:hAnsiTheme="majorHAnsi" w:eastAsiaTheme="majorEastAsia" w:cstheme="majorBidi"/>
      <w:sz w:val="24"/>
    </w:rPr>
  </w:style>
  <w:style w:type="paragraph" w:styleId="80">
    <w:name w:val="HTML Preformatted"/>
    <w:basedOn w:val="1"/>
    <w:semiHidden/>
    <w:qFormat/>
    <w:uiPriority w:val="0"/>
    <w:rPr>
      <w:rFonts w:ascii="Courier New" w:hAnsi="Courier New" w:cs="Courier New"/>
      <w:sz w:val="20"/>
      <w:szCs w:val="20"/>
    </w:rPr>
  </w:style>
  <w:style w:type="paragraph" w:styleId="81">
    <w:name w:val="Normal (Web)"/>
    <w:basedOn w:val="1"/>
    <w:semiHidden/>
    <w:unhideWhenUsed/>
    <w:qFormat/>
    <w:uiPriority w:val="99"/>
    <w:rPr>
      <w:sz w:val="24"/>
    </w:rPr>
  </w:style>
  <w:style w:type="paragraph" w:styleId="82">
    <w:name w:val="List Continue 3"/>
    <w:basedOn w:val="1"/>
    <w:semiHidden/>
    <w:unhideWhenUsed/>
    <w:qFormat/>
    <w:uiPriority w:val="99"/>
    <w:pPr>
      <w:spacing w:after="120"/>
      <w:ind w:left="1260" w:leftChars="600"/>
      <w:contextualSpacing/>
    </w:pPr>
  </w:style>
  <w:style w:type="paragraph" w:styleId="83">
    <w:name w:val="index 2"/>
    <w:basedOn w:val="1"/>
    <w:next w:val="1"/>
    <w:semiHidden/>
    <w:unhideWhenUsed/>
    <w:qFormat/>
    <w:uiPriority w:val="99"/>
    <w:pPr>
      <w:ind w:left="200" w:leftChars="200"/>
    </w:pPr>
  </w:style>
  <w:style w:type="paragraph" w:styleId="84">
    <w:name w:val="Title"/>
    <w:basedOn w:val="1"/>
    <w:qFormat/>
    <w:uiPriority w:val="0"/>
    <w:pPr>
      <w:spacing w:before="240" w:after="60"/>
      <w:jc w:val="center"/>
      <w:outlineLvl w:val="0"/>
    </w:pPr>
    <w:rPr>
      <w:rFonts w:ascii="Arial" w:hAnsi="Arial" w:cs="Arial"/>
      <w:b/>
      <w:bCs/>
      <w:sz w:val="32"/>
      <w:szCs w:val="32"/>
    </w:rPr>
  </w:style>
  <w:style w:type="paragraph" w:styleId="85">
    <w:name w:val="annotation subject"/>
    <w:basedOn w:val="34"/>
    <w:next w:val="34"/>
    <w:link w:val="367"/>
    <w:semiHidden/>
    <w:unhideWhenUsed/>
    <w:qFormat/>
    <w:uiPriority w:val="99"/>
    <w:rPr>
      <w:b/>
      <w:bCs/>
    </w:rPr>
  </w:style>
  <w:style w:type="paragraph" w:styleId="86">
    <w:name w:val="Body Text First Indent"/>
    <w:basedOn w:val="40"/>
    <w:link w:val="483"/>
    <w:semiHidden/>
    <w:unhideWhenUsed/>
    <w:qFormat/>
    <w:uiPriority w:val="99"/>
    <w:pPr>
      <w:ind w:firstLine="420" w:firstLineChars="100"/>
    </w:pPr>
  </w:style>
  <w:style w:type="paragraph" w:styleId="87">
    <w:name w:val="Body Text First Indent 2"/>
    <w:basedOn w:val="41"/>
    <w:link w:val="485"/>
    <w:semiHidden/>
    <w:unhideWhenUsed/>
    <w:qFormat/>
    <w:uiPriority w:val="99"/>
    <w:pPr>
      <w:ind w:firstLine="420" w:firstLineChars="200"/>
    </w:pPr>
  </w:style>
  <w:style w:type="table" w:styleId="89">
    <w:name w:val="Table Grid"/>
    <w:basedOn w:val="8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0">
    <w:name w:val="Table Theme"/>
    <w:basedOn w:val="88"/>
    <w:semiHidden/>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1">
    <w:name w:val="Table Colorful 1"/>
    <w:basedOn w:val="88"/>
    <w:semiHidden/>
    <w:unhideWhenUsed/>
    <w:qFormat/>
    <w:uiPriority w:val="99"/>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2">
    <w:name w:val="Table Colorful 2"/>
    <w:basedOn w:val="88"/>
    <w:semiHidden/>
    <w:unhideWhenUsed/>
    <w:qFormat/>
    <w:uiPriority w:val="99"/>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3">
    <w:name w:val="Table Colorful 3"/>
    <w:basedOn w:val="88"/>
    <w:semiHidden/>
    <w:unhideWhenUsed/>
    <w:qFormat/>
    <w:uiPriority w:val="99"/>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4">
    <w:name w:val="Table Elegant"/>
    <w:basedOn w:val="88"/>
    <w:semiHidden/>
    <w:unhideWhenUsed/>
    <w:qFormat/>
    <w:uiPriority w:val="99"/>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95">
    <w:name w:val="Table Classic 1"/>
    <w:basedOn w:val="88"/>
    <w:semiHidden/>
    <w:unhideWhenUsed/>
    <w:qFormat/>
    <w:uiPriority w:val="99"/>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6">
    <w:name w:val="Table Classic 2"/>
    <w:basedOn w:val="88"/>
    <w:semiHidden/>
    <w:unhideWhenUsed/>
    <w:qFormat/>
    <w:uiPriority w:val="99"/>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7">
    <w:name w:val="Table Classic 3"/>
    <w:basedOn w:val="88"/>
    <w:semiHidden/>
    <w:unhideWhenUsed/>
    <w:qFormat/>
    <w:uiPriority w:val="99"/>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8">
    <w:name w:val="Table Classic 4"/>
    <w:basedOn w:val="88"/>
    <w:semiHidden/>
    <w:unhideWhenUsed/>
    <w:qFormat/>
    <w:uiPriority w:val="99"/>
    <w:pPr>
      <w:widowControl w:val="0"/>
      <w:jc w:val="both"/>
    </w:p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99">
    <w:name w:val="Table Simple 1"/>
    <w:basedOn w:val="88"/>
    <w:semiHidden/>
    <w:unhideWhenUsed/>
    <w:qFormat/>
    <w:uiPriority w:val="99"/>
    <w:pPr>
      <w:widowControl w:val="0"/>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00">
    <w:name w:val="Table Simple 2"/>
    <w:basedOn w:val="88"/>
    <w:semiHidden/>
    <w:unhideWhenUsed/>
    <w:qFormat/>
    <w:uiPriority w:val="99"/>
    <w:pPr>
      <w:widowControl w:val="0"/>
      <w:jc w:val="both"/>
    </w:pPr>
    <w:tblPr>
      <w:tblCellMar>
        <w:top w:w="0" w:type="dxa"/>
        <w:left w:w="108" w:type="dxa"/>
        <w:bottom w:w="0" w:type="dxa"/>
        <w:right w:w="108" w:type="dxa"/>
      </w:tblCellMa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1">
    <w:name w:val="Table Simple 3"/>
    <w:basedOn w:val="88"/>
    <w:semiHidden/>
    <w:unhideWhenUsed/>
    <w:qFormat/>
    <w:uiPriority w:val="99"/>
    <w:pPr>
      <w:widowControl w:val="0"/>
      <w:jc w:val="both"/>
    </w:p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102">
    <w:name w:val="Table Subtle 1"/>
    <w:basedOn w:val="88"/>
    <w:semiHidden/>
    <w:unhideWhenUsed/>
    <w:qFormat/>
    <w:uiPriority w:val="99"/>
    <w:pPr>
      <w:widowControl w:val="0"/>
      <w:jc w:val="both"/>
    </w:pPr>
    <w:tblPr>
      <w:tblCellMar>
        <w:top w:w="0" w:type="dxa"/>
        <w:left w:w="108" w:type="dxa"/>
        <w:bottom w:w="0" w:type="dxa"/>
        <w:right w:w="108" w:type="dxa"/>
      </w:tblCellMar>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3">
    <w:name w:val="Table Subtle 2"/>
    <w:basedOn w:val="88"/>
    <w:semiHidden/>
    <w:unhideWhenUsed/>
    <w:qFormat/>
    <w:uiPriority w:val="99"/>
    <w:pPr>
      <w:widowControl w:val="0"/>
      <w:jc w:val="both"/>
    </w:pPr>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4">
    <w:name w:val="Table 3D effects 1"/>
    <w:basedOn w:val="88"/>
    <w:semiHidden/>
    <w:unhideWhenUsed/>
    <w:qFormat/>
    <w:uiPriority w:val="99"/>
    <w:pPr>
      <w:widowControl w:val="0"/>
      <w:jc w:val="both"/>
    </w:pPr>
    <w:tblPr>
      <w:tblCellMar>
        <w:top w:w="0" w:type="dxa"/>
        <w:left w:w="108" w:type="dxa"/>
        <w:bottom w:w="0" w:type="dxa"/>
        <w:right w:w="108" w:type="dxa"/>
      </w:tblCellMa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5">
    <w:name w:val="Table 3D effects 2"/>
    <w:basedOn w:val="88"/>
    <w:semiHidden/>
    <w:unhideWhenUsed/>
    <w:qFormat/>
    <w:uiPriority w:val="99"/>
    <w:pPr>
      <w:widowControl w:val="0"/>
      <w:jc w:val="both"/>
    </w:pPr>
    <w:tblPr>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6">
    <w:name w:val="Table 3D effects 3"/>
    <w:basedOn w:val="88"/>
    <w:semiHidden/>
    <w:unhideWhenUsed/>
    <w:qFormat/>
    <w:uiPriority w:val="99"/>
    <w:pPr>
      <w:widowControl w:val="0"/>
      <w:jc w:val="both"/>
    </w:pPr>
    <w:tblPr>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7">
    <w:name w:val="Table List 1"/>
    <w:basedOn w:val="88"/>
    <w:semiHidden/>
    <w:unhideWhenUsed/>
    <w:qFormat/>
    <w:uiPriority w:val="99"/>
    <w:pPr>
      <w:widowControl w:val="0"/>
      <w:jc w:val="both"/>
    </w:p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8">
    <w:name w:val="Table List 2"/>
    <w:basedOn w:val="88"/>
    <w:semiHidden/>
    <w:unhideWhenUsed/>
    <w:qFormat/>
    <w:uiPriority w:val="99"/>
    <w:pPr>
      <w:widowControl w:val="0"/>
      <w:jc w:val="both"/>
    </w:pPr>
    <w:tblPr>
      <w:tblBorders>
        <w:bottom w:val="single" w:color="808080" w:sz="12" w:space="0"/>
      </w:tblBorders>
      <w:tblCellMar>
        <w:top w:w="0" w:type="dxa"/>
        <w:left w:w="108" w:type="dxa"/>
        <w:bottom w:w="0" w:type="dxa"/>
        <w:right w:w="108" w:type="dxa"/>
      </w:tblCellMar>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9">
    <w:name w:val="Table List 3"/>
    <w:basedOn w:val="88"/>
    <w:semiHidden/>
    <w:unhideWhenUsed/>
    <w:qFormat/>
    <w:uiPriority w:val="99"/>
    <w:pPr>
      <w:widowControl w:val="0"/>
      <w:jc w:val="both"/>
    </w:p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10">
    <w:name w:val="Table List 4"/>
    <w:basedOn w:val="88"/>
    <w:semiHidden/>
    <w:unhideWhenUsed/>
    <w:qFormat/>
    <w:uiPriority w:val="99"/>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1">
    <w:name w:val="Table List 5"/>
    <w:basedOn w:val="88"/>
    <w:semiHidden/>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2">
    <w:name w:val="Table List 6"/>
    <w:basedOn w:val="88"/>
    <w:semiHidden/>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3">
    <w:name w:val="Table List 7"/>
    <w:basedOn w:val="88"/>
    <w:semiHidden/>
    <w:unhideWhenUsed/>
    <w:qFormat/>
    <w:uiPriority w:val="99"/>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4">
    <w:name w:val="Table List 8"/>
    <w:basedOn w:val="88"/>
    <w:semiHidden/>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5">
    <w:name w:val="Table Contemporary"/>
    <w:basedOn w:val="88"/>
    <w:semiHidden/>
    <w:unhideWhenUsed/>
    <w:qFormat/>
    <w:uiPriority w:val="99"/>
    <w:pPr>
      <w:widowControl w:val="0"/>
      <w:jc w:val="both"/>
    </w:p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6">
    <w:name w:val="Table Columns 1"/>
    <w:basedOn w:val="88"/>
    <w:semiHidden/>
    <w:unhideWhenUsed/>
    <w:qFormat/>
    <w:uiPriority w:val="99"/>
    <w:pPr>
      <w:widowControl w:val="0"/>
      <w:jc w:val="both"/>
    </w:pPr>
    <w:rPr>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7">
    <w:name w:val="Table Columns 2"/>
    <w:basedOn w:val="88"/>
    <w:semiHidden/>
    <w:unhideWhenUsed/>
    <w:qFormat/>
    <w:uiPriority w:val="99"/>
    <w:pPr>
      <w:widowControl w:val="0"/>
      <w:jc w:val="both"/>
    </w:pPr>
    <w:rPr>
      <w:b/>
      <w:bCs/>
    </w:rPr>
    <w:tblPr>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8">
    <w:name w:val="Table Columns 3"/>
    <w:basedOn w:val="88"/>
    <w:semiHidden/>
    <w:unhideWhenUsed/>
    <w:qFormat/>
    <w:uiPriority w:val="99"/>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19">
    <w:name w:val="Table Columns 4"/>
    <w:basedOn w:val="88"/>
    <w:semiHidden/>
    <w:unhideWhenUsed/>
    <w:qFormat/>
    <w:uiPriority w:val="99"/>
    <w:pPr>
      <w:widowControl w:val="0"/>
      <w:jc w:val="both"/>
    </w:pPr>
    <w:tblPr>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0">
    <w:name w:val="Table Columns 5"/>
    <w:basedOn w:val="88"/>
    <w:semiHidden/>
    <w:unhideWhenUsed/>
    <w:qFormat/>
    <w:uiPriority w:val="99"/>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1">
    <w:name w:val="Table Grid 1"/>
    <w:basedOn w:val="88"/>
    <w:semiHidden/>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2">
    <w:name w:val="Table Grid 2"/>
    <w:basedOn w:val="88"/>
    <w:semiHidden/>
    <w:unhideWhenUsed/>
    <w:qFormat/>
    <w:uiPriority w:val="99"/>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3">
    <w:name w:val="Table Grid 3"/>
    <w:basedOn w:val="88"/>
    <w:semiHidden/>
    <w:unhideWhenUsed/>
    <w:qFormat/>
    <w:uiPriority w:val="99"/>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4">
    <w:name w:val="Table Grid 4"/>
    <w:basedOn w:val="88"/>
    <w:semiHidden/>
    <w:unhideWhenUsed/>
    <w:qFormat/>
    <w:uiPriority w:val="99"/>
    <w:pPr>
      <w:widowControl w:val="0"/>
      <w:jc w:val="both"/>
    </w:p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5">
    <w:name w:val="Table Grid 5"/>
    <w:basedOn w:val="88"/>
    <w:semiHidden/>
    <w:unhideWhenUsed/>
    <w:qFormat/>
    <w:uiPriority w:val="99"/>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6">
    <w:name w:val="Table Grid 6"/>
    <w:basedOn w:val="88"/>
    <w:semiHidden/>
    <w:unhideWhenUsed/>
    <w:qFormat/>
    <w:uiPriority w:val="99"/>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7">
    <w:name w:val="Table Grid 7"/>
    <w:basedOn w:val="88"/>
    <w:semiHidden/>
    <w:unhideWhenUsed/>
    <w:qFormat/>
    <w:uiPriority w:val="99"/>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8">
    <w:name w:val="Table Grid 8"/>
    <w:basedOn w:val="88"/>
    <w:semiHidden/>
    <w:unhideWhenUsed/>
    <w:qFormat/>
    <w:uiPriority w:val="99"/>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9">
    <w:name w:val="Table Web 1"/>
    <w:basedOn w:val="88"/>
    <w:semiHidden/>
    <w:unhideWhenUsed/>
    <w:qFormat/>
    <w:uiPriority w:val="99"/>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0">
    <w:name w:val="Table Web 2"/>
    <w:basedOn w:val="88"/>
    <w:semiHidden/>
    <w:unhideWhenUsed/>
    <w:qFormat/>
    <w:uiPriority w:val="99"/>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1">
    <w:name w:val="Table Web 3"/>
    <w:basedOn w:val="88"/>
    <w:semiHidden/>
    <w:unhideWhenUsed/>
    <w:qFormat/>
    <w:uiPriority w:val="99"/>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2">
    <w:name w:val="Table Professional"/>
    <w:basedOn w:val="88"/>
    <w:semiHidden/>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133">
    <w:name w:val="Light Shading"/>
    <w:basedOn w:val="88"/>
    <w:semiHidden/>
    <w:unhideWhenUsed/>
    <w:qFormat/>
    <w:uiPriority w:val="60"/>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134">
    <w:name w:val="Light Shading Accent 1"/>
    <w:basedOn w:val="88"/>
    <w:semiHidden/>
    <w:unhideWhenUsed/>
    <w:qFormat/>
    <w:uiPriority w:val="60"/>
    <w:rPr>
      <w:color w:val="2E75B6" w:themeColor="accent1" w:themeShade="BF"/>
    </w:rPr>
    <w:tblPr>
      <w:tblBorders>
        <w:top w:val="single" w:color="5B9BD5" w:themeColor="accent1" w:sz="8" w:space="0"/>
        <w:bottom w:val="single" w:color="5B9BD5"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la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135">
    <w:name w:val="Light Shading Accent 2"/>
    <w:basedOn w:val="88"/>
    <w:semiHidden/>
    <w:unhideWhenUsed/>
    <w:qFormat/>
    <w:uiPriority w:val="60"/>
    <w:rPr>
      <w:color w:val="C55A11" w:themeColor="accent2" w:themeShade="BF"/>
    </w:rPr>
    <w:tblPr>
      <w:tblBorders>
        <w:top w:val="single" w:color="ED7D31" w:themeColor="accent2" w:sz="8" w:space="0"/>
        <w:bottom w:val="single" w:color="ED7D31"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ED7D31" w:themeColor="accent2" w:sz="8" w:space="0"/>
          <w:left w:val="nil"/>
          <w:bottom w:val="single" w:color="ED7D31" w:themeColor="accent2" w:sz="8" w:space="0"/>
          <w:right w:val="nil"/>
          <w:insideH w:val="nil"/>
          <w:insideV w:val="nil"/>
        </w:tcBorders>
      </w:tcPr>
    </w:tblStylePr>
    <w:tblStylePr w:type="lastRow">
      <w:pPr>
        <w:spacing w:before="0" w:after="0" w:line="240" w:lineRule="auto"/>
      </w:pPr>
      <w:rPr>
        <w:b/>
        <w:bCs/>
      </w:rPr>
      <w:tblPr/>
      <w:tcPr>
        <w:tcBorders>
          <w:top w:val="single" w:color="ED7D31" w:themeColor="accent2" w:sz="8" w:space="0"/>
          <w:left w:val="nil"/>
          <w:bottom w:val="single" w:color="ED7D31"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C" w:themeFill="accent2" w:themeFillTint="3F"/>
      </w:tcPr>
    </w:tblStylePr>
    <w:tblStylePr w:type="band1Horz">
      <w:tblPr/>
      <w:tcPr>
        <w:tcBorders>
          <w:left w:val="nil"/>
          <w:right w:val="nil"/>
          <w:insideH w:val="nil"/>
          <w:insideV w:val="nil"/>
        </w:tcBorders>
        <w:shd w:val="clear" w:color="auto" w:fill="FADECC" w:themeFill="accent2" w:themeFillTint="3F"/>
      </w:tcPr>
    </w:tblStylePr>
  </w:style>
  <w:style w:type="table" w:styleId="136">
    <w:name w:val="Light Shading Accent 3"/>
    <w:basedOn w:val="88"/>
    <w:semiHidden/>
    <w:unhideWhenUsed/>
    <w:qFormat/>
    <w:uiPriority w:val="60"/>
    <w:rPr>
      <w:color w:val="7C7C7C" w:themeColor="accent3" w:themeShade="BF"/>
    </w:rPr>
    <w:tblPr>
      <w:tblBorders>
        <w:top w:val="single" w:color="A5A5A5" w:themeColor="accent3" w:sz="8" w:space="0"/>
        <w:bottom w:val="single" w:color="A5A5A5"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la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137">
    <w:name w:val="Light Shading Accent 4"/>
    <w:basedOn w:val="88"/>
    <w:semiHidden/>
    <w:unhideWhenUsed/>
    <w:qFormat/>
    <w:uiPriority w:val="60"/>
    <w:rPr>
      <w:color w:val="BF9000" w:themeColor="accent4" w:themeShade="BF"/>
    </w:rPr>
    <w:tblPr>
      <w:tblBorders>
        <w:top w:val="single" w:color="FFC000" w:themeColor="accent4" w:sz="8" w:space="0"/>
        <w:bottom w:val="single" w:color="FFC000"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la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BF" w:themeFill="accent4" w:themeFillTint="3F"/>
      </w:tcPr>
    </w:tblStylePr>
    <w:tblStylePr w:type="band1Horz">
      <w:tblPr/>
      <w:tcPr>
        <w:tcBorders>
          <w:left w:val="nil"/>
          <w:right w:val="nil"/>
          <w:insideH w:val="nil"/>
          <w:insideV w:val="nil"/>
        </w:tcBorders>
        <w:shd w:val="clear" w:color="auto" w:fill="FFEFBF" w:themeFill="accent4" w:themeFillTint="3F"/>
      </w:tcPr>
    </w:tblStylePr>
  </w:style>
  <w:style w:type="table" w:styleId="138">
    <w:name w:val="Light Shading Accent 5"/>
    <w:basedOn w:val="88"/>
    <w:semiHidden/>
    <w:unhideWhenUsed/>
    <w:qFormat/>
    <w:uiPriority w:val="60"/>
    <w:rPr>
      <w:color w:val="2F5597" w:themeColor="accent5" w:themeShade="BF"/>
    </w:rPr>
    <w:tblPr>
      <w:tblBorders>
        <w:top w:val="single" w:color="4472C4" w:themeColor="accent5" w:sz="8" w:space="0"/>
        <w:bottom w:val="single" w:color="4472C4"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472C4" w:themeColor="accent5" w:sz="8" w:space="0"/>
          <w:left w:val="nil"/>
          <w:bottom w:val="single" w:color="4472C4" w:themeColor="accent5" w:sz="8" w:space="0"/>
          <w:right w:val="nil"/>
          <w:insideH w:val="nil"/>
          <w:insideV w:val="nil"/>
        </w:tcBorders>
      </w:tcPr>
    </w:tblStylePr>
    <w:tblStylePr w:type="lastRow">
      <w:pPr>
        <w:spacing w:before="0" w:after="0" w:line="240" w:lineRule="auto"/>
      </w:pPr>
      <w:rPr>
        <w:b/>
        <w:bCs/>
      </w:rPr>
      <w:tblPr/>
      <w:tcPr>
        <w:tcBorders>
          <w:top w:val="single" w:color="4472C4" w:themeColor="accent5" w:sz="8" w:space="0"/>
          <w:left w:val="nil"/>
          <w:bottom w:val="single" w:color="4472C4"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CF0" w:themeFill="accent5" w:themeFillTint="3F"/>
      </w:tcPr>
    </w:tblStylePr>
    <w:tblStylePr w:type="band1Horz">
      <w:tblPr/>
      <w:tcPr>
        <w:tcBorders>
          <w:left w:val="nil"/>
          <w:right w:val="nil"/>
          <w:insideH w:val="nil"/>
          <w:insideV w:val="nil"/>
        </w:tcBorders>
        <w:shd w:val="clear" w:color="auto" w:fill="D0DCF0" w:themeFill="accent5" w:themeFillTint="3F"/>
      </w:tcPr>
    </w:tblStylePr>
  </w:style>
  <w:style w:type="table" w:styleId="139">
    <w:name w:val="Light Shading Accent 6"/>
    <w:basedOn w:val="88"/>
    <w:semiHidden/>
    <w:unhideWhenUsed/>
    <w:qFormat/>
    <w:uiPriority w:val="60"/>
    <w:rPr>
      <w:color w:val="548235" w:themeColor="accent6" w:themeShade="BF"/>
    </w:rPr>
    <w:tblPr>
      <w:tblBorders>
        <w:top w:val="single" w:color="70AD47" w:themeColor="accent6" w:sz="8" w:space="0"/>
        <w:bottom w:val="single" w:color="70AD47"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70AD47" w:themeColor="accent6" w:sz="8" w:space="0"/>
          <w:left w:val="nil"/>
          <w:bottom w:val="single" w:color="70AD47" w:themeColor="accent6" w:sz="8" w:space="0"/>
          <w:right w:val="nil"/>
          <w:insideH w:val="nil"/>
          <w:insideV w:val="nil"/>
        </w:tcBorders>
      </w:tcPr>
    </w:tblStylePr>
    <w:tblStylePr w:type="lastRow">
      <w:pPr>
        <w:spacing w:before="0" w:after="0" w:line="240" w:lineRule="auto"/>
      </w:pPr>
      <w:rPr>
        <w:b/>
        <w:bCs/>
      </w:rPr>
      <w:tblPr/>
      <w:tcPr>
        <w:tcBorders>
          <w:top w:val="single" w:color="70AD47" w:themeColor="accent6" w:sz="8" w:space="0"/>
          <w:left w:val="nil"/>
          <w:bottom w:val="single" w:color="70AD47"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140">
    <w:name w:val="Light List"/>
    <w:basedOn w:val="88"/>
    <w:semiHidden/>
    <w:unhideWhenUsed/>
    <w:qFormat/>
    <w:uiPriority w:val="61"/>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141">
    <w:name w:val="Light List Accent 1"/>
    <w:basedOn w:val="88"/>
    <w:semiHidden/>
    <w:unhideWhenUsed/>
    <w:qFormat/>
    <w:uiPriority w:val="61"/>
    <w:tblPr>
      <w:tblBorders>
        <w:top w:val="single" w:color="5B9BD5" w:themeColor="accent1" w:sz="8" w:space="0"/>
        <w:left w:val="single" w:color="5B9BD5" w:themeColor="accent1" w:sz="8" w:space="0"/>
        <w:bottom w:val="single" w:color="5B9BD5" w:themeColor="accent1" w:sz="8" w:space="0"/>
        <w:right w:val="single" w:color="5B9BD5"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5B9BD5" w:themeFill="accent1"/>
      </w:tcPr>
    </w:tblStylePr>
    <w:tblStylePr w:type="lastRow">
      <w:pPr>
        <w:spacing w:before="0" w:after="0" w:line="240" w:lineRule="auto"/>
      </w:pPr>
      <w:rPr>
        <w:b/>
        <w:bCs/>
      </w:rPr>
      <w:tblPr/>
      <w:tcPr>
        <w:tcBorders>
          <w:top w:val="double" w:color="5B9BD5" w:themeColor="accent1" w:sz="6" w:space="0"/>
          <w:left w:val="single" w:color="5B9BD5" w:themeColor="accent1" w:sz="8" w:space="0"/>
          <w:bottom w:val="single" w:color="5B9BD5" w:themeColor="accent1" w:sz="8" w:space="0"/>
          <w:right w:val="single" w:color="5B9BD5" w:themeColor="accent1" w:sz="8" w:space="0"/>
        </w:tcBorders>
      </w:tcPr>
    </w:tblStylePr>
    <w:tblStylePr w:type="firstCol">
      <w:rPr>
        <w:b/>
        <w:bCs/>
      </w:rPr>
    </w:tblStylePr>
    <w:tblStylePr w:type="lastCol">
      <w:rPr>
        <w:b/>
        <w:bCs/>
      </w:rPr>
    </w:tblStylePr>
    <w:tblStylePr w:type="band1Vert">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tblStylePr w:type="band1Horz">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style>
  <w:style w:type="table" w:styleId="142">
    <w:name w:val="Light List Accent 2"/>
    <w:basedOn w:val="88"/>
    <w:semiHidden/>
    <w:unhideWhenUsed/>
    <w:qFormat/>
    <w:uiPriority w:val="61"/>
    <w:tblPr>
      <w:tblBorders>
        <w:top w:val="single" w:color="ED7D31" w:themeColor="accent2" w:sz="8" w:space="0"/>
        <w:left w:val="single" w:color="ED7D31" w:themeColor="accent2" w:sz="8" w:space="0"/>
        <w:bottom w:val="single" w:color="ED7D31" w:themeColor="accent2" w:sz="8" w:space="0"/>
        <w:right w:val="single" w:color="ED7D31"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ED7D31" w:themeFill="accent2"/>
      </w:tcPr>
    </w:tblStylePr>
    <w:tblStylePr w:type="lastRow">
      <w:pPr>
        <w:spacing w:before="0" w:after="0" w:line="240" w:lineRule="auto"/>
      </w:pPr>
      <w:rPr>
        <w:b/>
        <w:bCs/>
      </w:rPr>
      <w:tblPr/>
      <w:tcPr>
        <w:tcBorders>
          <w:top w:val="double" w:color="ED7D31" w:themeColor="accent2" w:sz="6" w:space="0"/>
          <w:left w:val="single" w:color="ED7D31" w:themeColor="accent2" w:sz="8" w:space="0"/>
          <w:bottom w:val="single" w:color="ED7D31" w:themeColor="accent2" w:sz="8" w:space="0"/>
          <w:right w:val="single" w:color="ED7D31" w:themeColor="accent2" w:sz="8" w:space="0"/>
        </w:tcBorders>
      </w:tcPr>
    </w:tblStylePr>
    <w:tblStylePr w:type="firstCol">
      <w:rPr>
        <w:b/>
        <w:bCs/>
      </w:rPr>
    </w:tblStylePr>
    <w:tblStylePr w:type="lastCol">
      <w:rPr>
        <w:b/>
        <w:bCs/>
      </w:rPr>
    </w:tblStylePr>
    <w:tblStylePr w:type="band1Vert">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tblStylePr w:type="band1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style>
  <w:style w:type="table" w:styleId="143">
    <w:name w:val="Light List Accent 3"/>
    <w:basedOn w:val="88"/>
    <w:semiHidden/>
    <w:unhideWhenUsed/>
    <w:qFormat/>
    <w:uiPriority w:val="61"/>
    <w:tblPr>
      <w:tblBorders>
        <w:top w:val="single" w:color="A5A5A5" w:themeColor="accent3" w:sz="8" w:space="0"/>
        <w:left w:val="single" w:color="A5A5A5" w:themeColor="accent3" w:sz="8" w:space="0"/>
        <w:bottom w:val="single" w:color="A5A5A5" w:themeColor="accent3" w:sz="8" w:space="0"/>
        <w:right w:val="single" w:color="A5A5A5"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A5A5A5" w:themeFill="accent3"/>
      </w:tcPr>
    </w:tblStylePr>
    <w:tblStylePr w:type="lastRow">
      <w:pPr>
        <w:spacing w:before="0" w:after="0" w:line="240" w:lineRule="auto"/>
      </w:pPr>
      <w:rPr>
        <w:b/>
        <w:bCs/>
      </w:rPr>
      <w:tblPr/>
      <w:tcPr>
        <w:tcBorders>
          <w:top w:val="double" w:color="A5A5A5" w:themeColor="accent3" w:sz="6" w:space="0"/>
          <w:left w:val="single" w:color="A5A5A5" w:themeColor="accent3" w:sz="8" w:space="0"/>
          <w:bottom w:val="single" w:color="A5A5A5" w:themeColor="accent3" w:sz="8" w:space="0"/>
          <w:right w:val="single" w:color="A5A5A5" w:themeColor="accent3" w:sz="8" w:space="0"/>
        </w:tcBorders>
      </w:tcPr>
    </w:tblStylePr>
    <w:tblStylePr w:type="firstCol">
      <w:rPr>
        <w:b/>
        <w:bCs/>
      </w:rPr>
    </w:tblStylePr>
    <w:tblStylePr w:type="lastCol">
      <w:rPr>
        <w:b/>
        <w:bCs/>
      </w:rPr>
    </w:tblStylePr>
    <w:tblStylePr w:type="band1Vert">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tblStylePr w:type="band1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style>
  <w:style w:type="table" w:styleId="144">
    <w:name w:val="Light List Accent 4"/>
    <w:basedOn w:val="88"/>
    <w:semiHidden/>
    <w:unhideWhenUsed/>
    <w:qFormat/>
    <w:uiPriority w:val="61"/>
    <w:tblPr>
      <w:tblBorders>
        <w:top w:val="single" w:color="FFC000" w:themeColor="accent4" w:sz="8" w:space="0"/>
        <w:left w:val="single" w:color="FFC000" w:themeColor="accent4" w:sz="8" w:space="0"/>
        <w:bottom w:val="single" w:color="FFC000" w:themeColor="accent4" w:sz="8" w:space="0"/>
        <w:right w:val="single" w:color="FFC000"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FC000" w:themeFill="accent4"/>
      </w:tcPr>
    </w:tblStylePr>
    <w:tblStylePr w:type="lastRow">
      <w:pPr>
        <w:spacing w:before="0" w:after="0" w:line="240" w:lineRule="auto"/>
      </w:pPr>
      <w:rPr>
        <w:b/>
        <w:bCs/>
      </w:rPr>
      <w:tblPr/>
      <w:tcPr>
        <w:tcBorders>
          <w:top w:val="double" w:color="FFC000" w:themeColor="accent4" w:sz="6" w:space="0"/>
          <w:left w:val="single" w:color="FFC000" w:themeColor="accent4" w:sz="8" w:space="0"/>
          <w:bottom w:val="single" w:color="FFC000" w:themeColor="accent4" w:sz="8" w:space="0"/>
          <w:right w:val="single" w:color="FFC000" w:themeColor="accent4" w:sz="8" w:space="0"/>
        </w:tcBorders>
      </w:tcPr>
    </w:tblStylePr>
    <w:tblStylePr w:type="firstCol">
      <w:rPr>
        <w:b/>
        <w:bCs/>
      </w:rPr>
    </w:tblStylePr>
    <w:tblStylePr w:type="lastCol">
      <w:rPr>
        <w:b/>
        <w:bCs/>
      </w:rPr>
    </w:tblStylePr>
    <w:tblStylePr w:type="band1Vert">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tblStylePr w:type="band1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style>
  <w:style w:type="table" w:styleId="145">
    <w:name w:val="Light List Accent 5"/>
    <w:basedOn w:val="88"/>
    <w:semiHidden/>
    <w:unhideWhenUsed/>
    <w:qFormat/>
    <w:uiPriority w:val="61"/>
    <w:tblPr>
      <w:tblBorders>
        <w:top w:val="single" w:color="4472C4" w:themeColor="accent5" w:sz="8" w:space="0"/>
        <w:left w:val="single" w:color="4472C4" w:themeColor="accent5" w:sz="8" w:space="0"/>
        <w:bottom w:val="single" w:color="4472C4" w:themeColor="accent5" w:sz="8" w:space="0"/>
        <w:right w:val="single" w:color="4472C4"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472C4" w:themeFill="accent5"/>
      </w:tcPr>
    </w:tblStylePr>
    <w:tblStylePr w:type="lastRow">
      <w:pPr>
        <w:spacing w:before="0" w:after="0" w:line="240" w:lineRule="auto"/>
      </w:pPr>
      <w:rPr>
        <w:b/>
        <w:bCs/>
      </w:rPr>
      <w:tblPr/>
      <w:tcPr>
        <w:tcBorders>
          <w:top w:val="double" w:color="4472C4" w:themeColor="accent5" w:sz="6" w:space="0"/>
          <w:left w:val="single" w:color="4472C4" w:themeColor="accent5" w:sz="8" w:space="0"/>
          <w:bottom w:val="single" w:color="4472C4" w:themeColor="accent5" w:sz="8" w:space="0"/>
          <w:right w:val="single" w:color="4472C4" w:themeColor="accent5" w:sz="8" w:space="0"/>
        </w:tcBorders>
      </w:tcPr>
    </w:tblStylePr>
    <w:tblStylePr w:type="firstCol">
      <w:rPr>
        <w:b/>
        <w:bCs/>
      </w:rPr>
    </w:tblStylePr>
    <w:tblStylePr w:type="lastCol">
      <w:rPr>
        <w:b/>
        <w:bCs/>
      </w:rPr>
    </w:tblStylePr>
    <w:tblStylePr w:type="band1Vert">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tblStylePr w:type="band1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style>
  <w:style w:type="table" w:styleId="146">
    <w:name w:val="Light List Accent 6"/>
    <w:basedOn w:val="88"/>
    <w:semiHidden/>
    <w:unhideWhenUsed/>
    <w:qFormat/>
    <w:uiPriority w:val="61"/>
    <w:tblPr>
      <w:tblBorders>
        <w:top w:val="single" w:color="70AD47" w:themeColor="accent6" w:sz="8" w:space="0"/>
        <w:left w:val="single" w:color="70AD47" w:themeColor="accent6" w:sz="8" w:space="0"/>
        <w:bottom w:val="single" w:color="70AD47" w:themeColor="accent6" w:sz="8" w:space="0"/>
        <w:right w:val="single" w:color="70AD47"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70AD47" w:themeFill="accent6"/>
      </w:tcPr>
    </w:tblStylePr>
    <w:tblStylePr w:type="lastRow">
      <w:pPr>
        <w:spacing w:before="0" w:after="0" w:line="240" w:lineRule="auto"/>
      </w:pPr>
      <w:rPr>
        <w:b/>
        <w:bCs/>
      </w:rPr>
      <w:tblPr/>
      <w:tcPr>
        <w:tcBorders>
          <w:top w:val="double" w:color="70AD47" w:themeColor="accent6" w:sz="6" w:space="0"/>
          <w:left w:val="single" w:color="70AD47" w:themeColor="accent6" w:sz="8" w:space="0"/>
          <w:bottom w:val="single" w:color="70AD47" w:themeColor="accent6" w:sz="8" w:space="0"/>
          <w:right w:val="single" w:color="70AD47" w:themeColor="accent6" w:sz="8" w:space="0"/>
        </w:tcBorders>
      </w:tcPr>
    </w:tblStylePr>
    <w:tblStylePr w:type="firstCol">
      <w:rPr>
        <w:b/>
        <w:bCs/>
      </w:rPr>
    </w:tblStylePr>
    <w:tblStylePr w:type="lastCol">
      <w:rPr>
        <w:b/>
        <w:bCs/>
      </w:rPr>
    </w:tblStylePr>
    <w:tblStylePr w:type="band1Vert">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tblStylePr>
    <w:tblStylePr w:type="band1Horz">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tblStylePr>
  </w:style>
  <w:style w:type="table" w:styleId="147">
    <w:name w:val="Light Grid"/>
    <w:basedOn w:val="88"/>
    <w:semiHidden/>
    <w:unhideWhenUsed/>
    <w:qFormat/>
    <w:uiPriority w:val="62"/>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148">
    <w:name w:val="Light Grid Accent 1"/>
    <w:basedOn w:val="88"/>
    <w:semiHidden/>
    <w:unhideWhenUsed/>
    <w:qFormat/>
    <w:uiPriority w:val="62"/>
    <w:tblPr>
      <w:tblBorders>
        <w:top w:val="single" w:color="5B9BD5" w:themeColor="accent1" w:sz="8" w:space="0"/>
        <w:left w:val="single" w:color="5B9BD5" w:themeColor="accent1" w:sz="8" w:space="0"/>
        <w:bottom w:val="single" w:color="5B9BD5" w:themeColor="accent1" w:sz="8" w:space="0"/>
        <w:right w:val="single" w:color="5B9BD5" w:themeColor="accent1" w:sz="8" w:space="0"/>
        <w:insideH w:val="single" w:color="5B9BD5" w:themeColor="accent1" w:sz="8" w:space="0"/>
        <w:insideV w:val="single" w:color="5B9BD5"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5B9BD5" w:themeColor="accent1" w:sz="8" w:space="0"/>
          <w:left w:val="single" w:color="5B9BD5" w:themeColor="accent1" w:sz="8" w:space="0"/>
          <w:bottom w:val="single" w:color="5B9BD5" w:themeColor="accent1" w:sz="18" w:space="0"/>
          <w:right w:val="single" w:color="5B9BD5"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5B9BD5" w:themeColor="accent1" w:sz="6" w:space="0"/>
          <w:left w:val="single" w:color="5B9BD5" w:themeColor="accent1" w:sz="8" w:space="0"/>
          <w:bottom w:val="single" w:color="5B9BD5" w:themeColor="accent1" w:sz="8" w:space="0"/>
          <w:right w:val="single" w:color="5B9BD5"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tblStylePr w:type="band1Vert">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shd w:val="clear" w:color="auto" w:fill="D6E6F4" w:themeFill="accent1" w:themeFillTint="3F"/>
      </w:tcPr>
    </w:tblStylePr>
    <w:tblStylePr w:type="band1Horz">
      <w:tblPr/>
      <w:tcPr>
        <w:tcBorders>
          <w:top w:val="single" w:color="5B9BD5" w:themeColor="accent1" w:sz="8" w:space="0"/>
          <w:left w:val="single" w:color="5B9BD5" w:themeColor="accent1" w:sz="8" w:space="0"/>
          <w:bottom w:val="single" w:color="5B9BD5" w:themeColor="accent1" w:sz="8" w:space="0"/>
          <w:right w:val="single" w:color="5B9BD5" w:themeColor="accent1" w:sz="8" w:space="0"/>
          <w:insideV w:val="single" w:sz="8" w:space="0"/>
        </w:tcBorders>
        <w:shd w:val="clear" w:color="auto" w:fill="D6E6F4" w:themeFill="accent1" w:themeFillTint="3F"/>
      </w:tcPr>
    </w:tblStylePr>
    <w:tblStylePr w:type="band2Horz">
      <w:tblPr/>
      <w:tcPr>
        <w:tcBorders>
          <w:top w:val="single" w:color="5B9BD5" w:themeColor="accent1" w:sz="8" w:space="0"/>
          <w:left w:val="single" w:color="5B9BD5" w:themeColor="accent1" w:sz="8" w:space="0"/>
          <w:bottom w:val="single" w:color="5B9BD5" w:themeColor="accent1" w:sz="8" w:space="0"/>
          <w:right w:val="single" w:color="5B9BD5" w:themeColor="accent1" w:sz="8" w:space="0"/>
          <w:insideV w:val="single" w:sz="8" w:space="0"/>
        </w:tcBorders>
      </w:tcPr>
    </w:tblStylePr>
  </w:style>
  <w:style w:type="table" w:styleId="149">
    <w:name w:val="Light Grid Accent 2"/>
    <w:basedOn w:val="88"/>
    <w:semiHidden/>
    <w:unhideWhenUsed/>
    <w:qFormat/>
    <w:uiPriority w:val="62"/>
    <w:tblPr>
      <w:tblBorders>
        <w:top w:val="single" w:color="ED7D31" w:themeColor="accent2" w:sz="8" w:space="0"/>
        <w:left w:val="single" w:color="ED7D31" w:themeColor="accent2" w:sz="8" w:space="0"/>
        <w:bottom w:val="single" w:color="ED7D31" w:themeColor="accent2" w:sz="8" w:space="0"/>
        <w:right w:val="single" w:color="ED7D31" w:themeColor="accent2" w:sz="8" w:space="0"/>
        <w:insideH w:val="single" w:color="ED7D31" w:themeColor="accent2" w:sz="8" w:space="0"/>
        <w:insideV w:val="single" w:color="ED7D31"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ED7D31" w:themeColor="accent2" w:sz="8" w:space="0"/>
          <w:left w:val="single" w:color="ED7D31" w:themeColor="accent2" w:sz="8" w:space="0"/>
          <w:bottom w:val="single" w:color="ED7D31" w:themeColor="accent2" w:sz="18" w:space="0"/>
          <w:right w:val="single" w:color="ED7D31"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ED7D31" w:themeColor="accent2" w:sz="6" w:space="0"/>
          <w:left w:val="single" w:color="ED7D31" w:themeColor="accent2" w:sz="8" w:space="0"/>
          <w:bottom w:val="single" w:color="ED7D31" w:themeColor="accent2" w:sz="8" w:space="0"/>
          <w:right w:val="single" w:color="ED7D31"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tblStylePr w:type="band1Vert">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shd w:val="clear" w:color="auto" w:fill="FADECC" w:themeFill="accent2" w:themeFillTint="3F"/>
      </w:tcPr>
    </w:tblStylePr>
    <w:tblStylePr w:type="band1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insideV w:val="single" w:sz="8" w:space="0"/>
        </w:tcBorders>
        <w:shd w:val="clear" w:color="auto" w:fill="FADECC" w:themeFill="accent2" w:themeFillTint="3F"/>
      </w:tcPr>
    </w:tblStylePr>
    <w:tblStylePr w:type="band2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insideV w:val="single" w:sz="8" w:space="0"/>
        </w:tcBorders>
      </w:tcPr>
    </w:tblStylePr>
  </w:style>
  <w:style w:type="table" w:styleId="150">
    <w:name w:val="Light Grid Accent 3"/>
    <w:basedOn w:val="88"/>
    <w:semiHidden/>
    <w:unhideWhenUsed/>
    <w:qFormat/>
    <w:uiPriority w:val="62"/>
    <w:tblPr>
      <w:tblBorders>
        <w:top w:val="single" w:color="A5A5A5" w:themeColor="accent3" w:sz="8" w:space="0"/>
        <w:left w:val="single" w:color="A5A5A5" w:themeColor="accent3" w:sz="8" w:space="0"/>
        <w:bottom w:val="single" w:color="A5A5A5" w:themeColor="accent3" w:sz="8" w:space="0"/>
        <w:right w:val="single" w:color="A5A5A5" w:themeColor="accent3" w:sz="8" w:space="0"/>
        <w:insideH w:val="single" w:color="A5A5A5" w:themeColor="accent3" w:sz="8" w:space="0"/>
        <w:insideV w:val="single" w:color="A5A5A5"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A5A5A5" w:themeColor="accent3" w:sz="8" w:space="0"/>
          <w:left w:val="single" w:color="A5A5A5" w:themeColor="accent3" w:sz="8" w:space="0"/>
          <w:bottom w:val="single" w:color="A5A5A5" w:themeColor="accent3" w:sz="18" w:space="0"/>
          <w:right w:val="single" w:color="A5A5A5"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A5A5A5" w:themeColor="accent3" w:sz="6" w:space="0"/>
          <w:left w:val="single" w:color="A5A5A5" w:themeColor="accent3" w:sz="8" w:space="0"/>
          <w:bottom w:val="single" w:color="A5A5A5" w:themeColor="accent3" w:sz="8" w:space="0"/>
          <w:right w:val="single" w:color="A5A5A5"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tblStylePr w:type="band1Vert">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shd w:val="clear" w:color="auto" w:fill="E8E8E8" w:themeFill="accent3" w:themeFillTint="3F"/>
      </w:tcPr>
    </w:tblStylePr>
    <w:tblStylePr w:type="band1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insideV w:val="single" w:sz="8" w:space="0"/>
        </w:tcBorders>
        <w:shd w:val="clear" w:color="auto" w:fill="E8E8E8" w:themeFill="accent3" w:themeFillTint="3F"/>
      </w:tcPr>
    </w:tblStylePr>
    <w:tblStylePr w:type="band2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insideV w:val="single" w:sz="8" w:space="0"/>
        </w:tcBorders>
      </w:tcPr>
    </w:tblStylePr>
  </w:style>
  <w:style w:type="table" w:styleId="151">
    <w:name w:val="Light Grid Accent 4"/>
    <w:basedOn w:val="88"/>
    <w:semiHidden/>
    <w:unhideWhenUsed/>
    <w:qFormat/>
    <w:uiPriority w:val="62"/>
    <w:tblPr>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FC000" w:themeColor="accent4" w:sz="8" w:space="0"/>
          <w:left w:val="single" w:color="FFC000" w:themeColor="accent4" w:sz="8" w:space="0"/>
          <w:bottom w:val="single" w:color="FFC000" w:themeColor="accent4" w:sz="18" w:space="0"/>
          <w:right w:val="single" w:color="FFC000"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FC000" w:themeColor="accent4" w:sz="6" w:space="0"/>
          <w:left w:val="single" w:color="FFC000" w:themeColor="accent4" w:sz="8" w:space="0"/>
          <w:bottom w:val="single" w:color="FFC000" w:themeColor="accent4" w:sz="8" w:space="0"/>
          <w:right w:val="single" w:color="FFC000"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tblStylePr w:type="band1Vert">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shd w:val="clear" w:color="auto" w:fill="FFEFBF" w:themeFill="accent4" w:themeFillTint="3F"/>
      </w:tcPr>
    </w:tblStylePr>
    <w:tblStylePr w:type="band1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insideV w:val="single" w:sz="8" w:space="0"/>
        </w:tcBorders>
        <w:shd w:val="clear" w:color="auto" w:fill="FFEFBF" w:themeFill="accent4" w:themeFillTint="3F"/>
      </w:tcPr>
    </w:tblStylePr>
    <w:tblStylePr w:type="band2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insideV w:val="single" w:sz="8" w:space="0"/>
        </w:tcBorders>
      </w:tcPr>
    </w:tblStylePr>
  </w:style>
  <w:style w:type="table" w:styleId="152">
    <w:name w:val="Light Grid Accent 5"/>
    <w:basedOn w:val="88"/>
    <w:semiHidden/>
    <w:unhideWhenUsed/>
    <w:qFormat/>
    <w:uiPriority w:val="62"/>
    <w:tblPr>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472C4" w:themeColor="accent5" w:sz="8" w:space="0"/>
          <w:left w:val="single" w:color="4472C4" w:themeColor="accent5" w:sz="8" w:space="0"/>
          <w:bottom w:val="single" w:color="4472C4" w:themeColor="accent5" w:sz="18" w:space="0"/>
          <w:right w:val="single" w:color="4472C4"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472C4" w:themeColor="accent5" w:sz="6" w:space="0"/>
          <w:left w:val="single" w:color="4472C4" w:themeColor="accent5" w:sz="8" w:space="0"/>
          <w:bottom w:val="single" w:color="4472C4" w:themeColor="accent5" w:sz="8" w:space="0"/>
          <w:right w:val="single" w:color="4472C4"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tblStylePr w:type="band1Vert">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shd w:val="clear" w:color="auto" w:fill="D0DCF0" w:themeFill="accent5" w:themeFillTint="3F"/>
      </w:tcPr>
    </w:tblStylePr>
    <w:tblStylePr w:type="band1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sz="8" w:space="0"/>
        </w:tcBorders>
        <w:shd w:val="clear" w:color="auto" w:fill="D0DCF0" w:themeFill="accent5" w:themeFillTint="3F"/>
      </w:tcPr>
    </w:tblStylePr>
    <w:tblStylePr w:type="band2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sz="8" w:space="0"/>
        </w:tcBorders>
      </w:tcPr>
    </w:tblStylePr>
  </w:style>
  <w:style w:type="table" w:styleId="153">
    <w:name w:val="Light Grid Accent 6"/>
    <w:basedOn w:val="88"/>
    <w:semiHidden/>
    <w:unhideWhenUsed/>
    <w:qFormat/>
    <w:uiPriority w:val="62"/>
    <w:tblPr>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70AD47" w:themeColor="accent6" w:sz="8" w:space="0"/>
          <w:left w:val="single" w:color="70AD47" w:themeColor="accent6" w:sz="8" w:space="0"/>
          <w:bottom w:val="single" w:color="70AD47" w:themeColor="accent6" w:sz="18" w:space="0"/>
          <w:right w:val="single" w:color="70AD47"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0AD47" w:themeColor="accent6" w:sz="6" w:space="0"/>
          <w:left w:val="single" w:color="70AD47" w:themeColor="accent6" w:sz="8" w:space="0"/>
          <w:bottom w:val="single" w:color="70AD47" w:themeColor="accent6" w:sz="8" w:space="0"/>
          <w:right w:val="single" w:color="70AD47"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tblStylePr>
    <w:tblStylePr w:type="band1Vert">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shd w:val="clear" w:color="auto" w:fill="DBEBD0" w:themeFill="accent6" w:themeFillTint="3F"/>
      </w:tcPr>
    </w:tblStylePr>
    <w:tblStylePr w:type="band1Horz">
      <w:tblPr/>
      <w:tcPr>
        <w:tcBorders>
          <w:top w:val="single" w:color="70AD47" w:themeColor="accent6" w:sz="8" w:space="0"/>
          <w:left w:val="single" w:color="70AD47" w:themeColor="accent6" w:sz="8" w:space="0"/>
          <w:bottom w:val="single" w:color="70AD47" w:themeColor="accent6" w:sz="8" w:space="0"/>
          <w:right w:val="single" w:color="70AD47" w:themeColor="accent6" w:sz="8" w:space="0"/>
          <w:insideV w:val="single" w:sz="8" w:space="0"/>
        </w:tcBorders>
        <w:shd w:val="clear" w:color="auto" w:fill="DBEBD0" w:themeFill="accent6" w:themeFillTint="3F"/>
      </w:tcPr>
    </w:tblStylePr>
    <w:tblStylePr w:type="band2Horz">
      <w:tblPr/>
      <w:tcPr>
        <w:tcBorders>
          <w:top w:val="single" w:color="70AD47" w:themeColor="accent6" w:sz="8" w:space="0"/>
          <w:left w:val="single" w:color="70AD47" w:themeColor="accent6" w:sz="8" w:space="0"/>
          <w:bottom w:val="single" w:color="70AD47" w:themeColor="accent6" w:sz="8" w:space="0"/>
          <w:right w:val="single" w:color="70AD47" w:themeColor="accent6" w:sz="8" w:space="0"/>
          <w:insideV w:val="single" w:sz="8" w:space="0"/>
        </w:tcBorders>
      </w:tcPr>
    </w:tblStylePr>
  </w:style>
  <w:style w:type="table" w:styleId="154">
    <w:name w:val="Medium Shading 1"/>
    <w:basedOn w:val="88"/>
    <w:semiHidden/>
    <w:unhideWhenUsed/>
    <w:qFormat/>
    <w:uiPriority w:val="63"/>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155">
    <w:name w:val="Medium Shading 1 Accent 1"/>
    <w:basedOn w:val="88"/>
    <w:semiHidden/>
    <w:unhideWhenUsed/>
    <w:qFormat/>
    <w:uiPriority w:val="63"/>
    <w:tblPr>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nil"/>
          <w:insideV w:val="nil"/>
        </w:tcBorders>
        <w:shd w:val="clear" w:color="auto" w:fill="5B9BD5" w:themeFill="accent1"/>
      </w:tcPr>
    </w:tblStylePr>
    <w:tblStylePr w:type="lastRow">
      <w:pPr>
        <w:spacing w:before="0" w:after="0" w:line="240" w:lineRule="auto"/>
      </w:pPr>
      <w:rPr>
        <w:b/>
        <w:bCs/>
      </w:rPr>
      <w:tblPr/>
      <w:tcPr>
        <w:tcBorders>
          <w:top w:val="double" w:color="84B4DF" w:themeColor="accent1" w:themeTint="BF" w:sz="6" w:space="0"/>
          <w:left w:val="single" w:color="84B4DF" w:themeColor="accent1" w:themeTint="BF" w:sz="8" w:space="0"/>
          <w:bottom w:val="single" w:color="84B4DF" w:themeColor="accent1" w:themeTint="BF" w:sz="8" w:space="0"/>
          <w:right w:val="single" w:color="84B4DF"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56">
    <w:name w:val="Medium Shading 1 Accent 2"/>
    <w:basedOn w:val="88"/>
    <w:semiHidden/>
    <w:unhideWhenUsed/>
    <w:qFormat/>
    <w:uiPriority w:val="63"/>
    <w:tblPr>
      <w:tblBorders>
        <w:top w:val="single" w:color="F19D64" w:themeColor="accent2" w:themeTint="BF" w:sz="8" w:space="0"/>
        <w:left w:val="single" w:color="F19D64" w:themeColor="accent2" w:themeTint="BF" w:sz="8" w:space="0"/>
        <w:bottom w:val="single" w:color="F19D64" w:themeColor="accent2" w:themeTint="BF" w:sz="8" w:space="0"/>
        <w:right w:val="single" w:color="F19D64" w:themeColor="accent2" w:themeTint="BF" w:sz="8" w:space="0"/>
        <w:insideH w:val="single" w:color="F19D64"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19D64" w:themeColor="accent2" w:themeTint="BF" w:sz="8" w:space="0"/>
          <w:left w:val="single" w:color="F19D64" w:themeColor="accent2" w:themeTint="BF" w:sz="8" w:space="0"/>
          <w:bottom w:val="single" w:color="F19D64" w:themeColor="accent2" w:themeTint="BF" w:sz="8" w:space="0"/>
          <w:right w:val="single" w:color="F19D64" w:themeColor="accent2" w:themeTint="BF" w:sz="8" w:space="0"/>
          <w:insideH w:val="nil"/>
          <w:insideV w:val="nil"/>
        </w:tcBorders>
        <w:shd w:val="clear" w:color="auto" w:fill="ED7D31" w:themeFill="accent2"/>
      </w:tcPr>
    </w:tblStylePr>
    <w:tblStylePr w:type="lastRow">
      <w:pPr>
        <w:spacing w:before="0" w:after="0" w:line="240" w:lineRule="auto"/>
      </w:pPr>
      <w:rPr>
        <w:b/>
        <w:bCs/>
      </w:rPr>
      <w:tblPr/>
      <w:tcPr>
        <w:tcBorders>
          <w:top w:val="double" w:color="F19D64" w:themeColor="accent2" w:themeTint="BF" w:sz="6" w:space="0"/>
          <w:left w:val="single" w:color="F19D64" w:themeColor="accent2" w:themeTint="BF" w:sz="8" w:space="0"/>
          <w:bottom w:val="single" w:color="F19D64" w:themeColor="accent2" w:themeTint="BF" w:sz="8" w:space="0"/>
          <w:right w:val="single" w:color="F19D64"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FADECC" w:themeFill="accent2" w:themeFillTint="3F"/>
      </w:tcPr>
    </w:tblStylePr>
    <w:tblStylePr w:type="band1Horz">
      <w:tblPr/>
      <w:tcPr>
        <w:tcBorders>
          <w:insideH w:val="nil"/>
          <w:insideV w:val="nil"/>
        </w:tcBorders>
        <w:shd w:val="clear" w:color="auto" w:fill="FADECC" w:themeFill="accent2" w:themeFillTint="3F"/>
      </w:tcPr>
    </w:tblStylePr>
    <w:tblStylePr w:type="band2Horz">
      <w:tblPr/>
      <w:tcPr>
        <w:tcBorders>
          <w:insideH w:val="nil"/>
          <w:insideV w:val="nil"/>
        </w:tcBorders>
      </w:tcPr>
    </w:tblStylePr>
  </w:style>
  <w:style w:type="table" w:styleId="157">
    <w:name w:val="Medium Shading 1 Accent 3"/>
    <w:basedOn w:val="88"/>
    <w:semiHidden/>
    <w:unhideWhenUsed/>
    <w:qFormat/>
    <w:uiPriority w:val="63"/>
    <w:tblPr>
      <w:tbl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single" w:color="BBBBBB"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nil"/>
          <w:insideV w:val="nil"/>
        </w:tcBorders>
        <w:shd w:val="clear" w:color="auto" w:fill="A5A5A5" w:themeFill="accent3"/>
      </w:tcPr>
    </w:tblStylePr>
    <w:tblStylePr w:type="lastRow">
      <w:pPr>
        <w:spacing w:before="0" w:after="0" w:line="240" w:lineRule="auto"/>
      </w:pPr>
      <w:rPr>
        <w:b/>
        <w:bCs/>
      </w:rPr>
      <w:tblPr/>
      <w:tcPr>
        <w:tcBorders>
          <w:top w:val="double" w:color="BBBBBB" w:themeColor="accent3" w:themeTint="BF" w:sz="6" w:space="0"/>
          <w:left w:val="single" w:color="BBBBBB" w:themeColor="accent3" w:themeTint="BF" w:sz="8" w:space="0"/>
          <w:bottom w:val="single" w:color="BBBBBB" w:themeColor="accent3" w:themeTint="BF" w:sz="8" w:space="0"/>
          <w:right w:val="single" w:color="BBBBBB"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58">
    <w:name w:val="Medium Shading 1 Accent 4"/>
    <w:basedOn w:val="88"/>
    <w:semiHidden/>
    <w:unhideWhenUsed/>
    <w:qFormat/>
    <w:uiPriority w:val="63"/>
    <w:tblPr>
      <w:tbl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single" w:color="FFCF3F"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nil"/>
          <w:insideV w:val="nil"/>
        </w:tcBorders>
        <w:shd w:val="clear" w:color="auto" w:fill="FFC000" w:themeFill="accent4"/>
      </w:tcPr>
    </w:tblStylePr>
    <w:tblStylePr w:type="lastRow">
      <w:pPr>
        <w:spacing w:before="0" w:after="0" w:line="240" w:lineRule="auto"/>
      </w:pPr>
      <w:rPr>
        <w:b/>
        <w:bCs/>
      </w:rPr>
      <w:tblPr/>
      <w:tcPr>
        <w:tcBorders>
          <w:top w:val="double" w:color="FFCF3F" w:themeColor="accent4" w:themeTint="BF" w:sz="6" w:space="0"/>
          <w:left w:val="single" w:color="FFCF3F" w:themeColor="accent4" w:themeTint="BF" w:sz="8" w:space="0"/>
          <w:bottom w:val="single" w:color="FFCF3F" w:themeColor="accent4" w:themeTint="BF" w:sz="8" w:space="0"/>
          <w:right w:val="single" w:color="FFCF3F"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FFEFBF" w:themeFill="accent4" w:themeFillTint="3F"/>
      </w:tcPr>
    </w:tblStylePr>
    <w:tblStylePr w:type="band1Horz">
      <w:tblPr/>
      <w:tcPr>
        <w:tcBorders>
          <w:insideH w:val="nil"/>
          <w:insideV w:val="nil"/>
        </w:tcBorders>
        <w:shd w:val="clear" w:color="auto" w:fill="FFEFBF" w:themeFill="accent4" w:themeFillTint="3F"/>
      </w:tcPr>
    </w:tblStylePr>
    <w:tblStylePr w:type="band2Horz">
      <w:tblPr/>
      <w:tcPr>
        <w:tcBorders>
          <w:insideH w:val="nil"/>
          <w:insideV w:val="nil"/>
        </w:tcBorders>
      </w:tcPr>
    </w:tblStylePr>
  </w:style>
  <w:style w:type="table" w:styleId="159">
    <w:name w:val="Medium Shading 1 Accent 5"/>
    <w:basedOn w:val="88"/>
    <w:semiHidden/>
    <w:unhideWhenUsed/>
    <w:qFormat/>
    <w:uiPriority w:val="63"/>
    <w:tblPr>
      <w:tblBorders>
        <w:top w:val="single" w:color="7295D2" w:themeColor="accent5" w:themeTint="BF" w:sz="8" w:space="0"/>
        <w:left w:val="single" w:color="7295D2" w:themeColor="accent5" w:themeTint="BF" w:sz="8" w:space="0"/>
        <w:bottom w:val="single" w:color="7295D2" w:themeColor="accent5" w:themeTint="BF" w:sz="8" w:space="0"/>
        <w:right w:val="single" w:color="7295D2" w:themeColor="accent5" w:themeTint="BF" w:sz="8" w:space="0"/>
        <w:insideH w:val="single" w:color="7295D2"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295D2" w:themeColor="accent5" w:themeTint="BF" w:sz="8" w:space="0"/>
          <w:left w:val="single" w:color="7295D2" w:themeColor="accent5" w:themeTint="BF" w:sz="8" w:space="0"/>
          <w:bottom w:val="single" w:color="7295D2" w:themeColor="accent5" w:themeTint="BF" w:sz="8" w:space="0"/>
          <w:right w:val="single" w:color="7295D2" w:themeColor="accent5" w:themeTint="BF" w:sz="8" w:space="0"/>
          <w:insideH w:val="nil"/>
          <w:insideV w:val="nil"/>
        </w:tcBorders>
        <w:shd w:val="clear" w:color="auto" w:fill="4472C4" w:themeFill="accent5"/>
      </w:tcPr>
    </w:tblStylePr>
    <w:tblStylePr w:type="lastRow">
      <w:pPr>
        <w:spacing w:before="0" w:after="0" w:line="240" w:lineRule="auto"/>
      </w:pPr>
      <w:rPr>
        <w:b/>
        <w:bCs/>
      </w:rPr>
      <w:tblPr/>
      <w:tcPr>
        <w:tcBorders>
          <w:top w:val="double" w:color="7295D2" w:themeColor="accent5" w:themeTint="BF" w:sz="6" w:space="0"/>
          <w:left w:val="single" w:color="7295D2" w:themeColor="accent5" w:themeTint="BF" w:sz="8" w:space="0"/>
          <w:bottom w:val="single" w:color="7295D2" w:themeColor="accent5" w:themeTint="BF" w:sz="8" w:space="0"/>
          <w:right w:val="single" w:color="7295D2"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0DCF0" w:themeFill="accent5" w:themeFillTint="3F"/>
      </w:tcPr>
    </w:tblStylePr>
    <w:tblStylePr w:type="band1Horz">
      <w:tblPr/>
      <w:tcPr>
        <w:tcBorders>
          <w:insideH w:val="nil"/>
          <w:insideV w:val="nil"/>
        </w:tcBorders>
        <w:shd w:val="clear" w:color="auto" w:fill="D0DCF0" w:themeFill="accent5" w:themeFillTint="3F"/>
      </w:tcPr>
    </w:tblStylePr>
    <w:tblStylePr w:type="band2Horz">
      <w:tblPr/>
      <w:tcPr>
        <w:tcBorders>
          <w:insideH w:val="nil"/>
          <w:insideV w:val="nil"/>
        </w:tcBorders>
      </w:tcPr>
    </w:tblStylePr>
  </w:style>
  <w:style w:type="table" w:styleId="160">
    <w:name w:val="Medium Shading 1 Accent 6"/>
    <w:basedOn w:val="88"/>
    <w:semiHidden/>
    <w:unhideWhenUsed/>
    <w:qFormat/>
    <w:uiPriority w:val="63"/>
    <w:tblPr>
      <w:tblBorders>
        <w:top w:val="single" w:color="93C571" w:themeColor="accent6" w:themeTint="BF" w:sz="8" w:space="0"/>
        <w:left w:val="single" w:color="93C571" w:themeColor="accent6" w:themeTint="BF" w:sz="8" w:space="0"/>
        <w:bottom w:val="single" w:color="93C571" w:themeColor="accent6" w:themeTint="BF" w:sz="8" w:space="0"/>
        <w:right w:val="single" w:color="93C571" w:themeColor="accent6" w:themeTint="BF" w:sz="8" w:space="0"/>
        <w:insideH w:val="single" w:color="93C571"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3C571" w:themeColor="accent6" w:themeTint="BF" w:sz="8" w:space="0"/>
          <w:left w:val="single" w:color="93C571" w:themeColor="accent6" w:themeTint="BF" w:sz="8" w:space="0"/>
          <w:bottom w:val="single" w:color="93C571" w:themeColor="accent6" w:themeTint="BF" w:sz="8" w:space="0"/>
          <w:right w:val="single" w:color="93C571" w:themeColor="accent6" w:themeTint="BF" w:sz="8" w:space="0"/>
          <w:insideH w:val="nil"/>
          <w:insideV w:val="nil"/>
        </w:tcBorders>
        <w:shd w:val="clear" w:color="auto" w:fill="70AD47" w:themeFill="accent6"/>
      </w:tcPr>
    </w:tblStylePr>
    <w:tblStylePr w:type="lastRow">
      <w:pPr>
        <w:spacing w:before="0" w:after="0" w:line="240" w:lineRule="auto"/>
      </w:pPr>
      <w:rPr>
        <w:b/>
        <w:bCs/>
      </w:rPr>
      <w:tblPr/>
      <w:tcPr>
        <w:tcBorders>
          <w:top w:val="double" w:color="93C571" w:themeColor="accent6" w:themeTint="BF" w:sz="6" w:space="0"/>
          <w:left w:val="single" w:color="93C571" w:themeColor="accent6" w:themeTint="BF" w:sz="8" w:space="0"/>
          <w:bottom w:val="single" w:color="93C571" w:themeColor="accent6" w:themeTint="BF" w:sz="8" w:space="0"/>
          <w:right w:val="single" w:color="93C571"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161">
    <w:name w:val="Medium Shading 2"/>
    <w:basedOn w:val="88"/>
    <w:semiHidden/>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2">
    <w:name w:val="Medium Shading 2 Accent 1"/>
    <w:basedOn w:val="88"/>
    <w:semiHidden/>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5B9BD5"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3">
    <w:name w:val="Medium Shading 2 Accent 2"/>
    <w:basedOn w:val="88"/>
    <w:semiHidden/>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ED7D31"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4">
    <w:name w:val="Medium Shading 2 Accent 3"/>
    <w:basedOn w:val="88"/>
    <w:semiHidden/>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A5A5A5"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5">
    <w:name w:val="Medium Shading 2 Accent 4"/>
    <w:basedOn w:val="88"/>
    <w:semiHidden/>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FC000"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6">
    <w:name w:val="Medium Shading 2 Accent 5"/>
    <w:basedOn w:val="88"/>
    <w:semiHidden/>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472C4"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7">
    <w:name w:val="Medium Shading 2 Accent 6"/>
    <w:basedOn w:val="88"/>
    <w:semiHidden/>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70AD47"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8">
    <w:name w:val="Medium List 1"/>
    <w:basedOn w:val="88"/>
    <w:semiHidden/>
    <w:unhideWhenUsed/>
    <w:qFormat/>
    <w:uiPriority w:val="65"/>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44546A"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169">
    <w:name w:val="Medium List 1 Accent 1"/>
    <w:basedOn w:val="88"/>
    <w:semiHidden/>
    <w:unhideWhenUsed/>
    <w:qFormat/>
    <w:uiPriority w:val="65"/>
    <w:rPr>
      <w:color w:val="000000" w:themeColor="text1"/>
      <w14:textFill>
        <w14:solidFill>
          <w14:schemeClr w14:val="tx1"/>
        </w14:solidFill>
      </w14:textFill>
    </w:rPr>
    <w:tblPr>
      <w:tblBorders>
        <w:top w:val="single" w:color="5B9BD5" w:themeColor="accent1" w:sz="8" w:space="0"/>
        <w:bottom w:val="single" w:color="5B9BD5"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5B9BD5" w:themeColor="accent1" w:sz="8" w:space="0"/>
        </w:tcBorders>
      </w:tcPr>
    </w:tblStylePr>
    <w:tblStylePr w:type="lastRow">
      <w:rPr>
        <w:b/>
        <w:bCs/>
        <w:color w:val="44546A" w:themeColor="text2"/>
        <w14:textFill>
          <w14:solidFill>
            <w14:schemeClr w14:val="tx2"/>
          </w14:solidFill>
        </w14:textFill>
      </w:rPr>
      <w:tblPr/>
      <w:tcPr>
        <w:tcBorders>
          <w:top w:val="single" w:color="5B9BD5" w:themeColor="accent1" w:sz="8" w:space="0"/>
          <w:bottom w:val="single" w:color="5B9BD5" w:themeColor="accent1" w:sz="8" w:space="0"/>
        </w:tcBorders>
      </w:tcPr>
    </w:tblStylePr>
    <w:tblStylePr w:type="firstCol">
      <w:rPr>
        <w:b/>
        <w:bCs/>
      </w:rPr>
    </w:tblStylePr>
    <w:tblStylePr w:type="lastCol">
      <w:rPr>
        <w:b/>
        <w:bCs/>
      </w:rPr>
      <w:tblPr/>
      <w:tcPr>
        <w:tcBorders>
          <w:top w:val="single" w:color="5B9BD5" w:themeColor="accent1" w:sz="8" w:space="0"/>
          <w:bottom w:val="single" w:color="5B9BD5" w:themeColor="accent1" w:sz="8" w:space="0"/>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170">
    <w:name w:val="Medium List 1 Accent 2"/>
    <w:basedOn w:val="88"/>
    <w:semiHidden/>
    <w:unhideWhenUsed/>
    <w:qFormat/>
    <w:uiPriority w:val="65"/>
    <w:rPr>
      <w:color w:val="000000" w:themeColor="text1"/>
      <w14:textFill>
        <w14:solidFill>
          <w14:schemeClr w14:val="tx1"/>
        </w14:solidFill>
      </w14:textFill>
    </w:rPr>
    <w:tblPr>
      <w:tblBorders>
        <w:top w:val="single" w:color="ED7D31" w:themeColor="accent2" w:sz="8" w:space="0"/>
        <w:bottom w:val="single" w:color="ED7D31"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ED7D31" w:themeColor="accent2" w:sz="8" w:space="0"/>
        </w:tcBorders>
      </w:tcPr>
    </w:tblStylePr>
    <w:tblStylePr w:type="lastRow">
      <w:rPr>
        <w:b/>
        <w:bCs/>
        <w:color w:val="44546A" w:themeColor="text2"/>
        <w14:textFill>
          <w14:solidFill>
            <w14:schemeClr w14:val="tx2"/>
          </w14:solidFill>
        </w14:textFill>
      </w:rPr>
      <w:tblPr/>
      <w:tcPr>
        <w:tcBorders>
          <w:top w:val="single" w:color="ED7D31" w:themeColor="accent2" w:sz="8" w:space="0"/>
          <w:bottom w:val="single" w:color="ED7D31" w:themeColor="accent2" w:sz="8" w:space="0"/>
        </w:tcBorders>
      </w:tcPr>
    </w:tblStylePr>
    <w:tblStylePr w:type="firstCol">
      <w:rPr>
        <w:b/>
        <w:bCs/>
      </w:rPr>
    </w:tblStylePr>
    <w:tblStylePr w:type="lastCol">
      <w:rPr>
        <w:b/>
        <w:bCs/>
      </w:rPr>
      <w:tblPr/>
      <w:tcPr>
        <w:tcBorders>
          <w:top w:val="single" w:color="ED7D31" w:themeColor="accent2" w:sz="8" w:space="0"/>
          <w:bottom w:val="single" w:color="ED7D31" w:themeColor="accent2" w:sz="8" w:space="0"/>
        </w:tcBorders>
      </w:tcPr>
    </w:tblStylePr>
    <w:tblStylePr w:type="band1Vert">
      <w:tblPr/>
      <w:tcPr>
        <w:shd w:val="clear" w:color="auto" w:fill="FADECC" w:themeFill="accent2" w:themeFillTint="3F"/>
      </w:tcPr>
    </w:tblStylePr>
    <w:tblStylePr w:type="band1Horz">
      <w:tblPr/>
      <w:tcPr>
        <w:shd w:val="clear" w:color="auto" w:fill="FADECC" w:themeFill="accent2" w:themeFillTint="3F"/>
      </w:tcPr>
    </w:tblStylePr>
  </w:style>
  <w:style w:type="table" w:styleId="171">
    <w:name w:val="Medium List 1 Accent 3"/>
    <w:basedOn w:val="88"/>
    <w:semiHidden/>
    <w:unhideWhenUsed/>
    <w:qFormat/>
    <w:uiPriority w:val="65"/>
    <w:rPr>
      <w:color w:val="000000" w:themeColor="text1"/>
      <w14:textFill>
        <w14:solidFill>
          <w14:schemeClr w14:val="tx1"/>
        </w14:solidFill>
      </w14:textFill>
    </w:rPr>
    <w:tblPr>
      <w:tblBorders>
        <w:top w:val="single" w:color="A5A5A5" w:themeColor="accent3" w:sz="8" w:space="0"/>
        <w:bottom w:val="single" w:color="A5A5A5"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A5A5A5" w:themeColor="accent3" w:sz="8" w:space="0"/>
        </w:tcBorders>
      </w:tcPr>
    </w:tblStylePr>
    <w:tblStylePr w:type="lastRow">
      <w:rPr>
        <w:b/>
        <w:bCs/>
        <w:color w:val="44546A" w:themeColor="text2"/>
        <w14:textFill>
          <w14:solidFill>
            <w14:schemeClr w14:val="tx2"/>
          </w14:solidFill>
        </w14:textFill>
      </w:rPr>
      <w:tblPr/>
      <w:tcPr>
        <w:tcBorders>
          <w:top w:val="single" w:color="A5A5A5" w:themeColor="accent3" w:sz="8" w:space="0"/>
          <w:bottom w:val="single" w:color="A5A5A5" w:themeColor="accent3" w:sz="8" w:space="0"/>
        </w:tcBorders>
      </w:tcPr>
    </w:tblStylePr>
    <w:tblStylePr w:type="firstCol">
      <w:rPr>
        <w:b/>
        <w:bCs/>
      </w:rPr>
    </w:tblStylePr>
    <w:tblStylePr w:type="lastCol">
      <w:rPr>
        <w:b/>
        <w:bCs/>
      </w:rPr>
      <w:tblPr/>
      <w:tcPr>
        <w:tcBorders>
          <w:top w:val="single" w:color="A5A5A5" w:themeColor="accent3" w:sz="8" w:space="0"/>
          <w:bottom w:val="single" w:color="A5A5A5" w:themeColor="accent3" w:sz="8" w:space="0"/>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72">
    <w:name w:val="Medium List 1 Accent 4"/>
    <w:basedOn w:val="88"/>
    <w:semiHidden/>
    <w:unhideWhenUsed/>
    <w:qFormat/>
    <w:uiPriority w:val="65"/>
    <w:rPr>
      <w:color w:val="000000" w:themeColor="text1"/>
      <w14:textFill>
        <w14:solidFill>
          <w14:schemeClr w14:val="tx1"/>
        </w14:solidFill>
      </w14:textFill>
    </w:rPr>
    <w:tblPr>
      <w:tblBorders>
        <w:top w:val="single" w:color="FFC000" w:themeColor="accent4" w:sz="8" w:space="0"/>
        <w:bottom w:val="single" w:color="FFC000"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FC000" w:themeColor="accent4" w:sz="8" w:space="0"/>
        </w:tcBorders>
      </w:tcPr>
    </w:tblStylePr>
    <w:tblStylePr w:type="lastRow">
      <w:rPr>
        <w:b/>
        <w:bCs/>
        <w:color w:val="44546A" w:themeColor="text2"/>
        <w14:textFill>
          <w14:solidFill>
            <w14:schemeClr w14:val="tx2"/>
          </w14:solidFill>
        </w14:textFill>
      </w:rPr>
      <w:tblPr/>
      <w:tcPr>
        <w:tcBorders>
          <w:top w:val="single" w:color="FFC000" w:themeColor="accent4" w:sz="8" w:space="0"/>
          <w:bottom w:val="single" w:color="FFC000" w:themeColor="accent4" w:sz="8" w:space="0"/>
        </w:tcBorders>
      </w:tcPr>
    </w:tblStylePr>
    <w:tblStylePr w:type="firstCol">
      <w:rPr>
        <w:b/>
        <w:bCs/>
      </w:rPr>
    </w:tblStylePr>
    <w:tblStylePr w:type="lastCol">
      <w:rPr>
        <w:b/>
        <w:bCs/>
      </w:rPr>
      <w:tblPr/>
      <w:tcPr>
        <w:tcBorders>
          <w:top w:val="single" w:color="FFC000" w:themeColor="accent4" w:sz="8" w:space="0"/>
          <w:bottom w:val="single" w:color="FFC000" w:themeColor="accent4" w:sz="8" w:space="0"/>
        </w:tcBorders>
      </w:tcPr>
    </w:tblStylePr>
    <w:tblStylePr w:type="band1Vert">
      <w:tblPr/>
      <w:tcPr>
        <w:shd w:val="clear" w:color="auto" w:fill="FFEFBF" w:themeFill="accent4" w:themeFillTint="3F"/>
      </w:tcPr>
    </w:tblStylePr>
    <w:tblStylePr w:type="band1Horz">
      <w:tblPr/>
      <w:tcPr>
        <w:shd w:val="clear" w:color="auto" w:fill="FFEFBF" w:themeFill="accent4" w:themeFillTint="3F"/>
      </w:tcPr>
    </w:tblStylePr>
  </w:style>
  <w:style w:type="table" w:styleId="173">
    <w:name w:val="Medium List 1 Accent 5"/>
    <w:basedOn w:val="88"/>
    <w:semiHidden/>
    <w:unhideWhenUsed/>
    <w:qFormat/>
    <w:uiPriority w:val="65"/>
    <w:rPr>
      <w:color w:val="000000" w:themeColor="text1"/>
      <w14:textFill>
        <w14:solidFill>
          <w14:schemeClr w14:val="tx1"/>
        </w14:solidFill>
      </w14:textFill>
    </w:rPr>
    <w:tblPr>
      <w:tblBorders>
        <w:top w:val="single" w:color="4472C4" w:themeColor="accent5" w:sz="8" w:space="0"/>
        <w:bottom w:val="single" w:color="4472C4"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472C4" w:themeColor="accent5" w:sz="8" w:space="0"/>
        </w:tcBorders>
      </w:tcPr>
    </w:tblStylePr>
    <w:tblStylePr w:type="lastRow">
      <w:rPr>
        <w:b/>
        <w:bCs/>
        <w:color w:val="44546A" w:themeColor="text2"/>
        <w14:textFill>
          <w14:solidFill>
            <w14:schemeClr w14:val="tx2"/>
          </w14:solidFill>
        </w14:textFill>
      </w:rPr>
      <w:tblPr/>
      <w:tcPr>
        <w:tcBorders>
          <w:top w:val="single" w:color="4472C4" w:themeColor="accent5" w:sz="8" w:space="0"/>
          <w:bottom w:val="single" w:color="4472C4" w:themeColor="accent5" w:sz="8" w:space="0"/>
        </w:tcBorders>
      </w:tcPr>
    </w:tblStylePr>
    <w:tblStylePr w:type="firstCol">
      <w:rPr>
        <w:b/>
        <w:bCs/>
      </w:rPr>
    </w:tblStylePr>
    <w:tblStylePr w:type="lastCol">
      <w:rPr>
        <w:b/>
        <w:bCs/>
      </w:rPr>
      <w:tblPr/>
      <w:tcPr>
        <w:tcBorders>
          <w:top w:val="single" w:color="4472C4" w:themeColor="accent5" w:sz="8" w:space="0"/>
          <w:bottom w:val="single" w:color="4472C4" w:themeColor="accent5" w:sz="8" w:space="0"/>
        </w:tcBorders>
      </w:tcPr>
    </w:tblStylePr>
    <w:tblStylePr w:type="band1Vert">
      <w:tblPr/>
      <w:tcPr>
        <w:shd w:val="clear" w:color="auto" w:fill="D0DCF0" w:themeFill="accent5" w:themeFillTint="3F"/>
      </w:tcPr>
    </w:tblStylePr>
    <w:tblStylePr w:type="band1Horz">
      <w:tblPr/>
      <w:tcPr>
        <w:shd w:val="clear" w:color="auto" w:fill="D0DCF0" w:themeFill="accent5" w:themeFillTint="3F"/>
      </w:tcPr>
    </w:tblStylePr>
  </w:style>
  <w:style w:type="table" w:styleId="174">
    <w:name w:val="Medium List 1 Accent 6"/>
    <w:basedOn w:val="88"/>
    <w:semiHidden/>
    <w:unhideWhenUsed/>
    <w:qFormat/>
    <w:uiPriority w:val="65"/>
    <w:rPr>
      <w:color w:val="000000" w:themeColor="text1"/>
      <w14:textFill>
        <w14:solidFill>
          <w14:schemeClr w14:val="tx1"/>
        </w14:solidFill>
      </w14:textFill>
    </w:rPr>
    <w:tblPr>
      <w:tblBorders>
        <w:top w:val="single" w:color="70AD47" w:themeColor="accent6" w:sz="8" w:space="0"/>
        <w:bottom w:val="single" w:color="70AD47"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70AD47" w:themeColor="accent6" w:sz="8" w:space="0"/>
        </w:tcBorders>
      </w:tcPr>
    </w:tblStylePr>
    <w:tblStylePr w:type="lastRow">
      <w:rPr>
        <w:b/>
        <w:bCs/>
        <w:color w:val="44546A" w:themeColor="text2"/>
        <w14:textFill>
          <w14:solidFill>
            <w14:schemeClr w14:val="tx2"/>
          </w14:solidFill>
        </w14:textFill>
      </w:rPr>
      <w:tblPr/>
      <w:tcPr>
        <w:tcBorders>
          <w:top w:val="single" w:color="70AD47" w:themeColor="accent6" w:sz="8" w:space="0"/>
          <w:bottom w:val="single" w:color="70AD47" w:themeColor="accent6" w:sz="8" w:space="0"/>
        </w:tcBorders>
      </w:tcPr>
    </w:tblStylePr>
    <w:tblStylePr w:type="firstCol">
      <w:rPr>
        <w:b/>
        <w:bCs/>
      </w:rPr>
    </w:tblStylePr>
    <w:tblStylePr w:type="lastCol">
      <w:rPr>
        <w:b/>
        <w:bCs/>
      </w:rPr>
      <w:tblPr/>
      <w:tcPr>
        <w:tcBorders>
          <w:top w:val="single" w:color="70AD47" w:themeColor="accent6" w:sz="8" w:space="0"/>
          <w:bottom w:val="single" w:color="70AD47" w:themeColor="accent6" w:sz="8" w:space="0"/>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175">
    <w:name w:val="Medium List 2"/>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76">
    <w:name w:val="Medium List 2 Accent 1"/>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5B9BD5" w:themeColor="accent1" w:sz="8" w:space="0"/>
        <w:left w:val="single" w:color="5B9BD5" w:themeColor="accent1" w:sz="8" w:space="0"/>
        <w:bottom w:val="single" w:color="5B9BD5" w:themeColor="accent1" w:sz="8" w:space="0"/>
        <w:right w:val="single" w:color="5B9BD5"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5B9BD5" w:themeColor="accent1" w:sz="24" w:space="0"/>
          <w:right w:val="nil"/>
          <w:insideH w:val="nil"/>
          <w:insideV w:val="nil"/>
        </w:tcBorders>
        <w:shd w:val="clear" w:color="auto" w:fill="FFFFFF" w:themeFill="background1"/>
      </w:tcPr>
    </w:tblStylePr>
    <w:tblStylePr w:type="lastRow">
      <w:tblPr/>
      <w:tcPr>
        <w:tcBorders>
          <w:top w:val="single" w:color="5B9BD5"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5B9BD5" w:themeColor="accent1" w:sz="8" w:space="0"/>
          <w:insideH w:val="nil"/>
          <w:insideV w:val="nil"/>
        </w:tcBorders>
        <w:shd w:val="clear" w:color="auto" w:fill="FFFFFF" w:themeFill="background1"/>
      </w:tcPr>
    </w:tblStylePr>
    <w:tblStylePr w:type="lastCol">
      <w:tblPr/>
      <w:tcPr>
        <w:tcBorders>
          <w:top w:val="nil"/>
          <w:left w:val="single" w:color="5B9BD5"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77">
    <w:name w:val="Medium List 2 Accent 2"/>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ED7D31" w:themeColor="accent2" w:sz="8" w:space="0"/>
        <w:left w:val="single" w:color="ED7D31" w:themeColor="accent2" w:sz="8" w:space="0"/>
        <w:bottom w:val="single" w:color="ED7D31" w:themeColor="accent2" w:sz="8" w:space="0"/>
        <w:right w:val="single" w:color="ED7D31"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ED7D31" w:themeColor="accent2" w:sz="24" w:space="0"/>
          <w:right w:val="nil"/>
          <w:insideH w:val="nil"/>
          <w:insideV w:val="nil"/>
        </w:tcBorders>
        <w:shd w:val="clear" w:color="auto" w:fill="FFFFFF" w:themeFill="background1"/>
      </w:tcPr>
    </w:tblStylePr>
    <w:tblStylePr w:type="lastRow">
      <w:tblPr/>
      <w:tcPr>
        <w:tcBorders>
          <w:top w:val="single" w:color="ED7D31"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ED7D31" w:themeColor="accent2" w:sz="8" w:space="0"/>
          <w:insideH w:val="nil"/>
          <w:insideV w:val="nil"/>
        </w:tcBorders>
        <w:shd w:val="clear" w:color="auto" w:fill="FFFFFF" w:themeFill="background1"/>
      </w:tcPr>
    </w:tblStylePr>
    <w:tblStylePr w:type="lastCol">
      <w:tblPr/>
      <w:tcPr>
        <w:tcBorders>
          <w:top w:val="nil"/>
          <w:left w:val="single" w:color="ED7D31"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C" w:themeFill="accent2" w:themeFillTint="3F"/>
      </w:tcPr>
    </w:tblStylePr>
    <w:tblStylePr w:type="band1Horz">
      <w:tblPr/>
      <w:tcPr>
        <w:tcBorders>
          <w:top w:val="nil"/>
          <w:bottom w:val="nil"/>
          <w:insideH w:val="nil"/>
          <w:insideV w:val="nil"/>
        </w:tcBorders>
        <w:shd w:val="clear" w:color="auto" w:fill="FADE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78">
    <w:name w:val="Medium List 2 Accent 3"/>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A5A5A5" w:themeColor="accent3" w:sz="8" w:space="0"/>
        <w:left w:val="single" w:color="A5A5A5" w:themeColor="accent3" w:sz="8" w:space="0"/>
        <w:bottom w:val="single" w:color="A5A5A5" w:themeColor="accent3" w:sz="8" w:space="0"/>
        <w:right w:val="single" w:color="A5A5A5"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A5A5A5" w:themeColor="accent3" w:sz="24" w:space="0"/>
          <w:right w:val="nil"/>
          <w:insideH w:val="nil"/>
          <w:insideV w:val="nil"/>
        </w:tcBorders>
        <w:shd w:val="clear" w:color="auto" w:fill="FFFFFF" w:themeFill="background1"/>
      </w:tcPr>
    </w:tblStylePr>
    <w:tblStylePr w:type="lastRow">
      <w:tblPr/>
      <w:tcPr>
        <w:tcBorders>
          <w:top w:val="single" w:color="A5A5A5"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A5A5A5" w:themeColor="accent3" w:sz="8" w:space="0"/>
          <w:insideH w:val="nil"/>
          <w:insideV w:val="nil"/>
        </w:tcBorders>
        <w:shd w:val="clear" w:color="auto" w:fill="FFFFFF" w:themeFill="background1"/>
      </w:tcPr>
    </w:tblStylePr>
    <w:tblStylePr w:type="lastCol">
      <w:tblPr/>
      <w:tcPr>
        <w:tcBorders>
          <w:top w:val="nil"/>
          <w:left w:val="single" w:color="A5A5A5"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179">
    <w:name w:val="Medium List 2 Accent 4"/>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FFC000" w:themeColor="accent4" w:sz="8" w:space="0"/>
        <w:left w:val="single" w:color="FFC000" w:themeColor="accent4" w:sz="8" w:space="0"/>
        <w:bottom w:val="single" w:color="FFC000" w:themeColor="accent4" w:sz="8" w:space="0"/>
        <w:right w:val="single" w:color="FFC000"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FFC000" w:themeColor="accent4" w:sz="24" w:space="0"/>
          <w:right w:val="nil"/>
          <w:insideH w:val="nil"/>
          <w:insideV w:val="nil"/>
        </w:tcBorders>
        <w:shd w:val="clear" w:color="auto" w:fill="FFFFFF" w:themeFill="background1"/>
      </w:tcPr>
    </w:tblStylePr>
    <w:tblStylePr w:type="lastRow">
      <w:tblPr/>
      <w:tcPr>
        <w:tcBorders>
          <w:top w:val="single" w:color="FFC000"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FC000" w:themeColor="accent4" w:sz="8" w:space="0"/>
          <w:insideH w:val="nil"/>
          <w:insideV w:val="nil"/>
        </w:tcBorders>
        <w:shd w:val="clear" w:color="auto" w:fill="FFFFFF" w:themeFill="background1"/>
      </w:tcPr>
    </w:tblStylePr>
    <w:tblStylePr w:type="lastCol">
      <w:tblPr/>
      <w:tcPr>
        <w:tcBorders>
          <w:top w:val="nil"/>
          <w:left w:val="single" w:color="FFC000"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BF" w:themeFill="accent4" w:themeFillTint="3F"/>
      </w:tcPr>
    </w:tblStylePr>
    <w:tblStylePr w:type="band1Horz">
      <w:tblPr/>
      <w:tcPr>
        <w:tcBorders>
          <w:top w:val="nil"/>
          <w:bottom w:val="nil"/>
          <w:insideH w:val="nil"/>
          <w:insideV w:val="nil"/>
        </w:tcBorders>
        <w:shd w:val="clear" w:color="auto" w:fill="FFEFB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180">
    <w:name w:val="Medium List 2 Accent 5"/>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4472C4" w:themeColor="accent5" w:sz="8" w:space="0"/>
        <w:left w:val="single" w:color="4472C4" w:themeColor="accent5" w:sz="8" w:space="0"/>
        <w:bottom w:val="single" w:color="4472C4" w:themeColor="accent5" w:sz="8" w:space="0"/>
        <w:right w:val="single" w:color="4472C4"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472C4" w:themeColor="accent5" w:sz="24" w:space="0"/>
          <w:right w:val="nil"/>
          <w:insideH w:val="nil"/>
          <w:insideV w:val="nil"/>
        </w:tcBorders>
        <w:shd w:val="clear" w:color="auto" w:fill="FFFFFF" w:themeFill="background1"/>
      </w:tcPr>
    </w:tblStylePr>
    <w:tblStylePr w:type="lastRow">
      <w:tblPr/>
      <w:tcPr>
        <w:tcBorders>
          <w:top w:val="single" w:color="4472C4"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472C4" w:themeColor="accent5" w:sz="8" w:space="0"/>
          <w:insideH w:val="nil"/>
          <w:insideV w:val="nil"/>
        </w:tcBorders>
        <w:shd w:val="clear" w:color="auto" w:fill="FFFFFF" w:themeFill="background1"/>
      </w:tcPr>
    </w:tblStylePr>
    <w:tblStylePr w:type="lastCol">
      <w:tblPr/>
      <w:tcPr>
        <w:tcBorders>
          <w:top w:val="nil"/>
          <w:left w:val="single" w:color="4472C4"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CF0" w:themeFill="accent5" w:themeFillTint="3F"/>
      </w:tcPr>
    </w:tblStylePr>
    <w:tblStylePr w:type="band1Horz">
      <w:tblPr/>
      <w:tcPr>
        <w:tcBorders>
          <w:top w:val="nil"/>
          <w:bottom w:val="nil"/>
          <w:insideH w:val="nil"/>
          <w:insideV w:val="nil"/>
        </w:tcBorders>
        <w:shd w:val="clear" w:color="auto" w:fill="D0DC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81">
    <w:name w:val="Medium List 2 Accent 6"/>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70AD47" w:themeColor="accent6" w:sz="8" w:space="0"/>
        <w:left w:val="single" w:color="70AD47" w:themeColor="accent6" w:sz="8" w:space="0"/>
        <w:bottom w:val="single" w:color="70AD47" w:themeColor="accent6" w:sz="8" w:space="0"/>
        <w:right w:val="single" w:color="70AD47"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70AD47" w:themeColor="accent6" w:sz="24" w:space="0"/>
          <w:right w:val="nil"/>
          <w:insideH w:val="nil"/>
          <w:insideV w:val="nil"/>
        </w:tcBorders>
        <w:shd w:val="clear" w:color="auto" w:fill="FFFFFF" w:themeFill="background1"/>
      </w:tcPr>
    </w:tblStylePr>
    <w:tblStylePr w:type="lastRow">
      <w:tblPr/>
      <w:tcPr>
        <w:tcBorders>
          <w:top w:val="single" w:color="70AD47"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70AD47" w:themeColor="accent6" w:sz="8" w:space="0"/>
          <w:insideH w:val="nil"/>
          <w:insideV w:val="nil"/>
        </w:tcBorders>
        <w:shd w:val="clear" w:color="auto" w:fill="FFFFFF" w:themeFill="background1"/>
      </w:tcPr>
    </w:tblStylePr>
    <w:tblStylePr w:type="lastCol">
      <w:tblPr/>
      <w:tcPr>
        <w:tcBorders>
          <w:top w:val="nil"/>
          <w:left w:val="single" w:color="70AD47"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82">
    <w:name w:val="Medium Grid 1"/>
    <w:basedOn w:val="88"/>
    <w:semiHidden/>
    <w:unhideWhenUsed/>
    <w:qFormat/>
    <w:uiPriority w:val="67"/>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83">
    <w:name w:val="Medium Grid 1 Accent 1"/>
    <w:basedOn w:val="88"/>
    <w:semiHidden/>
    <w:unhideWhenUsed/>
    <w:qFormat/>
    <w:uiPriority w:val="67"/>
    <w:tblPr>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insideV w:val="single" w:color="84B4DF" w:themeColor="accent1" w:themeTint="BF" w:sz="8" w:space="0"/>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color="84B4DF" w:themeColor="accent1" w:themeTint="BF" w:sz="18" w:space="0"/>
        </w:tcBorders>
      </w:tcPr>
    </w:tblStylePr>
    <w:tblStylePr w:type="firstCol">
      <w:rPr>
        <w:b/>
        <w:bCs/>
      </w:rPr>
    </w:tblStylePr>
    <w:tblStylePr w:type="lastCol">
      <w:rPr>
        <w:b/>
        <w:bCs/>
      </w:rPr>
    </w:tblStylePr>
    <w:tblStylePr w:type="band1Vert">
      <w:tblPr/>
      <w:tcPr>
        <w:shd w:val="clear" w:color="auto" w:fill="ADCDEA" w:themeFill="accent1" w:themeFillTint="7F"/>
      </w:tcPr>
    </w:tblStylePr>
    <w:tblStylePr w:type="band1Horz">
      <w:tblPr/>
      <w:tcPr>
        <w:shd w:val="clear" w:color="auto" w:fill="ADCDEA" w:themeFill="accent1" w:themeFillTint="7F"/>
      </w:tcPr>
    </w:tblStylePr>
  </w:style>
  <w:style w:type="table" w:styleId="184">
    <w:name w:val="Medium Grid 1 Accent 2"/>
    <w:basedOn w:val="88"/>
    <w:semiHidden/>
    <w:unhideWhenUsed/>
    <w:qFormat/>
    <w:uiPriority w:val="67"/>
    <w:tblPr>
      <w:tblBorders>
        <w:top w:val="single" w:color="F19D64" w:themeColor="accent2" w:themeTint="BF" w:sz="8" w:space="0"/>
        <w:left w:val="single" w:color="F19D64" w:themeColor="accent2" w:themeTint="BF" w:sz="8" w:space="0"/>
        <w:bottom w:val="single" w:color="F19D64" w:themeColor="accent2" w:themeTint="BF" w:sz="8" w:space="0"/>
        <w:right w:val="single" w:color="F19D64" w:themeColor="accent2" w:themeTint="BF" w:sz="8" w:space="0"/>
        <w:insideH w:val="single" w:color="F19D64" w:themeColor="accent2" w:themeTint="BF" w:sz="8" w:space="0"/>
        <w:insideV w:val="single" w:color="F19D64" w:themeColor="accent2" w:themeTint="BF" w:sz="8" w:space="0"/>
      </w:tblBorders>
      <w:tblCellMar>
        <w:top w:w="0" w:type="dxa"/>
        <w:left w:w="108" w:type="dxa"/>
        <w:bottom w:w="0" w:type="dxa"/>
        <w:right w:w="108" w:type="dxa"/>
      </w:tblCellMar>
    </w:tblPr>
    <w:tcPr>
      <w:shd w:val="clear" w:color="auto" w:fill="FADECC" w:themeFill="accent2" w:themeFillTint="3F"/>
    </w:tcPr>
    <w:tblStylePr w:type="firstRow">
      <w:rPr>
        <w:b/>
        <w:bCs/>
      </w:rPr>
    </w:tblStylePr>
    <w:tblStylePr w:type="lastRow">
      <w:rPr>
        <w:b/>
        <w:bCs/>
      </w:rPr>
      <w:tblPr/>
      <w:tcPr>
        <w:tcBorders>
          <w:top w:val="single" w:color="F19D64" w:themeColor="accent2" w:themeTint="BF" w:sz="18" w:space="0"/>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85">
    <w:name w:val="Medium Grid 1 Accent 3"/>
    <w:basedOn w:val="88"/>
    <w:semiHidden/>
    <w:unhideWhenUsed/>
    <w:qFormat/>
    <w:uiPriority w:val="67"/>
    <w:tblPr>
      <w:tbl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single" w:color="BBBBBB" w:themeColor="accent3" w:themeTint="BF" w:sz="8" w:space="0"/>
        <w:insideV w:val="single" w:color="BBBBBB" w:themeColor="accent3" w:themeTint="BF" w:sz="8" w:space="0"/>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color="BBBBBB" w:themeColor="accent3" w:themeTint="BF" w:sz="18" w:space="0"/>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86">
    <w:name w:val="Medium Grid 1 Accent 4"/>
    <w:basedOn w:val="88"/>
    <w:semiHidden/>
    <w:unhideWhenUsed/>
    <w:qFormat/>
    <w:uiPriority w:val="67"/>
    <w:tblPr>
      <w:tbl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single" w:color="FFCF3F" w:themeColor="accent4" w:themeTint="BF" w:sz="8" w:space="0"/>
        <w:insideV w:val="single" w:color="FFCF3F" w:themeColor="accent4" w:themeTint="BF" w:sz="8" w:space="0"/>
      </w:tblBorders>
      <w:tblCellMar>
        <w:top w:w="0" w:type="dxa"/>
        <w:left w:w="108" w:type="dxa"/>
        <w:bottom w:w="0" w:type="dxa"/>
        <w:right w:w="108" w:type="dxa"/>
      </w:tblCellMar>
    </w:tblPr>
    <w:tcPr>
      <w:shd w:val="clear" w:color="auto" w:fill="FFEFBF" w:themeFill="accent4" w:themeFillTint="3F"/>
    </w:tcPr>
    <w:tblStylePr w:type="firstRow">
      <w:rPr>
        <w:b/>
        <w:bCs/>
      </w:rPr>
    </w:tblStylePr>
    <w:tblStylePr w:type="lastRow">
      <w:rPr>
        <w:b/>
        <w:bCs/>
      </w:rPr>
      <w:tblPr/>
      <w:tcPr>
        <w:tcBorders>
          <w:top w:val="single" w:color="FFCF3F" w:themeColor="accent4" w:themeTint="BF" w:sz="18" w:space="0"/>
        </w:tcBorders>
      </w:tcPr>
    </w:tblStylePr>
    <w:tblStylePr w:type="firstCol">
      <w:rPr>
        <w:b/>
        <w:bCs/>
      </w:rPr>
    </w:tblStylePr>
    <w:tblStylePr w:type="lastCol">
      <w:rPr>
        <w:b/>
        <w:bCs/>
      </w:rPr>
    </w:tblStylePr>
    <w:tblStylePr w:type="band1Vert">
      <w:tblPr/>
      <w:tcPr>
        <w:shd w:val="clear" w:color="auto" w:fill="FFDF7F" w:themeFill="accent4" w:themeFillTint="7F"/>
      </w:tcPr>
    </w:tblStylePr>
    <w:tblStylePr w:type="band1Horz">
      <w:tblPr/>
      <w:tcPr>
        <w:shd w:val="clear" w:color="auto" w:fill="FFDF7F" w:themeFill="accent4" w:themeFillTint="7F"/>
      </w:tcPr>
    </w:tblStylePr>
  </w:style>
  <w:style w:type="table" w:styleId="187">
    <w:name w:val="Medium Grid 1 Accent 5"/>
    <w:basedOn w:val="88"/>
    <w:semiHidden/>
    <w:unhideWhenUsed/>
    <w:qFormat/>
    <w:uiPriority w:val="67"/>
    <w:tblPr>
      <w:tblBorders>
        <w:top w:val="single" w:color="7295D2" w:themeColor="accent5" w:themeTint="BF" w:sz="8" w:space="0"/>
        <w:left w:val="single" w:color="7295D2" w:themeColor="accent5" w:themeTint="BF" w:sz="8" w:space="0"/>
        <w:bottom w:val="single" w:color="7295D2" w:themeColor="accent5" w:themeTint="BF" w:sz="8" w:space="0"/>
        <w:right w:val="single" w:color="7295D2" w:themeColor="accent5" w:themeTint="BF" w:sz="8" w:space="0"/>
        <w:insideH w:val="single" w:color="7295D2" w:themeColor="accent5" w:themeTint="BF" w:sz="8" w:space="0"/>
        <w:insideV w:val="single" w:color="7295D2" w:themeColor="accent5" w:themeTint="BF" w:sz="8" w:space="0"/>
      </w:tblBorders>
      <w:tblCellMar>
        <w:top w:w="0" w:type="dxa"/>
        <w:left w:w="108" w:type="dxa"/>
        <w:bottom w:w="0" w:type="dxa"/>
        <w:right w:w="108" w:type="dxa"/>
      </w:tblCellMar>
    </w:tblPr>
    <w:tcPr>
      <w:shd w:val="clear" w:color="auto" w:fill="D0DCF0" w:themeFill="accent5" w:themeFillTint="3F"/>
    </w:tcPr>
    <w:tblStylePr w:type="firstRow">
      <w:rPr>
        <w:b/>
        <w:bCs/>
      </w:rPr>
    </w:tblStylePr>
    <w:tblStylePr w:type="lastRow">
      <w:rPr>
        <w:b/>
        <w:bCs/>
      </w:rPr>
      <w:tblPr/>
      <w:tcPr>
        <w:tcBorders>
          <w:top w:val="single" w:color="7295D2" w:themeColor="accent5" w:themeTint="BF" w:sz="18" w:space="0"/>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88">
    <w:name w:val="Medium Grid 1 Accent 6"/>
    <w:basedOn w:val="88"/>
    <w:semiHidden/>
    <w:unhideWhenUsed/>
    <w:qFormat/>
    <w:uiPriority w:val="67"/>
    <w:tblPr>
      <w:tblBorders>
        <w:top w:val="single" w:color="93C571" w:themeColor="accent6" w:themeTint="BF" w:sz="8" w:space="0"/>
        <w:left w:val="single" w:color="93C571" w:themeColor="accent6" w:themeTint="BF" w:sz="8" w:space="0"/>
        <w:bottom w:val="single" w:color="93C571" w:themeColor="accent6" w:themeTint="BF" w:sz="8" w:space="0"/>
        <w:right w:val="single" w:color="93C571" w:themeColor="accent6" w:themeTint="BF" w:sz="8" w:space="0"/>
        <w:insideH w:val="single" w:color="93C571" w:themeColor="accent6" w:themeTint="BF" w:sz="8" w:space="0"/>
        <w:insideV w:val="single" w:color="93C571" w:themeColor="accent6" w:themeTint="BF" w:sz="8" w:space="0"/>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color="93C571" w:themeColor="accent6" w:themeTint="BF" w:sz="18" w:space="0"/>
        </w:tcBorders>
      </w:tcPr>
    </w:tblStylePr>
    <w:tblStylePr w:type="firstCol">
      <w:rPr>
        <w:b/>
        <w:bCs/>
      </w:rPr>
    </w:tblStylePr>
    <w:tblStylePr w:type="lastCol">
      <w:rPr>
        <w:b/>
        <w:bCs/>
      </w:rPr>
    </w:tblStylePr>
    <w:tblStylePr w:type="band1Vert">
      <w:tblPr/>
      <w:tcPr>
        <w:shd w:val="clear" w:color="auto" w:fill="B7D8A1" w:themeFill="accent6" w:themeFillTint="7F"/>
      </w:tcPr>
    </w:tblStylePr>
    <w:tblStylePr w:type="band1Horz">
      <w:tblPr/>
      <w:tcPr>
        <w:shd w:val="clear" w:color="auto" w:fill="B7D8A1" w:themeFill="accent6" w:themeFillTint="7F"/>
      </w:tcPr>
    </w:tblStylePr>
  </w:style>
  <w:style w:type="table" w:styleId="189">
    <w:name w:val="Medium Grid 2"/>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190">
    <w:name w:val="Medium Grid 2 Accent 1"/>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5B9BD5" w:themeColor="accent1" w:sz="8" w:space="0"/>
        <w:left w:val="single" w:color="5B9BD5" w:themeColor="accent1" w:sz="8" w:space="0"/>
        <w:bottom w:val="single" w:color="5B9BD5" w:themeColor="accent1" w:sz="8" w:space="0"/>
        <w:right w:val="single" w:color="5B9BD5" w:themeColor="accent1" w:sz="8" w:space="0"/>
        <w:insideH w:val="single" w:color="5B9BD5" w:themeColor="accent1" w:sz="8" w:space="0"/>
        <w:insideV w:val="single" w:color="5B9BD5" w:themeColor="accent1" w:sz="8" w:space="0"/>
      </w:tblBorders>
      <w:tblCellMar>
        <w:top w:w="0" w:type="dxa"/>
        <w:left w:w="108" w:type="dxa"/>
        <w:bottom w:w="0" w:type="dxa"/>
        <w:right w:w="108" w:type="dxa"/>
      </w:tblCellMar>
    </w:tblPr>
    <w:tcPr>
      <w:shd w:val="clear" w:color="auto" w:fill="D6E6F4" w:themeFill="accent1" w:themeFillTint="3F"/>
    </w:tcPr>
    <w:tblStylePr w:type="firstRow">
      <w:rPr>
        <w:b/>
        <w:bCs/>
        <w:color w:val="000000" w:themeColor="text1"/>
        <w14:textFill>
          <w14:solidFill>
            <w14:schemeClr w14:val="tx1"/>
          </w14:solidFill>
        </w14:textFill>
      </w:rPr>
      <w:tblPr/>
      <w:tcPr>
        <w:shd w:val="clear" w:color="auto" w:fill="EEF5FA"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DEA" w:themeFill="accent1" w:themeFillTint="7F"/>
      </w:tcPr>
    </w:tblStylePr>
    <w:tblStylePr w:type="band1Horz">
      <w:tblPr/>
      <w:tcPr>
        <w:tcBorders>
          <w:insideH w:val="single" w:sz="6" w:space="0"/>
          <w:insideV w:val="single" w:sz="6" w:space="0"/>
        </w:tcBorders>
        <w:shd w:val="clear" w:color="auto" w:fill="ADCDEA" w:themeFill="accent1" w:themeFillTint="7F"/>
      </w:tcPr>
    </w:tblStylePr>
    <w:tblStylePr w:type="nwCell">
      <w:tblPr/>
      <w:tcPr>
        <w:shd w:val="clear" w:color="auto" w:fill="FFFFFF" w:themeFill="background1"/>
      </w:tcPr>
    </w:tblStylePr>
  </w:style>
  <w:style w:type="table" w:styleId="191">
    <w:name w:val="Medium Grid 2 Accent 2"/>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ED7D31" w:themeColor="accent2" w:sz="8" w:space="0"/>
        <w:left w:val="single" w:color="ED7D31" w:themeColor="accent2" w:sz="8" w:space="0"/>
        <w:bottom w:val="single" w:color="ED7D31" w:themeColor="accent2" w:sz="8" w:space="0"/>
        <w:right w:val="single" w:color="ED7D31" w:themeColor="accent2" w:sz="8" w:space="0"/>
        <w:insideH w:val="single" w:color="ED7D31" w:themeColor="accent2" w:sz="8" w:space="0"/>
        <w:insideV w:val="single" w:color="ED7D31" w:themeColor="accent2" w:sz="8" w:space="0"/>
      </w:tblBorders>
      <w:tblCellMar>
        <w:top w:w="0" w:type="dxa"/>
        <w:left w:w="108" w:type="dxa"/>
        <w:bottom w:w="0" w:type="dxa"/>
        <w:right w:w="108" w:type="dxa"/>
      </w:tblCellMar>
    </w:tblPr>
    <w:tcPr>
      <w:shd w:val="clear" w:color="auto" w:fill="FADECC" w:themeFill="accent2" w:themeFillTint="3F"/>
    </w:tcPr>
    <w:tblStylePr w:type="firstRow">
      <w:rPr>
        <w:b/>
        <w:bCs/>
        <w:color w:val="000000" w:themeColor="text1"/>
        <w14:textFill>
          <w14:solidFill>
            <w14:schemeClr w14:val="tx1"/>
          </w14:solidFill>
        </w14:textFill>
      </w:rPr>
      <w:tblPr/>
      <w:tcPr>
        <w:shd w:val="clear" w:color="auto" w:fill="FDF2EA"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insideV w:val="single" w:sz="6" w:space="0"/>
        </w:tcBorders>
        <w:shd w:val="clear" w:color="auto" w:fill="F6BE98" w:themeFill="accent2" w:themeFillTint="7F"/>
      </w:tcPr>
    </w:tblStylePr>
    <w:tblStylePr w:type="nwCell">
      <w:tblPr/>
      <w:tcPr>
        <w:shd w:val="clear" w:color="auto" w:fill="FFFFFF" w:themeFill="background1"/>
      </w:tcPr>
    </w:tblStylePr>
  </w:style>
  <w:style w:type="table" w:styleId="192">
    <w:name w:val="Medium Grid 2 Accent 3"/>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A5A5A5" w:themeColor="accent3" w:sz="8" w:space="0"/>
        <w:left w:val="single" w:color="A5A5A5" w:themeColor="accent3" w:sz="8" w:space="0"/>
        <w:bottom w:val="single" w:color="A5A5A5" w:themeColor="accent3" w:sz="8" w:space="0"/>
        <w:right w:val="single" w:color="A5A5A5" w:themeColor="accent3" w:sz="8" w:space="0"/>
        <w:insideH w:val="single" w:color="A5A5A5" w:themeColor="accent3" w:sz="8" w:space="0"/>
        <w:insideV w:val="single" w:color="A5A5A5" w:themeColor="accent3" w:sz="8" w:space="0"/>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14:textFill>
          <w14:solidFill>
            <w14:schemeClr w14:val="tx1"/>
          </w14:solidFill>
        </w14:textFill>
      </w:rPr>
      <w:tblPr/>
      <w:tcPr>
        <w:shd w:val="clear" w:color="auto" w:fill="F6F6F6"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CECEC" w:themeFill="accent3" w:themeFillTint="33"/>
      </w:tcPr>
    </w:tblStylePr>
    <w:tblStylePr w:type="band1Vert">
      <w:tblPr/>
      <w:tcPr>
        <w:shd w:val="clear" w:color="auto" w:fill="D2D2D2" w:themeFill="accent3" w:themeFillTint="7F"/>
      </w:tcPr>
    </w:tblStylePr>
    <w:tblStylePr w:type="band1Horz">
      <w:tblPr/>
      <w:tcPr>
        <w:tcBorders>
          <w:insideH w:val="single" w:sz="6" w:space="0"/>
          <w:insideV w:val="single" w:sz="6" w:space="0"/>
        </w:tcBorders>
        <w:shd w:val="clear" w:color="auto" w:fill="D2D2D2" w:themeFill="accent3" w:themeFillTint="7F"/>
      </w:tcPr>
    </w:tblStylePr>
    <w:tblStylePr w:type="nwCell">
      <w:tblPr/>
      <w:tcPr>
        <w:shd w:val="clear" w:color="auto" w:fill="FFFFFF" w:themeFill="background1"/>
      </w:tcPr>
    </w:tblStylePr>
  </w:style>
  <w:style w:type="table" w:styleId="193">
    <w:name w:val="Medium Grid 2 Accent 4"/>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CellMar>
        <w:top w:w="0" w:type="dxa"/>
        <w:left w:w="108" w:type="dxa"/>
        <w:bottom w:w="0" w:type="dxa"/>
        <w:right w:w="108" w:type="dxa"/>
      </w:tblCellMar>
    </w:tblPr>
    <w:tcPr>
      <w:shd w:val="clear" w:color="auto" w:fill="FFEFBF" w:themeFill="accent4" w:themeFillTint="3F"/>
    </w:tcPr>
    <w:tblStylePr w:type="firstRow">
      <w:rPr>
        <w:b/>
        <w:bCs/>
        <w:color w:val="000000" w:themeColor="text1"/>
        <w14:textFill>
          <w14:solidFill>
            <w14:schemeClr w14:val="tx1"/>
          </w14:solidFill>
        </w14:textFill>
      </w:rPr>
      <w:tblPr/>
      <w:tcPr>
        <w:shd w:val="clear" w:color="auto" w:fill="FFF8E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EF2CC" w:themeFill="accent4" w:themeFillTint="33"/>
      </w:tcPr>
    </w:tblStylePr>
    <w:tblStylePr w:type="band1Vert">
      <w:tblPr/>
      <w:tcPr>
        <w:shd w:val="clear" w:color="auto" w:fill="FFDF7F" w:themeFill="accent4" w:themeFillTint="7F"/>
      </w:tcPr>
    </w:tblStylePr>
    <w:tblStylePr w:type="band1Horz">
      <w:tblPr/>
      <w:tcPr>
        <w:tcBorders>
          <w:insideH w:val="single" w:sz="6" w:space="0"/>
          <w:insideV w:val="single" w:sz="6" w:space="0"/>
        </w:tcBorders>
        <w:shd w:val="clear" w:color="auto" w:fill="FFDF7F" w:themeFill="accent4" w:themeFillTint="7F"/>
      </w:tcPr>
    </w:tblStylePr>
    <w:tblStylePr w:type="nwCell">
      <w:tblPr/>
      <w:tcPr>
        <w:shd w:val="clear" w:color="auto" w:fill="FFFFFF" w:themeFill="background1"/>
      </w:tcPr>
    </w:tblStylePr>
  </w:style>
  <w:style w:type="table" w:styleId="194">
    <w:name w:val="Medium Grid 2 Accent 5"/>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
    <w:tcPr>
      <w:shd w:val="clear" w:color="auto" w:fill="D0DCF0" w:themeFill="accent5" w:themeFillTint="3F"/>
    </w:tcPr>
    <w:tblStylePr w:type="firstRow">
      <w:rPr>
        <w:b/>
        <w:bCs/>
        <w:color w:val="000000" w:themeColor="text1"/>
        <w14:textFill>
          <w14:solidFill>
            <w14:schemeClr w14:val="tx1"/>
          </w14:solidFill>
        </w14:textFill>
      </w:rPr>
      <w:tblPr/>
      <w:tcPr>
        <w:shd w:val="clear" w:color="auto" w:fill="ECF1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insideV w:val="single" w:sz="6" w:space="0"/>
        </w:tcBorders>
        <w:shd w:val="clear" w:color="auto" w:fill="A1B8E1" w:themeFill="accent5" w:themeFillTint="7F"/>
      </w:tcPr>
    </w:tblStylePr>
    <w:tblStylePr w:type="nwCell">
      <w:tblPr/>
      <w:tcPr>
        <w:shd w:val="clear" w:color="auto" w:fill="FFFFFF" w:themeFill="background1"/>
      </w:tcPr>
    </w:tblStylePr>
  </w:style>
  <w:style w:type="table" w:styleId="195">
    <w:name w:val="Medium Grid 2 Accent 6"/>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CellMar>
        <w:top w:w="0" w:type="dxa"/>
        <w:left w:w="108" w:type="dxa"/>
        <w:bottom w:w="0" w:type="dxa"/>
        <w:right w:w="108" w:type="dxa"/>
      </w:tblCellMar>
    </w:tblPr>
    <w:tcPr>
      <w:shd w:val="clear" w:color="auto" w:fill="DBEBD0" w:themeFill="accent6" w:themeFillTint="3F"/>
    </w:tcPr>
    <w:tblStylePr w:type="firstRow">
      <w:rPr>
        <w:b/>
        <w:bCs/>
        <w:color w:val="000000" w:themeColor="text1"/>
        <w14:textFill>
          <w14:solidFill>
            <w14:schemeClr w14:val="tx1"/>
          </w14:solidFill>
        </w14:textFill>
      </w:rPr>
      <w:tblPr/>
      <w:tcPr>
        <w:shd w:val="clear" w:color="auto" w:fill="F0F7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1" w:themeFill="accent6" w:themeFillTint="7F"/>
      </w:tcPr>
    </w:tblStylePr>
    <w:tblStylePr w:type="band1Horz">
      <w:tblPr/>
      <w:tcPr>
        <w:tcBorders>
          <w:insideH w:val="single" w:sz="6" w:space="0"/>
          <w:insideV w:val="single" w:sz="6" w:space="0"/>
        </w:tcBorders>
        <w:shd w:val="clear" w:color="auto" w:fill="B7D8A1" w:themeFill="accent6" w:themeFillTint="7F"/>
      </w:tcPr>
    </w:tblStylePr>
    <w:tblStylePr w:type="nwCell">
      <w:tblPr/>
      <w:tcPr>
        <w:shd w:val="clear" w:color="auto" w:fill="FFFFFF" w:themeFill="background1"/>
      </w:tcPr>
    </w:tblStylePr>
  </w:style>
  <w:style w:type="table" w:styleId="196">
    <w:name w:val="Medium Grid 3"/>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197">
    <w:name w:val="Medium Grid 3 Accent 1"/>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5B9BD5"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5B9BD5"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5B9BD5"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5B9BD5"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DCDEA"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DCDEA" w:themeFill="accent1" w:themeFillTint="7F"/>
      </w:tcPr>
    </w:tblStylePr>
  </w:style>
  <w:style w:type="table" w:styleId="198">
    <w:name w:val="Medium Grid 3 Accent 2"/>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ADECC"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ED7D31"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ED7D31"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ED7D31"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ED7D31"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6BE98"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6BE98" w:themeFill="accent2" w:themeFillTint="7F"/>
      </w:tcPr>
    </w:tblStylePr>
  </w:style>
  <w:style w:type="table" w:styleId="199">
    <w:name w:val="Medium Grid 3 Accent 3"/>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A5A5A5"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A5A5A5"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A5A5A5"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A5A5A5"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2D2D2"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2D2D2" w:themeFill="accent3" w:themeFillTint="7F"/>
      </w:tcPr>
    </w:tblStylePr>
  </w:style>
  <w:style w:type="table" w:styleId="200">
    <w:name w:val="Medium Grid 3 Accent 4"/>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FEFBF"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FC000"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FC000"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FC000"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FC000"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FDF7F"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FDF7F" w:themeFill="accent4" w:themeFillTint="7F"/>
      </w:tcPr>
    </w:tblStylePr>
  </w:style>
  <w:style w:type="table" w:styleId="201">
    <w:name w:val="Medium Grid 3 Accent 5"/>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0DC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472C4"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472C4"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472C4"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472C4"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1B8E1"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1B8E1" w:themeFill="accent5" w:themeFillTint="7F"/>
      </w:tcPr>
    </w:tblStylePr>
  </w:style>
  <w:style w:type="table" w:styleId="202">
    <w:name w:val="Medium Grid 3 Accent 6"/>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70AD47"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70AD47"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70AD47"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70AD47"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7D8A1"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7D8A1" w:themeFill="accent6" w:themeFillTint="7F"/>
      </w:tcPr>
    </w:tblStylePr>
  </w:style>
  <w:style w:type="table" w:styleId="203">
    <w:name w:val="Dark List"/>
    <w:basedOn w:val="88"/>
    <w:semiHidden/>
    <w:unhideWhenUsed/>
    <w:qFormat/>
    <w:uiPriority w:val="70"/>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204">
    <w:name w:val="Dark List Accent 1"/>
    <w:basedOn w:val="88"/>
    <w:semiHidden/>
    <w:unhideWhenUsed/>
    <w:qFormat/>
    <w:uiPriority w:val="70"/>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1E4D78"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2E75B5"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2E75B5" w:themeFill="accent1" w:themeFillShade="BF"/>
      </w:tcPr>
    </w:tblStylePr>
    <w:tblStylePr w:type="band1Vert">
      <w:tblPr/>
      <w:tcPr>
        <w:tcBorders>
          <w:top w:val="nil"/>
          <w:left w:val="nil"/>
          <w:bottom w:val="nil"/>
          <w:right w:val="nil"/>
          <w:insideH w:val="nil"/>
          <w:insideV w:val="nil"/>
        </w:tcBorders>
        <w:shd w:val="clear" w:color="auto" w:fill="2E75B5" w:themeFill="accent1" w:themeFillShade="BF"/>
      </w:tcPr>
    </w:tblStylePr>
    <w:tblStylePr w:type="band1Horz">
      <w:tblPr/>
      <w:tcPr>
        <w:tcBorders>
          <w:top w:val="nil"/>
          <w:left w:val="nil"/>
          <w:bottom w:val="nil"/>
          <w:right w:val="nil"/>
          <w:insideH w:val="nil"/>
          <w:insideV w:val="nil"/>
        </w:tcBorders>
        <w:shd w:val="clear" w:color="auto" w:fill="2E75B5" w:themeFill="accent1" w:themeFillShade="BF"/>
      </w:tcPr>
    </w:tblStylePr>
  </w:style>
  <w:style w:type="table" w:styleId="205">
    <w:name w:val="Dark List Accent 2"/>
    <w:basedOn w:val="88"/>
    <w:semiHidden/>
    <w:unhideWhenUsed/>
    <w:qFormat/>
    <w:uiPriority w:val="70"/>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ED7D31"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C55911"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C55911" w:themeFill="accent2" w:themeFillShade="BF"/>
      </w:tcPr>
    </w:tblStylePr>
    <w:tblStylePr w:type="band1Vert">
      <w:tblPr/>
      <w:tcPr>
        <w:tcBorders>
          <w:top w:val="nil"/>
          <w:left w:val="nil"/>
          <w:bottom w:val="nil"/>
          <w:right w:val="nil"/>
          <w:insideH w:val="nil"/>
          <w:insideV w:val="nil"/>
        </w:tcBorders>
        <w:shd w:val="clear" w:color="auto" w:fill="C55911" w:themeFill="accent2" w:themeFillShade="BF"/>
      </w:tcPr>
    </w:tblStylePr>
    <w:tblStylePr w:type="band1Horz">
      <w:tblPr/>
      <w:tcPr>
        <w:tcBorders>
          <w:top w:val="nil"/>
          <w:left w:val="nil"/>
          <w:bottom w:val="nil"/>
          <w:right w:val="nil"/>
          <w:insideH w:val="nil"/>
          <w:insideV w:val="nil"/>
        </w:tcBorders>
        <w:shd w:val="clear" w:color="auto" w:fill="C55911" w:themeFill="accent2" w:themeFillShade="BF"/>
      </w:tcPr>
    </w:tblStylePr>
  </w:style>
  <w:style w:type="table" w:styleId="206">
    <w:name w:val="Dark List Accent 3"/>
    <w:basedOn w:val="88"/>
    <w:semiHidden/>
    <w:unhideWhenUsed/>
    <w:qFormat/>
    <w:uiPriority w:val="70"/>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B7B7B"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207">
    <w:name w:val="Dark List Accent 4"/>
    <w:basedOn w:val="88"/>
    <w:semiHidden/>
    <w:unhideWhenUsed/>
    <w:qFormat/>
    <w:uiPriority w:val="70"/>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7E5F00"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BE8F00"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BE8F00" w:themeFill="accent4" w:themeFillShade="BF"/>
      </w:tcPr>
    </w:tblStylePr>
    <w:tblStylePr w:type="band1Vert">
      <w:tblPr/>
      <w:tcPr>
        <w:tcBorders>
          <w:top w:val="nil"/>
          <w:left w:val="nil"/>
          <w:bottom w:val="nil"/>
          <w:right w:val="nil"/>
          <w:insideH w:val="nil"/>
          <w:insideV w:val="nil"/>
        </w:tcBorders>
        <w:shd w:val="clear" w:color="auto" w:fill="BE8F00" w:themeFill="accent4" w:themeFillShade="BF"/>
      </w:tcPr>
    </w:tblStylePr>
    <w:tblStylePr w:type="band1Horz">
      <w:tblPr/>
      <w:tcPr>
        <w:tcBorders>
          <w:top w:val="nil"/>
          <w:left w:val="nil"/>
          <w:bottom w:val="nil"/>
          <w:right w:val="nil"/>
          <w:insideH w:val="nil"/>
          <w:insideV w:val="nil"/>
        </w:tcBorders>
        <w:shd w:val="clear" w:color="auto" w:fill="BE8F00" w:themeFill="accent4" w:themeFillShade="BF"/>
      </w:tcPr>
    </w:tblStylePr>
  </w:style>
  <w:style w:type="table" w:styleId="208">
    <w:name w:val="Dark List Accent 5"/>
    <w:basedOn w:val="88"/>
    <w:semiHidden/>
    <w:unhideWhenUsed/>
    <w:qFormat/>
    <w:uiPriority w:val="70"/>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472C4"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1F3863"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2F5496"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209">
    <w:name w:val="Dark List Accent 6"/>
    <w:basedOn w:val="88"/>
    <w:semiHidden/>
    <w:unhideWhenUsed/>
    <w:qFormat/>
    <w:uiPriority w:val="70"/>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538135"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210">
    <w:name w:val="Colorful Shading"/>
    <w:basedOn w:val="88"/>
    <w:semiHidden/>
    <w:unhideWhenUsed/>
    <w:qFormat/>
    <w:uiPriority w:val="71"/>
    <w:rPr>
      <w:color w:val="000000" w:themeColor="text1"/>
      <w14:textFill>
        <w14:solidFill>
          <w14:schemeClr w14:val="tx1"/>
        </w14:solidFill>
      </w14:textFill>
    </w:rPr>
    <w:tblPr>
      <w:tblBorders>
        <w:top w:val="single" w:color="ED7D31"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ED7D31"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1">
    <w:name w:val="Colorful Shading Accent 1"/>
    <w:basedOn w:val="88"/>
    <w:semiHidden/>
    <w:unhideWhenUsed/>
    <w:qFormat/>
    <w:uiPriority w:val="71"/>
    <w:rPr>
      <w:color w:val="000000" w:themeColor="text1"/>
      <w14:textFill>
        <w14:solidFill>
          <w14:schemeClr w14:val="tx1"/>
        </w14:solidFill>
      </w14:textFill>
    </w:rPr>
    <w:tblPr>
      <w:tblBorders>
        <w:top w:val="single" w:color="ED7D31" w:themeColor="accent2" w:sz="24" w:space="0"/>
        <w:left w:val="single" w:color="5B9BD5" w:themeColor="accent1" w:sz="4" w:space="0"/>
        <w:bottom w:val="single" w:color="5B9BD5" w:themeColor="accent1" w:sz="4" w:space="0"/>
        <w:right w:val="single" w:color="5B9BD5"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EF5FA" w:themeFill="accent1" w:themeFillTint="19"/>
    </w:tcPr>
    <w:tblStylePr w:type="firstRow">
      <w:rPr>
        <w:b/>
        <w:bCs/>
      </w:rPr>
      <w:tblPr/>
      <w:tcPr>
        <w:tcBorders>
          <w:top w:val="nil"/>
          <w:left w:val="nil"/>
          <w:bottom w:val="single" w:color="ED7D31"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55D91"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55D91"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DEA"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2">
    <w:name w:val="Colorful Shading Accent 2"/>
    <w:basedOn w:val="88"/>
    <w:semiHidden/>
    <w:unhideWhenUsed/>
    <w:qFormat/>
    <w:uiPriority w:val="71"/>
    <w:rPr>
      <w:color w:val="000000" w:themeColor="text1"/>
      <w14:textFill>
        <w14:solidFill>
          <w14:schemeClr w14:val="tx1"/>
        </w14:solidFill>
      </w14:textFill>
    </w:rPr>
    <w:tblPr>
      <w:tblBorders>
        <w:top w:val="single" w:color="ED7D31" w:themeColor="accent2" w:sz="24" w:space="0"/>
        <w:left w:val="single" w:color="ED7D31" w:themeColor="accent2" w:sz="4" w:space="0"/>
        <w:bottom w:val="single" w:color="ED7D31" w:themeColor="accent2" w:sz="4" w:space="0"/>
        <w:right w:val="single" w:color="ED7D31"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DF2EA" w:themeFill="accent2" w:themeFillTint="19"/>
    </w:tcPr>
    <w:tblStylePr w:type="firstRow">
      <w:rPr>
        <w:b/>
        <w:bCs/>
      </w:rPr>
      <w:tblPr/>
      <w:tcPr>
        <w:tcBorders>
          <w:top w:val="nil"/>
          <w:left w:val="nil"/>
          <w:bottom w:val="single" w:color="ED7D31"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9D480D"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9D480D"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9D48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3">
    <w:name w:val="Colorful Shading Accent 3"/>
    <w:basedOn w:val="88"/>
    <w:semiHidden/>
    <w:unhideWhenUsed/>
    <w:qFormat/>
    <w:uiPriority w:val="71"/>
    <w:rPr>
      <w:color w:val="000000" w:themeColor="text1"/>
      <w14:textFill>
        <w14:solidFill>
          <w14:schemeClr w14:val="tx1"/>
        </w14:solidFill>
      </w14:textFill>
    </w:rPr>
    <w:tblPr>
      <w:tblBorders>
        <w:top w:val="single" w:color="FFC000" w:themeColor="accent4" w:sz="24" w:space="0"/>
        <w:left w:val="single" w:color="A5A5A5" w:themeColor="accent3" w:sz="4" w:space="0"/>
        <w:bottom w:val="single" w:color="A5A5A5" w:themeColor="accent3" w:sz="4" w:space="0"/>
        <w:right w:val="single" w:color="A5A5A5"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color="FFC000"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626262"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626262"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626262" w:themeFill="accent3" w:themeFillShade="99"/>
      </w:tcPr>
    </w:tblStylePr>
    <w:tblStylePr w:type="band1Vert">
      <w:tblPr/>
      <w:tcPr>
        <w:shd w:val="clear" w:color="auto" w:fill="DADADA" w:themeFill="accent3" w:themeFillTint="66"/>
      </w:tcPr>
    </w:tblStylePr>
    <w:tblStylePr w:type="band1Horz">
      <w:tblPr/>
      <w:tcPr>
        <w:shd w:val="clear" w:color="auto" w:fill="D2D2D2" w:themeFill="accent3" w:themeFillTint="7F"/>
      </w:tcPr>
    </w:tblStylePr>
  </w:style>
  <w:style w:type="table" w:styleId="214">
    <w:name w:val="Colorful Shading Accent 4"/>
    <w:basedOn w:val="88"/>
    <w:semiHidden/>
    <w:unhideWhenUsed/>
    <w:qFormat/>
    <w:uiPriority w:val="71"/>
    <w:rPr>
      <w:color w:val="000000" w:themeColor="text1"/>
      <w14:textFill>
        <w14:solidFill>
          <w14:schemeClr w14:val="tx1"/>
        </w14:solidFill>
      </w14:textFill>
    </w:rPr>
    <w:tblPr>
      <w:tblBorders>
        <w:top w:val="single" w:color="A5A5A5" w:themeColor="accent3" w:sz="24" w:space="0"/>
        <w:left w:val="single" w:color="FFC000" w:themeColor="accent4" w:sz="4" w:space="0"/>
        <w:bottom w:val="single" w:color="FFC000" w:themeColor="accent4" w:sz="4" w:space="0"/>
        <w:right w:val="single" w:color="FFC000"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FF8E5" w:themeFill="accent4" w:themeFillTint="19"/>
    </w:tcPr>
    <w:tblStylePr w:type="firstRow">
      <w:rPr>
        <w:b/>
        <w:bCs/>
      </w:rPr>
      <w:tblPr/>
      <w:tcPr>
        <w:tcBorders>
          <w:top w:val="nil"/>
          <w:left w:val="nil"/>
          <w:bottom w:val="single" w:color="A5A5A5"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997300"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997300"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7F"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5">
    <w:name w:val="Colorful Shading Accent 5"/>
    <w:basedOn w:val="88"/>
    <w:semiHidden/>
    <w:unhideWhenUsed/>
    <w:qFormat/>
    <w:uiPriority w:val="71"/>
    <w:rPr>
      <w:color w:val="000000" w:themeColor="text1"/>
      <w14:textFill>
        <w14:solidFill>
          <w14:schemeClr w14:val="tx1"/>
        </w14:solidFill>
      </w14:textFill>
    </w:rPr>
    <w:tblPr>
      <w:tblBorders>
        <w:top w:val="single" w:color="70AD47" w:themeColor="accent6" w:sz="24" w:space="0"/>
        <w:left w:val="single" w:color="4472C4" w:themeColor="accent5" w:sz="4" w:space="0"/>
        <w:bottom w:val="single" w:color="4472C4" w:themeColor="accent5" w:sz="4" w:space="0"/>
        <w:right w:val="single" w:color="4472C4"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color="70AD47"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54378"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54378"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5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6">
    <w:name w:val="Colorful Shading Accent 6"/>
    <w:basedOn w:val="88"/>
    <w:semiHidden/>
    <w:unhideWhenUsed/>
    <w:qFormat/>
    <w:uiPriority w:val="71"/>
    <w:rPr>
      <w:color w:val="000000" w:themeColor="text1"/>
      <w14:textFill>
        <w14:solidFill>
          <w14:schemeClr w14:val="tx1"/>
        </w14:solidFill>
      </w14:textFill>
    </w:rPr>
    <w:tblPr>
      <w:tblBorders>
        <w:top w:val="single" w:color="4472C4" w:themeColor="accent5" w:sz="24" w:space="0"/>
        <w:left w:val="single" w:color="70AD47" w:themeColor="accent6" w:sz="4" w:space="0"/>
        <w:bottom w:val="single" w:color="70AD47" w:themeColor="accent6" w:sz="4" w:space="0"/>
        <w:right w:val="single" w:color="70AD47"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color="4472C4"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3672A"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3672A"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1"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7">
    <w:name w:val="Colorful List"/>
    <w:basedOn w:val="88"/>
    <w:semiHidden/>
    <w:unhideWhenUsed/>
    <w:qFormat/>
    <w:uiPriority w:val="72"/>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D26012" w:themeFill="accent2" w:themeFillShade="CC"/>
      </w:tcPr>
    </w:tblStylePr>
    <w:tblStylePr w:type="lastRow">
      <w:rPr>
        <w:b/>
        <w:bCs/>
        <w:color w:val="D26012"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218">
    <w:name w:val="Colorful List Accent 1"/>
    <w:basedOn w:val="88"/>
    <w:semiHidden/>
    <w:unhideWhenUsed/>
    <w:qFormat/>
    <w:uiPriority w:val="72"/>
    <w:rPr>
      <w:color w:val="000000" w:themeColor="text1"/>
      <w14:textFill>
        <w14:solidFill>
          <w14:schemeClr w14:val="tx1"/>
        </w14:solidFill>
      </w14:textFill>
    </w:rPr>
    <w:tblPr>
      <w:tblCellMar>
        <w:top w:w="0" w:type="dxa"/>
        <w:left w:w="108" w:type="dxa"/>
        <w:bottom w:w="0" w:type="dxa"/>
        <w:right w:w="108" w:type="dxa"/>
      </w:tblCellMar>
    </w:tblPr>
    <w:tcPr>
      <w:shd w:val="clear" w:color="auto" w:fill="EEF5FA"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D26012" w:themeFill="accent2" w:themeFillShade="CC"/>
      </w:tcPr>
    </w:tblStylePr>
    <w:tblStylePr w:type="lastRow">
      <w:rPr>
        <w:b/>
        <w:bCs/>
        <w:color w:val="D26012"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19">
    <w:name w:val="Colorful List Accent 2"/>
    <w:basedOn w:val="88"/>
    <w:semiHidden/>
    <w:unhideWhenUsed/>
    <w:qFormat/>
    <w:uiPriority w:val="72"/>
    <w:rPr>
      <w:color w:val="000000" w:themeColor="text1"/>
      <w14:textFill>
        <w14:solidFill>
          <w14:schemeClr w14:val="tx1"/>
        </w14:solidFill>
      </w14:textFill>
    </w:rPr>
    <w:tblPr>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D26012" w:themeFill="accent2" w:themeFillShade="CC"/>
      </w:tcPr>
    </w:tblStylePr>
    <w:tblStylePr w:type="lastRow">
      <w:rPr>
        <w:b/>
        <w:bCs/>
        <w:color w:val="D26012"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C" w:themeFill="accent2" w:themeFillTint="3F"/>
      </w:tcPr>
    </w:tblStylePr>
    <w:tblStylePr w:type="band1Horz">
      <w:tblPr/>
      <w:tcPr>
        <w:shd w:val="clear" w:color="auto" w:fill="FBE4D5" w:themeFill="accent2" w:themeFillTint="33"/>
      </w:tcPr>
    </w:tblStylePr>
  </w:style>
  <w:style w:type="table" w:styleId="220">
    <w:name w:val="Colorful List Accent 3"/>
    <w:basedOn w:val="88"/>
    <w:semiHidden/>
    <w:unhideWhenUsed/>
    <w:qFormat/>
    <w:uiPriority w:val="72"/>
    <w:rPr>
      <w:color w:val="000000" w:themeColor="text1"/>
      <w14:textFill>
        <w14:solidFill>
          <w14:schemeClr w14:val="tx1"/>
        </w14:solidFill>
      </w14:textFill>
    </w:rPr>
    <w:tblPr>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CC9900" w:themeFill="accent4" w:themeFillShade="CC"/>
      </w:tcPr>
    </w:tblStylePr>
    <w:tblStylePr w:type="lastRow">
      <w:rPr>
        <w:b/>
        <w:bCs/>
        <w:color w:val="CC9A00"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CECEC" w:themeFill="accent3" w:themeFillTint="33"/>
      </w:tcPr>
    </w:tblStylePr>
  </w:style>
  <w:style w:type="table" w:styleId="221">
    <w:name w:val="Colorful List Accent 4"/>
    <w:basedOn w:val="88"/>
    <w:semiHidden/>
    <w:unhideWhenUsed/>
    <w:qFormat/>
    <w:uiPriority w:val="72"/>
    <w:rPr>
      <w:color w:val="000000" w:themeColor="text1"/>
      <w14:textFill>
        <w14:solidFill>
          <w14:schemeClr w14:val="tx1"/>
        </w14:solidFill>
      </w14:textFill>
    </w:rPr>
    <w:tblPr>
      <w:tblCellMar>
        <w:top w:w="0" w:type="dxa"/>
        <w:left w:w="108" w:type="dxa"/>
        <w:bottom w:w="0" w:type="dxa"/>
        <w:right w:w="108" w:type="dxa"/>
      </w:tblCellMar>
    </w:tblPr>
    <w:tcPr>
      <w:shd w:val="clear" w:color="auto" w:fill="FFF8E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838383" w:themeFill="accent3" w:themeFillShade="CC"/>
      </w:tcPr>
    </w:tblStylePr>
    <w:tblStylePr w:type="lastRow">
      <w:rPr>
        <w:b/>
        <w:bCs/>
        <w:color w:val="848484"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BF" w:themeFill="accent4" w:themeFillTint="3F"/>
      </w:tcPr>
    </w:tblStylePr>
    <w:tblStylePr w:type="band1Horz">
      <w:tblPr/>
      <w:tcPr>
        <w:shd w:val="clear" w:color="auto" w:fill="FEF2CC" w:themeFill="accent4" w:themeFillTint="33"/>
      </w:tcPr>
    </w:tblStylePr>
  </w:style>
  <w:style w:type="table" w:styleId="222">
    <w:name w:val="Colorful List Accent 5"/>
    <w:basedOn w:val="88"/>
    <w:semiHidden/>
    <w:unhideWhenUsed/>
    <w:qFormat/>
    <w:uiPriority w:val="72"/>
    <w:rPr>
      <w:color w:val="000000" w:themeColor="text1"/>
      <w14:textFill>
        <w14:solidFill>
          <w14:schemeClr w14:val="tx1"/>
        </w14:solidFill>
      </w14:textFill>
    </w:rPr>
    <w:tblPr>
      <w:tblCellMar>
        <w:top w:w="0" w:type="dxa"/>
        <w:left w:w="108" w:type="dxa"/>
        <w:bottom w:w="0" w:type="dxa"/>
        <w:right w:w="108" w:type="dxa"/>
      </w:tblCellMar>
    </w:tblPr>
    <w:tcPr>
      <w:shd w:val="clear" w:color="auto" w:fill="ECF1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598A38" w:themeFill="accent6" w:themeFillShade="CC"/>
      </w:tcPr>
    </w:tblStylePr>
    <w:tblStylePr w:type="lastRow">
      <w:rPr>
        <w:b/>
        <w:bCs/>
        <w:color w:val="5A8A39"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CF0" w:themeFill="accent5" w:themeFillTint="3F"/>
      </w:tcPr>
    </w:tblStylePr>
    <w:tblStylePr w:type="band1Horz">
      <w:tblPr/>
      <w:tcPr>
        <w:shd w:val="clear" w:color="auto" w:fill="D9E2F3" w:themeFill="accent5" w:themeFillTint="33"/>
      </w:tcPr>
    </w:tblStylePr>
  </w:style>
  <w:style w:type="table" w:styleId="223">
    <w:name w:val="Colorful List Accent 6"/>
    <w:basedOn w:val="88"/>
    <w:semiHidden/>
    <w:unhideWhenUsed/>
    <w:qFormat/>
    <w:uiPriority w:val="72"/>
    <w:rPr>
      <w:color w:val="000000" w:themeColor="text1"/>
      <w14:textFill>
        <w14:solidFill>
          <w14:schemeClr w14:val="tx1"/>
        </w14:solidFill>
      </w14:textFill>
    </w:rPr>
    <w:tblPr>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25AA0" w:themeFill="accent5" w:themeFillShade="CC"/>
      </w:tcPr>
    </w:tblStylePr>
    <w:tblStylePr w:type="lastRow">
      <w:rPr>
        <w:b/>
        <w:bCs/>
        <w:color w:val="335AA1"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224">
    <w:name w:val="Colorful Grid"/>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225">
    <w:name w:val="Colorful Grid Accent 1"/>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14:textFill>
          <w14:solidFill>
            <w14:schemeClr w14:val="tx1"/>
          </w14:solidFill>
        </w14:textFill>
      </w:rPr>
      <w:tblPr/>
      <w:tcPr>
        <w:shd w:val="clear" w:color="auto" w:fill="BDD6EE" w:themeFill="accent1" w:themeFillTint="66"/>
      </w:tcPr>
    </w:tblStylePr>
    <w:tblStylePr w:type="firstCol">
      <w:rPr>
        <w:color w:val="FFFFFF" w:themeColor="background1"/>
        <w14:textFill>
          <w14:solidFill>
            <w14:schemeClr w14:val="bg1"/>
          </w14:solidFill>
        </w14:textFill>
      </w:rPr>
      <w:tblPr/>
      <w:tcPr>
        <w:shd w:val="clear" w:color="auto" w:fill="2E75B5" w:themeFill="accent1" w:themeFillShade="BF"/>
      </w:tcPr>
    </w:tblStylePr>
    <w:tblStylePr w:type="lastCol">
      <w:rPr>
        <w:color w:val="FFFFFF" w:themeColor="background1"/>
        <w14:textFill>
          <w14:solidFill>
            <w14:schemeClr w14:val="bg1"/>
          </w14:solidFill>
        </w14:textFill>
      </w:rPr>
      <w:tblPr/>
      <w:tcPr>
        <w:shd w:val="clear" w:color="auto" w:fill="2E75B5" w:themeFill="accent1" w:themeFillShade="BF"/>
      </w:tcPr>
    </w:tblStylePr>
    <w:tblStylePr w:type="band1Vert">
      <w:tblPr/>
      <w:tcPr>
        <w:shd w:val="clear" w:color="auto" w:fill="ADCDEA" w:themeFill="accent1" w:themeFillTint="7F"/>
      </w:tcPr>
    </w:tblStylePr>
    <w:tblStylePr w:type="band1Horz">
      <w:tblPr/>
      <w:tcPr>
        <w:shd w:val="clear" w:color="auto" w:fill="ADCDEA" w:themeFill="accent1" w:themeFillTint="7F"/>
      </w:tcPr>
    </w:tblStylePr>
  </w:style>
  <w:style w:type="table" w:styleId="226">
    <w:name w:val="Colorful Grid Accent 2"/>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14:textFill>
          <w14:solidFill>
            <w14:schemeClr w14:val="tx1"/>
          </w14:solidFill>
        </w14:textFill>
      </w:rPr>
      <w:tblPr/>
      <w:tcPr>
        <w:shd w:val="clear" w:color="auto" w:fill="F7CAAC" w:themeFill="accent2" w:themeFillTint="66"/>
      </w:tcPr>
    </w:tblStylePr>
    <w:tblStylePr w:type="firstCol">
      <w:rPr>
        <w:color w:val="FFFFFF" w:themeColor="background1"/>
        <w14:textFill>
          <w14:solidFill>
            <w14:schemeClr w14:val="bg1"/>
          </w14:solidFill>
        </w14:textFill>
      </w:rPr>
      <w:tblPr/>
      <w:tcPr>
        <w:shd w:val="clear" w:color="auto" w:fill="C55911" w:themeFill="accent2" w:themeFillShade="BF"/>
      </w:tcPr>
    </w:tblStylePr>
    <w:tblStylePr w:type="lastCol">
      <w:rPr>
        <w:color w:val="FFFFFF" w:themeColor="background1"/>
        <w14:textFill>
          <w14:solidFill>
            <w14:schemeClr w14:val="bg1"/>
          </w14:solidFill>
        </w14:textFill>
      </w:rPr>
      <w:tblPr/>
      <w:tcPr>
        <w:shd w:val="clear" w:color="auto" w:fill="C5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227">
    <w:name w:val="Colorful Grid Accent 3"/>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CECEC" w:themeFill="accent3" w:themeFillTint="33"/>
    </w:tcPr>
    <w:tblStylePr w:type="firstRow">
      <w:rPr>
        <w:b/>
        <w:bCs/>
      </w:rPr>
      <w:tblPr/>
      <w:tcPr>
        <w:shd w:val="clear" w:color="auto" w:fill="DADADA" w:themeFill="accent3" w:themeFillTint="66"/>
      </w:tcPr>
    </w:tblStylePr>
    <w:tblStylePr w:type="lastRow">
      <w:rPr>
        <w:b/>
        <w:bCs/>
        <w:color w:val="000000" w:themeColor="text1"/>
        <w14:textFill>
          <w14:solidFill>
            <w14:schemeClr w14:val="tx1"/>
          </w14:solidFill>
        </w14:textFill>
      </w:rPr>
      <w:tblPr/>
      <w:tcPr>
        <w:shd w:val="clear" w:color="auto" w:fill="DADADA" w:themeFill="accent3" w:themeFillTint="66"/>
      </w:tcPr>
    </w:tblStylePr>
    <w:tblStylePr w:type="firstCol">
      <w:rPr>
        <w:color w:val="FFFFFF" w:themeColor="background1"/>
        <w14:textFill>
          <w14:solidFill>
            <w14:schemeClr w14:val="bg1"/>
          </w14:solidFill>
        </w14:textFill>
      </w:rPr>
      <w:tblPr/>
      <w:tcPr>
        <w:shd w:val="clear" w:color="auto" w:fill="7B7B7B" w:themeFill="accent3" w:themeFillShade="BF"/>
      </w:tcPr>
    </w:tblStylePr>
    <w:tblStylePr w:type="lastCol">
      <w:rPr>
        <w:color w:val="FFFFFF" w:themeColor="background1"/>
        <w14:textFill>
          <w14:solidFill>
            <w14:schemeClr w14:val="bg1"/>
          </w14:solidFill>
        </w14:textFill>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228">
    <w:name w:val="Colorful Grid Accent 4"/>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EF2CC" w:themeFill="accent4" w:themeFillTint="33"/>
    </w:tcPr>
    <w:tblStylePr w:type="firstRow">
      <w:rPr>
        <w:b/>
        <w:bCs/>
      </w:rPr>
      <w:tblPr/>
      <w:tcPr>
        <w:shd w:val="clear" w:color="auto" w:fill="FFE599" w:themeFill="accent4" w:themeFillTint="66"/>
      </w:tcPr>
    </w:tblStylePr>
    <w:tblStylePr w:type="lastRow">
      <w:rPr>
        <w:b/>
        <w:bCs/>
        <w:color w:val="000000" w:themeColor="text1"/>
        <w14:textFill>
          <w14:solidFill>
            <w14:schemeClr w14:val="tx1"/>
          </w14:solidFill>
        </w14:textFill>
      </w:rPr>
      <w:tblPr/>
      <w:tcPr>
        <w:shd w:val="clear" w:color="auto" w:fill="FFE599" w:themeFill="accent4" w:themeFillTint="66"/>
      </w:tcPr>
    </w:tblStylePr>
    <w:tblStylePr w:type="firstCol">
      <w:rPr>
        <w:color w:val="FFFFFF" w:themeColor="background1"/>
        <w14:textFill>
          <w14:solidFill>
            <w14:schemeClr w14:val="bg1"/>
          </w14:solidFill>
        </w14:textFill>
      </w:rPr>
      <w:tblPr/>
      <w:tcPr>
        <w:shd w:val="clear" w:color="auto" w:fill="BE8F00" w:themeFill="accent4" w:themeFillShade="BF"/>
      </w:tcPr>
    </w:tblStylePr>
    <w:tblStylePr w:type="lastCol">
      <w:rPr>
        <w:color w:val="FFFFFF" w:themeColor="background1"/>
        <w14:textFill>
          <w14:solidFill>
            <w14:schemeClr w14:val="bg1"/>
          </w14:solidFill>
        </w14:textFill>
      </w:rPr>
      <w:tblPr/>
      <w:tcPr>
        <w:shd w:val="clear" w:color="auto" w:fill="BE8F00" w:themeFill="accent4" w:themeFillShade="BF"/>
      </w:tcPr>
    </w:tblStylePr>
    <w:tblStylePr w:type="band1Vert">
      <w:tblPr/>
      <w:tcPr>
        <w:shd w:val="clear" w:color="auto" w:fill="FFDF7F" w:themeFill="accent4" w:themeFillTint="7F"/>
      </w:tcPr>
    </w:tblStylePr>
    <w:tblStylePr w:type="band1Horz">
      <w:tblPr/>
      <w:tcPr>
        <w:shd w:val="clear" w:color="auto" w:fill="FFDF7F" w:themeFill="accent4" w:themeFillTint="7F"/>
      </w:tcPr>
    </w:tblStylePr>
  </w:style>
  <w:style w:type="table" w:styleId="229">
    <w:name w:val="Colorful Grid Accent 5"/>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14:textFill>
          <w14:solidFill>
            <w14:schemeClr w14:val="tx1"/>
          </w14:solidFill>
        </w14:textFill>
      </w:rPr>
      <w:tblPr/>
      <w:tcPr>
        <w:shd w:val="clear" w:color="auto" w:fill="B4C6E7" w:themeFill="accent5" w:themeFillTint="66"/>
      </w:tcPr>
    </w:tblStylePr>
    <w:tblStylePr w:type="firstCol">
      <w:rPr>
        <w:color w:val="FFFFFF" w:themeColor="background1"/>
        <w14:textFill>
          <w14:solidFill>
            <w14:schemeClr w14:val="bg1"/>
          </w14:solidFill>
        </w14:textFill>
      </w:rPr>
      <w:tblPr/>
      <w:tcPr>
        <w:shd w:val="clear" w:color="auto" w:fill="2F5496" w:themeFill="accent5" w:themeFillShade="BF"/>
      </w:tcPr>
    </w:tblStylePr>
    <w:tblStylePr w:type="lastCol">
      <w:rPr>
        <w:color w:val="FFFFFF" w:themeColor="background1"/>
        <w14:textFill>
          <w14:solidFill>
            <w14:schemeClr w14:val="bg1"/>
          </w14:solidFill>
        </w14:textFill>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230">
    <w:name w:val="Colorful Grid Accent 6"/>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14:textFill>
          <w14:solidFill>
            <w14:schemeClr w14:val="tx1"/>
          </w14:solidFill>
        </w14:textFill>
      </w:rPr>
      <w:tblPr/>
      <w:tcPr>
        <w:shd w:val="clear" w:color="auto" w:fill="C5E0B3" w:themeFill="accent6" w:themeFillTint="66"/>
      </w:tcPr>
    </w:tblStylePr>
    <w:tblStylePr w:type="firstCol">
      <w:rPr>
        <w:color w:val="FFFFFF" w:themeColor="background1"/>
        <w14:textFill>
          <w14:solidFill>
            <w14:schemeClr w14:val="bg1"/>
          </w14:solidFill>
        </w14:textFill>
      </w:rPr>
      <w:tblPr/>
      <w:tcPr>
        <w:shd w:val="clear" w:color="auto" w:fill="538135" w:themeFill="accent6" w:themeFillShade="BF"/>
      </w:tcPr>
    </w:tblStylePr>
    <w:tblStylePr w:type="lastCol">
      <w:rPr>
        <w:color w:val="FFFFFF" w:themeColor="background1"/>
        <w14:textFill>
          <w14:solidFill>
            <w14:schemeClr w14:val="bg1"/>
          </w14:solidFill>
        </w14:textFill>
      </w:rPr>
      <w:tblPr/>
      <w:tcPr>
        <w:shd w:val="clear" w:color="auto" w:fill="538135" w:themeFill="accent6" w:themeFillShade="BF"/>
      </w:tcPr>
    </w:tblStylePr>
    <w:tblStylePr w:type="band1Vert">
      <w:tblPr/>
      <w:tcPr>
        <w:shd w:val="clear" w:color="auto" w:fill="B7D8A1" w:themeFill="accent6" w:themeFillTint="7F"/>
      </w:tcPr>
    </w:tblStylePr>
    <w:tblStylePr w:type="band1Horz">
      <w:tblPr/>
      <w:tcPr>
        <w:shd w:val="clear" w:color="auto" w:fill="B7D8A1" w:themeFill="accent6" w:themeFillTint="7F"/>
      </w:tcPr>
    </w:tblStylePr>
  </w:style>
  <w:style w:type="character" w:styleId="232">
    <w:name w:val="Strong"/>
    <w:basedOn w:val="231"/>
    <w:qFormat/>
    <w:uiPriority w:val="22"/>
    <w:rPr>
      <w:b/>
      <w:bCs/>
    </w:rPr>
  </w:style>
  <w:style w:type="character" w:styleId="233">
    <w:name w:val="endnote reference"/>
    <w:basedOn w:val="231"/>
    <w:semiHidden/>
    <w:unhideWhenUsed/>
    <w:qFormat/>
    <w:uiPriority w:val="99"/>
    <w:rPr>
      <w:vertAlign w:val="superscript"/>
    </w:rPr>
  </w:style>
  <w:style w:type="character" w:styleId="234">
    <w:name w:val="page number"/>
    <w:basedOn w:val="231"/>
    <w:semiHidden/>
    <w:qFormat/>
    <w:uiPriority w:val="0"/>
    <w:rPr>
      <w:rFonts w:ascii="Times New Roman" w:hAnsi="Times New Roman" w:eastAsia="宋体"/>
      <w:sz w:val="18"/>
    </w:rPr>
  </w:style>
  <w:style w:type="character" w:styleId="235">
    <w:name w:val="FollowedHyperlink"/>
    <w:basedOn w:val="231"/>
    <w:semiHidden/>
    <w:unhideWhenUsed/>
    <w:qFormat/>
    <w:uiPriority w:val="99"/>
    <w:rPr>
      <w:color w:val="954F72" w:themeColor="followedHyperlink"/>
      <w:u w:val="single"/>
      <w14:textFill>
        <w14:solidFill>
          <w14:schemeClr w14:val="folHlink"/>
        </w14:solidFill>
      </w14:textFill>
    </w:rPr>
  </w:style>
  <w:style w:type="character" w:styleId="236">
    <w:name w:val="Emphasis"/>
    <w:basedOn w:val="231"/>
    <w:qFormat/>
    <w:uiPriority w:val="20"/>
    <w:rPr>
      <w:i/>
      <w:iCs/>
    </w:rPr>
  </w:style>
  <w:style w:type="character" w:styleId="237">
    <w:name w:val="line number"/>
    <w:basedOn w:val="231"/>
    <w:semiHidden/>
    <w:unhideWhenUsed/>
    <w:qFormat/>
    <w:uiPriority w:val="99"/>
  </w:style>
  <w:style w:type="character" w:styleId="238">
    <w:name w:val="HTML Definition"/>
    <w:basedOn w:val="231"/>
    <w:semiHidden/>
    <w:qFormat/>
    <w:uiPriority w:val="0"/>
    <w:rPr>
      <w:i/>
      <w:iCs/>
    </w:rPr>
  </w:style>
  <w:style w:type="character" w:styleId="239">
    <w:name w:val="HTML Typewriter"/>
    <w:basedOn w:val="231"/>
    <w:semiHidden/>
    <w:qFormat/>
    <w:uiPriority w:val="0"/>
    <w:rPr>
      <w:rFonts w:ascii="Courier New" w:hAnsi="Courier New"/>
      <w:sz w:val="20"/>
      <w:szCs w:val="20"/>
    </w:rPr>
  </w:style>
  <w:style w:type="character" w:styleId="240">
    <w:name w:val="HTML Acronym"/>
    <w:basedOn w:val="231"/>
    <w:semiHidden/>
    <w:qFormat/>
    <w:uiPriority w:val="0"/>
  </w:style>
  <w:style w:type="character" w:styleId="241">
    <w:name w:val="HTML Variable"/>
    <w:basedOn w:val="231"/>
    <w:semiHidden/>
    <w:qFormat/>
    <w:uiPriority w:val="0"/>
    <w:rPr>
      <w:i/>
      <w:iCs/>
    </w:rPr>
  </w:style>
  <w:style w:type="character" w:styleId="242">
    <w:name w:val="Hyperlink"/>
    <w:qFormat/>
    <w:uiPriority w:val="99"/>
    <w:rPr>
      <w:rFonts w:ascii="Times New Roman" w:hAnsi="Times New Roman" w:eastAsia="宋体"/>
      <w:color w:val="auto"/>
      <w:spacing w:val="0"/>
      <w:w w:val="100"/>
      <w:position w:val="0"/>
      <w:sz w:val="21"/>
      <w:u w:val="none"/>
      <w:vertAlign w:val="baseline"/>
    </w:rPr>
  </w:style>
  <w:style w:type="character" w:styleId="243">
    <w:name w:val="HTML Code"/>
    <w:basedOn w:val="231"/>
    <w:semiHidden/>
    <w:qFormat/>
    <w:uiPriority w:val="0"/>
    <w:rPr>
      <w:rFonts w:ascii="Courier New" w:hAnsi="Courier New"/>
      <w:sz w:val="20"/>
      <w:szCs w:val="20"/>
    </w:rPr>
  </w:style>
  <w:style w:type="character" w:styleId="244">
    <w:name w:val="annotation reference"/>
    <w:basedOn w:val="231"/>
    <w:semiHidden/>
    <w:unhideWhenUsed/>
    <w:qFormat/>
    <w:uiPriority w:val="99"/>
    <w:rPr>
      <w:sz w:val="21"/>
      <w:szCs w:val="21"/>
    </w:rPr>
  </w:style>
  <w:style w:type="character" w:styleId="245">
    <w:name w:val="HTML Cite"/>
    <w:basedOn w:val="231"/>
    <w:semiHidden/>
    <w:qFormat/>
    <w:uiPriority w:val="0"/>
    <w:rPr>
      <w:i/>
      <w:iCs/>
    </w:rPr>
  </w:style>
  <w:style w:type="character" w:styleId="246">
    <w:name w:val="footnote reference"/>
    <w:basedOn w:val="231"/>
    <w:semiHidden/>
    <w:qFormat/>
    <w:uiPriority w:val="0"/>
    <w:rPr>
      <w:vertAlign w:val="superscript"/>
    </w:rPr>
  </w:style>
  <w:style w:type="character" w:styleId="247">
    <w:name w:val="HTML Keyboard"/>
    <w:basedOn w:val="231"/>
    <w:semiHidden/>
    <w:qFormat/>
    <w:uiPriority w:val="0"/>
    <w:rPr>
      <w:rFonts w:ascii="Courier New" w:hAnsi="Courier New"/>
      <w:sz w:val="20"/>
      <w:szCs w:val="20"/>
    </w:rPr>
  </w:style>
  <w:style w:type="character" w:styleId="248">
    <w:name w:val="HTML Sample"/>
    <w:basedOn w:val="231"/>
    <w:semiHidden/>
    <w:qFormat/>
    <w:uiPriority w:val="0"/>
    <w:rPr>
      <w:rFonts w:ascii="Courier New" w:hAnsi="Courier New"/>
    </w:rPr>
  </w:style>
  <w:style w:type="paragraph" w:customStyle="1" w:styleId="249">
    <w:name w:val="标准标志HB"/>
    <w:next w:val="1"/>
    <w:qFormat/>
    <w:uiPriority w:val="0"/>
    <w:pPr>
      <w:shd w:val="solid" w:color="FFFFFF" w:fill="FFFFFF"/>
      <w:spacing w:line="0" w:lineRule="atLeast"/>
      <w:jc w:val="right"/>
    </w:pPr>
    <w:rPr>
      <w:rFonts w:ascii="Britannic Bold" w:hAnsi="Britannic Bold" w:eastAsia="Britannic Bold" w:cs="Times New Roman"/>
      <w:b/>
      <w:w w:val="110"/>
      <w:kern w:val="2"/>
      <w:sz w:val="160"/>
      <w:lang w:val="en-US" w:eastAsia="zh-CN" w:bidi="ar-SA"/>
    </w:rPr>
  </w:style>
  <w:style w:type="paragraph" w:customStyle="1" w:styleId="250">
    <w:name w:val="标准称谓GB"/>
    <w:next w:val="1"/>
    <w:qFormat/>
    <w:uiPriority w:val="0"/>
    <w:pPr>
      <w:widowControl w:val="0"/>
      <w:kinsoku w:val="0"/>
      <w:overflowPunct w:val="0"/>
      <w:autoSpaceDE w:val="0"/>
      <w:autoSpaceDN w:val="0"/>
      <w:spacing w:line="0" w:lineRule="atLeast"/>
      <w:jc w:val="distribute"/>
    </w:pPr>
    <w:rPr>
      <w:rFonts w:ascii="宋体" w:hAnsi="Times New Roman" w:cs="Times New Roman" w:eastAsiaTheme="minorEastAsia"/>
      <w:b/>
      <w:bCs/>
      <w:w w:val="135"/>
      <w:sz w:val="52"/>
      <w:lang w:val="en-US" w:eastAsia="zh-CN" w:bidi="ar-SA"/>
    </w:rPr>
  </w:style>
  <w:style w:type="paragraph" w:customStyle="1" w:styleId="251">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252">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253">
    <w:name w:val="标准书眉_奇数页"/>
    <w:next w:val="1"/>
    <w:qFormat/>
    <w:uiPriority w:val="0"/>
    <w:pPr>
      <w:tabs>
        <w:tab w:val="center" w:pos="4154"/>
        <w:tab w:val="right" w:pos="8306"/>
      </w:tabs>
      <w:spacing w:after="120"/>
      <w:jc w:val="right"/>
    </w:pPr>
    <w:rPr>
      <w:rFonts w:ascii="黑体" w:hAnsi="Times New Roman" w:eastAsia="黑体" w:cs="Times New Roman"/>
      <w:sz w:val="21"/>
      <w:lang w:val="en-US" w:eastAsia="zh-CN" w:bidi="ar-SA"/>
    </w:rPr>
  </w:style>
  <w:style w:type="paragraph" w:customStyle="1" w:styleId="254">
    <w:name w:val="标准书眉_偶数页"/>
    <w:basedOn w:val="253"/>
    <w:next w:val="1"/>
    <w:qFormat/>
    <w:uiPriority w:val="0"/>
    <w:pPr>
      <w:jc w:val="left"/>
    </w:pPr>
  </w:style>
  <w:style w:type="paragraph" w:customStyle="1" w:styleId="255">
    <w:name w:val="标准书眉一"/>
    <w:qFormat/>
    <w:uiPriority w:val="0"/>
    <w:pPr>
      <w:jc w:val="both"/>
    </w:pPr>
    <w:rPr>
      <w:rFonts w:ascii="Times New Roman" w:hAnsi="Times New Roman" w:eastAsia="宋体" w:cs="Times New Roman"/>
      <w:lang w:val="en-US" w:eastAsia="zh-CN" w:bidi="ar-SA"/>
    </w:rPr>
  </w:style>
  <w:style w:type="paragraph" w:customStyle="1" w:styleId="256">
    <w:name w:val="前言、引言标题"/>
    <w:next w:val="1"/>
    <w:qFormat/>
    <w:uiPriority w:val="0"/>
    <w:p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57">
    <w:name w:val="参考文献、索引标题"/>
    <w:basedOn w:val="256"/>
    <w:next w:val="1"/>
    <w:qFormat/>
    <w:uiPriority w:val="0"/>
    <w:pPr>
      <w:spacing w:after="200"/>
    </w:pPr>
    <w:rPr>
      <w:sz w:val="21"/>
    </w:rPr>
  </w:style>
  <w:style w:type="paragraph" w:customStyle="1" w:styleId="258">
    <w:name w:val="段"/>
    <w:qFormat/>
    <w:uiPriority w:val="0"/>
    <w:pPr>
      <w:ind w:firstLine="200" w:firstLineChars="200"/>
      <w:jc w:val="both"/>
    </w:pPr>
    <w:rPr>
      <w:rFonts w:ascii="宋体" w:hAnsi="Times New Roman" w:eastAsia="宋体" w:cs="Times New Roman"/>
      <w:sz w:val="21"/>
      <w:lang w:val="en-US" w:eastAsia="zh-CN" w:bidi="ar-SA"/>
    </w:rPr>
  </w:style>
  <w:style w:type="paragraph" w:customStyle="1" w:styleId="259">
    <w:name w:val="章标题"/>
    <w:next w:val="258"/>
    <w:qFormat/>
    <w:uiPriority w:val="0"/>
    <w:pPr>
      <w:numPr>
        <w:ilvl w:val="0"/>
        <w:numId w:val="11"/>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260">
    <w:name w:val="一级条标题"/>
    <w:next w:val="258"/>
    <w:qFormat/>
    <w:uiPriority w:val="0"/>
    <w:pPr>
      <w:numPr>
        <w:ilvl w:val="1"/>
        <w:numId w:val="11"/>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261">
    <w:name w:val="二级条标题"/>
    <w:basedOn w:val="260"/>
    <w:next w:val="258"/>
    <w:qFormat/>
    <w:uiPriority w:val="0"/>
    <w:pPr>
      <w:numPr>
        <w:ilvl w:val="2"/>
      </w:numPr>
      <w:spacing w:before="50" w:after="50"/>
      <w:outlineLvl w:val="3"/>
    </w:pPr>
  </w:style>
  <w:style w:type="character" w:customStyle="1" w:styleId="262">
    <w:name w:val="发布_1"/>
    <w:basedOn w:val="231"/>
    <w:qFormat/>
    <w:uiPriority w:val="0"/>
    <w:rPr>
      <w:rFonts w:ascii="黑体" w:eastAsia="黑体"/>
      <w:spacing w:val="22"/>
      <w:w w:val="100"/>
      <w:position w:val="3"/>
      <w:sz w:val="28"/>
    </w:rPr>
  </w:style>
  <w:style w:type="paragraph" w:customStyle="1" w:styleId="263">
    <w:name w:val="发布部门GB"/>
    <w:next w:val="258"/>
    <w:qFormat/>
    <w:uiPriority w:val="0"/>
    <w:pPr>
      <w:spacing w:line="360" w:lineRule="exact"/>
      <w:jc w:val="center"/>
    </w:pPr>
    <w:rPr>
      <w:rFonts w:ascii="宋体" w:hAnsi="Times New Roman" w:eastAsia="宋体" w:cs="Times New Roman"/>
      <w:b/>
      <w:sz w:val="36"/>
      <w:lang w:val="en-US" w:eastAsia="zh-CN" w:bidi="ar-SA"/>
    </w:rPr>
  </w:style>
  <w:style w:type="paragraph" w:customStyle="1" w:styleId="264">
    <w:name w:val="发布日期"/>
    <w:qFormat/>
    <w:uiPriority w:val="0"/>
    <w:rPr>
      <w:rFonts w:ascii="黑体" w:hAnsi="黑体" w:eastAsia="黑体" w:cs="Times New Roman"/>
      <w:sz w:val="28"/>
      <w:lang w:val="en-US" w:eastAsia="zh-CN" w:bidi="ar-SA"/>
    </w:rPr>
  </w:style>
  <w:style w:type="paragraph" w:customStyle="1" w:styleId="265">
    <w:name w:val="封面标准号1"/>
    <w:qFormat/>
    <w:uiPriority w:val="0"/>
    <w:pPr>
      <w:widowControl w:val="0"/>
      <w:kinsoku w:val="0"/>
      <w:overflowPunct w:val="0"/>
      <w:autoSpaceDE w:val="0"/>
      <w:autoSpaceDN w:val="0"/>
      <w:spacing w:line="360" w:lineRule="exact"/>
      <w:jc w:val="right"/>
      <w:textAlignment w:val="center"/>
    </w:pPr>
    <w:rPr>
      <w:rFonts w:ascii="黑体" w:hAnsi="Times New Roman" w:eastAsia="黑体" w:cs="Times New Roman"/>
      <w:sz w:val="28"/>
      <w:lang w:val="en-US" w:eastAsia="zh-CN" w:bidi="ar-SA"/>
    </w:rPr>
  </w:style>
  <w:style w:type="paragraph" w:customStyle="1" w:styleId="266">
    <w:name w:val="封面标准号2"/>
    <w:basedOn w:val="265"/>
    <w:qFormat/>
    <w:uiPriority w:val="0"/>
    <w:pPr>
      <w:adjustRightInd w:val="0"/>
      <w:spacing w:before="357" w:line="280" w:lineRule="exact"/>
    </w:pPr>
  </w:style>
  <w:style w:type="paragraph" w:customStyle="1" w:styleId="267">
    <w:name w:val="封面标准代替信息"/>
    <w:basedOn w:val="266"/>
    <w:qFormat/>
    <w:uiPriority w:val="0"/>
    <w:pPr>
      <w:spacing w:before="0" w:line="360" w:lineRule="exact"/>
    </w:pPr>
    <w:rPr>
      <w:rFonts w:hAnsi="黑体"/>
      <w:sz w:val="21"/>
    </w:rPr>
  </w:style>
  <w:style w:type="paragraph" w:customStyle="1" w:styleId="268">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269">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270">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271">
    <w:name w:val="封面标准英文名称"/>
    <w:qFormat/>
    <w:uiPriority w:val="0"/>
    <w:pPr>
      <w:widowControl w:val="0"/>
      <w:spacing w:before="330" w:line="400" w:lineRule="exact"/>
      <w:jc w:val="center"/>
    </w:pPr>
    <w:rPr>
      <w:rFonts w:ascii="黑体" w:hAnsi="Times New Roman" w:eastAsia="黑体" w:cs="Times New Roman"/>
      <w:sz w:val="28"/>
      <w:lang w:val="en-US" w:eastAsia="zh-CN" w:bidi="ar-SA"/>
    </w:rPr>
  </w:style>
  <w:style w:type="paragraph" w:customStyle="1" w:styleId="272">
    <w:name w:val="封面一致性程度标识"/>
    <w:qFormat/>
    <w:uiPriority w:val="0"/>
    <w:pPr>
      <w:spacing w:before="680" w:line="400" w:lineRule="exact"/>
      <w:jc w:val="center"/>
    </w:pPr>
    <w:rPr>
      <w:rFonts w:ascii="黑体" w:hAnsi="黑体" w:eastAsia="黑体" w:cs="Times New Roman"/>
      <w:sz w:val="28"/>
      <w:lang w:val="en-US" w:eastAsia="zh-CN" w:bidi="ar-SA"/>
    </w:rPr>
  </w:style>
  <w:style w:type="paragraph" w:customStyle="1" w:styleId="273">
    <w:name w:val="封面正文"/>
    <w:qFormat/>
    <w:uiPriority w:val="0"/>
    <w:pPr>
      <w:jc w:val="both"/>
    </w:pPr>
    <w:rPr>
      <w:rFonts w:ascii="Times New Roman" w:hAnsi="Times New Roman" w:eastAsia="宋体" w:cs="Times New Roman"/>
      <w:lang w:val="en-US" w:eastAsia="zh-CN" w:bidi="ar-SA"/>
    </w:rPr>
  </w:style>
  <w:style w:type="paragraph" w:customStyle="1" w:styleId="274">
    <w:name w:val="附录标识"/>
    <w:basedOn w:val="1"/>
    <w:next w:val="1"/>
    <w:qFormat/>
    <w:uiPriority w:val="0"/>
    <w:pPr>
      <w:keepNext/>
      <w:widowControl/>
      <w:numPr>
        <w:ilvl w:val="0"/>
        <w:numId w:val="12"/>
      </w:numPr>
      <w:shd w:val="clear" w:color="FFFFFF" w:fill="FFFFFF"/>
      <w:tabs>
        <w:tab w:val="left" w:pos="6405"/>
      </w:tabs>
      <w:spacing w:before="640" w:after="280"/>
      <w:jc w:val="center"/>
      <w:outlineLvl w:val="0"/>
    </w:pPr>
    <w:rPr>
      <w:rFonts w:ascii="黑体" w:eastAsia="黑体"/>
      <w:kern w:val="0"/>
      <w:szCs w:val="20"/>
    </w:rPr>
  </w:style>
  <w:style w:type="paragraph" w:customStyle="1" w:styleId="275">
    <w:name w:val="附录表标题"/>
    <w:basedOn w:val="1"/>
    <w:next w:val="1"/>
    <w:qFormat/>
    <w:uiPriority w:val="0"/>
    <w:pPr>
      <w:numPr>
        <w:ilvl w:val="1"/>
        <w:numId w:val="13"/>
      </w:numPr>
      <w:spacing w:before="50" w:beforeLines="50" w:after="50" w:afterLines="50"/>
      <w:jc w:val="center"/>
    </w:pPr>
    <w:rPr>
      <w:rFonts w:ascii="黑体" w:eastAsia="黑体"/>
      <w:szCs w:val="21"/>
    </w:rPr>
  </w:style>
  <w:style w:type="paragraph" w:customStyle="1" w:styleId="276">
    <w:name w:val="附录章标题"/>
    <w:next w:val="258"/>
    <w:qFormat/>
    <w:uiPriority w:val="0"/>
    <w:pPr>
      <w:numPr>
        <w:ilvl w:val="1"/>
        <w:numId w:val="12"/>
      </w:numPr>
      <w:wordWrap w:val="0"/>
      <w:overflowPunct w:val="0"/>
      <w:autoSpaceDE w:val="0"/>
      <w:spacing w:before="50" w:beforeLines="50" w:after="50" w:afterLines="50"/>
      <w:jc w:val="both"/>
      <w:textAlignment w:val="baseline"/>
      <w:outlineLvl w:val="2"/>
    </w:pPr>
    <w:rPr>
      <w:rFonts w:ascii="黑体" w:hAnsi="Times New Roman" w:eastAsia="黑体" w:cs="Times New Roman"/>
      <w:kern w:val="21"/>
      <w:sz w:val="21"/>
      <w:lang w:val="en-US" w:eastAsia="zh-CN" w:bidi="ar-SA"/>
    </w:rPr>
  </w:style>
  <w:style w:type="paragraph" w:customStyle="1" w:styleId="277">
    <w:name w:val="附录一级条标题"/>
    <w:basedOn w:val="276"/>
    <w:next w:val="258"/>
    <w:qFormat/>
    <w:uiPriority w:val="0"/>
    <w:pPr>
      <w:numPr>
        <w:ilvl w:val="2"/>
      </w:numPr>
      <w:autoSpaceDN w:val="0"/>
      <w:outlineLvl w:val="2"/>
    </w:pPr>
  </w:style>
  <w:style w:type="paragraph" w:customStyle="1" w:styleId="278">
    <w:name w:val="附录二级条标题"/>
    <w:basedOn w:val="1"/>
    <w:next w:val="258"/>
    <w:qFormat/>
    <w:uiPriority w:val="0"/>
    <w:pPr>
      <w:widowControl/>
      <w:numPr>
        <w:ilvl w:val="3"/>
        <w:numId w:val="12"/>
      </w:numPr>
      <w:wordWrap w:val="0"/>
      <w:overflowPunct w:val="0"/>
      <w:autoSpaceDE w:val="0"/>
      <w:autoSpaceDN w:val="0"/>
      <w:spacing w:before="50" w:beforeLines="50" w:after="50" w:afterLines="50"/>
      <w:textAlignment w:val="baseline"/>
      <w:outlineLvl w:val="2"/>
    </w:pPr>
    <w:rPr>
      <w:rFonts w:ascii="黑体" w:eastAsia="黑体"/>
      <w:kern w:val="21"/>
      <w:szCs w:val="20"/>
    </w:rPr>
  </w:style>
  <w:style w:type="paragraph" w:customStyle="1" w:styleId="279">
    <w:name w:val="附录三级条标题"/>
    <w:basedOn w:val="278"/>
    <w:next w:val="258"/>
    <w:qFormat/>
    <w:uiPriority w:val="0"/>
    <w:pPr>
      <w:numPr>
        <w:ilvl w:val="4"/>
      </w:numPr>
      <w:outlineLvl w:val="2"/>
    </w:pPr>
  </w:style>
  <w:style w:type="paragraph" w:customStyle="1" w:styleId="280">
    <w:name w:val="附录四级条标题"/>
    <w:basedOn w:val="279"/>
    <w:next w:val="258"/>
    <w:qFormat/>
    <w:uiPriority w:val="0"/>
    <w:pPr>
      <w:numPr>
        <w:ilvl w:val="5"/>
      </w:numPr>
      <w:outlineLvl w:val="2"/>
    </w:pPr>
  </w:style>
  <w:style w:type="paragraph" w:customStyle="1" w:styleId="281">
    <w:name w:val="附录图标题"/>
    <w:basedOn w:val="1"/>
    <w:next w:val="1"/>
    <w:qFormat/>
    <w:uiPriority w:val="0"/>
    <w:pPr>
      <w:numPr>
        <w:ilvl w:val="1"/>
        <w:numId w:val="14"/>
      </w:numPr>
      <w:spacing w:before="50" w:beforeLines="50" w:after="50" w:afterLines="50"/>
      <w:jc w:val="center"/>
    </w:pPr>
    <w:rPr>
      <w:rFonts w:ascii="黑体" w:eastAsia="黑体"/>
      <w:szCs w:val="21"/>
    </w:rPr>
  </w:style>
  <w:style w:type="paragraph" w:customStyle="1" w:styleId="282">
    <w:name w:val="附录五级条标题"/>
    <w:basedOn w:val="280"/>
    <w:next w:val="258"/>
    <w:qFormat/>
    <w:uiPriority w:val="0"/>
    <w:pPr>
      <w:numPr>
        <w:ilvl w:val="6"/>
      </w:numPr>
      <w:outlineLvl w:val="6"/>
    </w:pPr>
  </w:style>
  <w:style w:type="character" w:customStyle="1" w:styleId="283">
    <w:name w:val="个人答复风格"/>
    <w:basedOn w:val="231"/>
    <w:qFormat/>
    <w:uiPriority w:val="0"/>
    <w:rPr>
      <w:rFonts w:ascii="Arial" w:hAnsi="Arial" w:eastAsia="宋体" w:cs="Arial"/>
      <w:color w:val="auto"/>
      <w:sz w:val="20"/>
    </w:rPr>
  </w:style>
  <w:style w:type="character" w:customStyle="1" w:styleId="284">
    <w:name w:val="个人撰写风格"/>
    <w:basedOn w:val="231"/>
    <w:qFormat/>
    <w:uiPriority w:val="0"/>
    <w:rPr>
      <w:rFonts w:ascii="Arial" w:hAnsi="Arial" w:eastAsia="宋体" w:cs="Arial"/>
      <w:color w:val="auto"/>
      <w:sz w:val="20"/>
    </w:rPr>
  </w:style>
  <w:style w:type="paragraph" w:customStyle="1" w:styleId="285">
    <w:name w:val="列项——"/>
    <w:qFormat/>
    <w:uiPriority w:val="0"/>
    <w:pPr>
      <w:widowControl w:val="0"/>
      <w:numPr>
        <w:ilvl w:val="0"/>
        <w:numId w:val="15"/>
      </w:numPr>
      <w:jc w:val="both"/>
    </w:pPr>
    <w:rPr>
      <w:rFonts w:ascii="宋体" w:hAnsi="Times New Roman" w:eastAsia="宋体" w:cs="Times New Roman"/>
      <w:sz w:val="21"/>
      <w:lang w:val="en-US" w:eastAsia="zh-CN" w:bidi="ar-SA"/>
    </w:rPr>
  </w:style>
  <w:style w:type="paragraph" w:customStyle="1" w:styleId="286">
    <w:name w:val="目次、标准名称标题"/>
    <w:basedOn w:val="256"/>
    <w:next w:val="258"/>
    <w:qFormat/>
    <w:uiPriority w:val="0"/>
    <w:pPr>
      <w:spacing w:line="460" w:lineRule="exact"/>
      <w:outlineLvl w:val="9"/>
    </w:pPr>
  </w:style>
  <w:style w:type="paragraph" w:customStyle="1" w:styleId="287">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288">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289">
    <w:name w:val="其他发布部门"/>
    <w:basedOn w:val="263"/>
    <w:qFormat/>
    <w:uiPriority w:val="0"/>
    <w:pPr>
      <w:framePr w:wrap="around" w:vAnchor="margin" w:hAnchor="text" w:y="1"/>
      <w:spacing w:line="0" w:lineRule="atLeast"/>
    </w:pPr>
    <w:rPr>
      <w:rFonts w:ascii="黑体" w:eastAsia="黑体"/>
      <w:b w:val="0"/>
    </w:rPr>
  </w:style>
  <w:style w:type="paragraph" w:customStyle="1" w:styleId="290">
    <w:name w:val="三级条标题"/>
    <w:basedOn w:val="261"/>
    <w:next w:val="258"/>
    <w:qFormat/>
    <w:uiPriority w:val="0"/>
    <w:pPr>
      <w:numPr>
        <w:ilvl w:val="3"/>
      </w:numPr>
      <w:outlineLvl w:val="4"/>
    </w:pPr>
  </w:style>
  <w:style w:type="paragraph" w:customStyle="1" w:styleId="291">
    <w:name w:val="实施日期"/>
    <w:basedOn w:val="264"/>
    <w:qFormat/>
    <w:uiPriority w:val="0"/>
    <w:pPr>
      <w:jc w:val="right"/>
    </w:pPr>
  </w:style>
  <w:style w:type="paragraph" w:customStyle="1" w:styleId="292">
    <w:name w:val="示例"/>
    <w:next w:val="293"/>
    <w:qFormat/>
    <w:uiPriority w:val="0"/>
    <w:pPr>
      <w:widowControl w:val="0"/>
      <w:numPr>
        <w:ilvl w:val="0"/>
        <w:numId w:val="16"/>
      </w:numPr>
      <w:jc w:val="both"/>
    </w:pPr>
    <w:rPr>
      <w:rFonts w:ascii="宋体" w:hAnsi="Times New Roman" w:eastAsia="宋体" w:cs="Times New Roman"/>
      <w:sz w:val="18"/>
      <w:szCs w:val="18"/>
      <w:lang w:val="en-US" w:eastAsia="zh-CN" w:bidi="ar-SA"/>
    </w:rPr>
  </w:style>
  <w:style w:type="paragraph" w:customStyle="1" w:styleId="293">
    <w:name w:val="示例段"/>
    <w:basedOn w:val="258"/>
    <w:qFormat/>
    <w:uiPriority w:val="0"/>
    <w:pPr>
      <w:ind w:firstLine="420"/>
    </w:pPr>
    <w:rPr>
      <w:sz w:val="18"/>
    </w:rPr>
  </w:style>
  <w:style w:type="paragraph" w:customStyle="1" w:styleId="294">
    <w:name w:val="数字编号列项（二级）"/>
    <w:qFormat/>
    <w:uiPriority w:val="0"/>
    <w:pPr>
      <w:numPr>
        <w:ilvl w:val="1"/>
        <w:numId w:val="17"/>
      </w:numPr>
      <w:jc w:val="both"/>
    </w:pPr>
    <w:rPr>
      <w:rFonts w:ascii="宋体" w:hAnsi="Times New Roman" w:eastAsia="宋体" w:cs="Times New Roman"/>
      <w:sz w:val="21"/>
      <w:lang w:val="en-US" w:eastAsia="zh-CN" w:bidi="ar-SA"/>
    </w:rPr>
  </w:style>
  <w:style w:type="paragraph" w:customStyle="1" w:styleId="295">
    <w:name w:val="四级条标题"/>
    <w:basedOn w:val="290"/>
    <w:next w:val="258"/>
    <w:qFormat/>
    <w:uiPriority w:val="0"/>
    <w:pPr>
      <w:numPr>
        <w:ilvl w:val="4"/>
      </w:numPr>
      <w:outlineLvl w:val="5"/>
    </w:pPr>
  </w:style>
  <w:style w:type="paragraph" w:customStyle="1" w:styleId="296">
    <w:name w:val="条文脚注"/>
    <w:basedOn w:val="69"/>
    <w:link w:val="331"/>
    <w:qFormat/>
    <w:uiPriority w:val="0"/>
    <w:pPr>
      <w:numPr>
        <w:ilvl w:val="0"/>
        <w:numId w:val="18"/>
      </w:numPr>
      <w:ind w:firstLine="0" w:firstLineChars="0"/>
      <w:jc w:val="both"/>
    </w:pPr>
    <w:rPr>
      <w:rFonts w:ascii="宋体"/>
    </w:rPr>
  </w:style>
  <w:style w:type="paragraph" w:customStyle="1" w:styleId="297">
    <w:name w:val="图表脚注"/>
    <w:next w:val="258"/>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298">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299">
    <w:name w:val="无标题条"/>
    <w:next w:val="258"/>
    <w:qFormat/>
    <w:uiPriority w:val="0"/>
    <w:pPr>
      <w:jc w:val="both"/>
    </w:pPr>
    <w:rPr>
      <w:rFonts w:ascii="Times New Roman" w:hAnsi="Times New Roman" w:eastAsia="宋体" w:cs="Times New Roman"/>
      <w:sz w:val="21"/>
      <w:lang w:val="en-US" w:eastAsia="zh-CN" w:bidi="ar-SA"/>
    </w:rPr>
  </w:style>
  <w:style w:type="paragraph" w:customStyle="1" w:styleId="300">
    <w:name w:val="五级条标题"/>
    <w:basedOn w:val="295"/>
    <w:next w:val="258"/>
    <w:qFormat/>
    <w:uiPriority w:val="0"/>
    <w:pPr>
      <w:numPr>
        <w:ilvl w:val="5"/>
      </w:numPr>
      <w:outlineLvl w:val="6"/>
    </w:pPr>
  </w:style>
  <w:style w:type="paragraph" w:customStyle="1" w:styleId="301">
    <w:name w:val="正文表标题"/>
    <w:next w:val="258"/>
    <w:qFormat/>
    <w:uiPriority w:val="0"/>
    <w:pPr>
      <w:numPr>
        <w:ilvl w:val="1"/>
        <w:numId w:val="19"/>
      </w:numPr>
      <w:tabs>
        <w:tab w:val="left" w:pos="360"/>
      </w:tabs>
      <w:spacing w:before="156" w:beforeLines="50" w:after="156" w:afterLines="50"/>
      <w:jc w:val="center"/>
    </w:pPr>
    <w:rPr>
      <w:rFonts w:ascii="黑体" w:hAnsi="Times New Roman" w:eastAsia="黑体" w:cs="Times New Roman"/>
      <w:sz w:val="21"/>
      <w:szCs w:val="21"/>
      <w:lang w:val="en-US" w:eastAsia="zh-CN" w:bidi="ar-SA"/>
    </w:rPr>
  </w:style>
  <w:style w:type="paragraph" w:customStyle="1" w:styleId="302">
    <w:name w:val="正文图标题"/>
    <w:basedOn w:val="301"/>
    <w:next w:val="258"/>
    <w:qFormat/>
    <w:uiPriority w:val="0"/>
    <w:pPr>
      <w:numPr>
        <w:ilvl w:val="0"/>
        <w:numId w:val="20"/>
      </w:numPr>
      <w:tabs>
        <w:tab w:val="clear" w:pos="360"/>
      </w:tabs>
    </w:pPr>
  </w:style>
  <w:style w:type="paragraph" w:customStyle="1" w:styleId="303">
    <w:name w:val="注："/>
    <w:next w:val="1"/>
    <w:qFormat/>
    <w:uiPriority w:val="0"/>
    <w:pPr>
      <w:widowControl w:val="0"/>
      <w:numPr>
        <w:ilvl w:val="0"/>
        <w:numId w:val="21"/>
      </w:numPr>
      <w:autoSpaceDE w:val="0"/>
      <w:autoSpaceDN w:val="0"/>
      <w:jc w:val="both"/>
    </w:pPr>
    <w:rPr>
      <w:rFonts w:ascii="宋体" w:hAnsi="Times New Roman" w:eastAsia="宋体" w:cs="Times New Roman"/>
      <w:sz w:val="18"/>
      <w:szCs w:val="18"/>
      <w:lang w:val="en-US" w:eastAsia="zh-CN" w:bidi="ar-SA"/>
    </w:rPr>
  </w:style>
  <w:style w:type="paragraph" w:customStyle="1" w:styleId="304">
    <w:name w:val="注×："/>
    <w:qFormat/>
    <w:uiPriority w:val="0"/>
    <w:pPr>
      <w:widowControl w:val="0"/>
      <w:numPr>
        <w:ilvl w:val="0"/>
        <w:numId w:val="22"/>
      </w:numPr>
      <w:autoSpaceDE w:val="0"/>
      <w:autoSpaceDN w:val="0"/>
      <w:jc w:val="both"/>
    </w:pPr>
    <w:rPr>
      <w:rFonts w:hAnsi="Times New Roman" w:cs="Times New Roman" w:asciiTheme="minorEastAsia" w:eastAsiaTheme="minorEastAsia"/>
      <w:sz w:val="18"/>
      <w:szCs w:val="18"/>
      <w:lang w:val="en-US" w:eastAsia="zh-CN" w:bidi="ar-SA"/>
    </w:rPr>
  </w:style>
  <w:style w:type="paragraph" w:customStyle="1" w:styleId="305">
    <w:name w:val="字母编号列项（一级）"/>
    <w:qFormat/>
    <w:uiPriority w:val="0"/>
    <w:pPr>
      <w:numPr>
        <w:ilvl w:val="0"/>
        <w:numId w:val="17"/>
      </w:numPr>
      <w:jc w:val="both"/>
    </w:pPr>
    <w:rPr>
      <w:rFonts w:ascii="宋体" w:hAnsi="Times New Roman" w:eastAsia="宋体" w:cs="Times New Roman"/>
      <w:sz w:val="21"/>
      <w:lang w:val="en-US" w:eastAsia="zh-CN" w:bidi="ar-SA"/>
    </w:rPr>
  </w:style>
  <w:style w:type="paragraph" w:customStyle="1" w:styleId="306">
    <w:name w:val="示例×："/>
    <w:basedOn w:val="1"/>
    <w:next w:val="293"/>
    <w:qFormat/>
    <w:uiPriority w:val="0"/>
    <w:pPr>
      <w:widowControl/>
      <w:numPr>
        <w:ilvl w:val="0"/>
        <w:numId w:val="23"/>
      </w:numPr>
    </w:pPr>
    <w:rPr>
      <w:rFonts w:ascii="宋体"/>
      <w:kern w:val="0"/>
      <w:sz w:val="18"/>
      <w:szCs w:val="18"/>
    </w:rPr>
  </w:style>
  <w:style w:type="paragraph" w:customStyle="1" w:styleId="307">
    <w:name w:val="工程建设章标题"/>
    <w:next w:val="258"/>
    <w:qFormat/>
    <w:uiPriority w:val="0"/>
    <w:pPr>
      <w:numPr>
        <w:ilvl w:val="1"/>
        <w:numId w:val="24"/>
      </w:numPr>
      <w:spacing w:before="640" w:after="560" w:line="480" w:lineRule="exact"/>
      <w:jc w:val="center"/>
      <w:outlineLvl w:val="1"/>
    </w:pPr>
    <w:rPr>
      <w:rFonts w:ascii="黑体" w:hAnsi="Times New Roman" w:eastAsia="黑体" w:cs="Times New Roman"/>
      <w:b/>
      <w:sz w:val="28"/>
      <w:lang w:val="en-US" w:eastAsia="zh-CN" w:bidi="ar-SA"/>
    </w:rPr>
  </w:style>
  <w:style w:type="paragraph" w:customStyle="1" w:styleId="308">
    <w:name w:val="工程建设节标题"/>
    <w:basedOn w:val="307"/>
    <w:next w:val="258"/>
    <w:qFormat/>
    <w:uiPriority w:val="0"/>
    <w:pPr>
      <w:numPr>
        <w:ilvl w:val="2"/>
      </w:numPr>
      <w:spacing w:before="400" w:after="400" w:line="240" w:lineRule="auto"/>
      <w:outlineLvl w:val="2"/>
    </w:pPr>
    <w:rPr>
      <w:sz w:val="21"/>
    </w:rPr>
  </w:style>
  <w:style w:type="paragraph" w:customStyle="1" w:styleId="309">
    <w:name w:val="工程建设条标题"/>
    <w:basedOn w:val="308"/>
    <w:next w:val="258"/>
    <w:qFormat/>
    <w:uiPriority w:val="0"/>
    <w:pPr>
      <w:numPr>
        <w:ilvl w:val="3"/>
      </w:numPr>
      <w:spacing w:before="0" w:after="0"/>
      <w:jc w:val="left"/>
      <w:outlineLvl w:val="3"/>
    </w:pPr>
    <w:rPr>
      <w:b w:val="0"/>
    </w:rPr>
  </w:style>
  <w:style w:type="paragraph" w:customStyle="1" w:styleId="310">
    <w:name w:val="工程建设表标题"/>
    <w:basedOn w:val="309"/>
    <w:qFormat/>
    <w:uiPriority w:val="0"/>
    <w:pPr>
      <w:numPr>
        <w:ilvl w:val="4"/>
      </w:numPr>
      <w:jc w:val="center"/>
      <w:outlineLvl w:val="4"/>
    </w:pPr>
  </w:style>
  <w:style w:type="paragraph" w:customStyle="1" w:styleId="311">
    <w:name w:val="工程建设图标题"/>
    <w:basedOn w:val="309"/>
    <w:qFormat/>
    <w:uiPriority w:val="0"/>
    <w:pPr>
      <w:numPr>
        <w:ilvl w:val="5"/>
      </w:numPr>
      <w:jc w:val="center"/>
      <w:outlineLvl w:val="5"/>
    </w:pPr>
  </w:style>
  <w:style w:type="paragraph" w:customStyle="1" w:styleId="312">
    <w:name w:val="工程建设公式标题"/>
    <w:basedOn w:val="309"/>
    <w:qFormat/>
    <w:uiPriority w:val="0"/>
    <w:pPr>
      <w:numPr>
        <w:ilvl w:val="6"/>
      </w:numPr>
      <w:jc w:val="center"/>
      <w:outlineLvl w:val="6"/>
    </w:pPr>
  </w:style>
  <w:style w:type="paragraph" w:customStyle="1" w:styleId="313">
    <w:name w:val="工程建设无节条标题"/>
    <w:basedOn w:val="1"/>
    <w:next w:val="258"/>
    <w:qFormat/>
    <w:uiPriority w:val="0"/>
    <w:pPr>
      <w:numPr>
        <w:ilvl w:val="8"/>
        <w:numId w:val="24"/>
      </w:numPr>
      <w:tabs>
        <w:tab w:val="clear" w:pos="720"/>
      </w:tabs>
      <w:outlineLvl w:val="3"/>
    </w:pPr>
  </w:style>
  <w:style w:type="paragraph" w:customStyle="1" w:styleId="314">
    <w:name w:val="工程建设款标题"/>
    <w:basedOn w:val="309"/>
    <w:qFormat/>
    <w:uiPriority w:val="0"/>
    <w:pPr>
      <w:numPr>
        <w:ilvl w:val="7"/>
      </w:numPr>
      <w:outlineLvl w:val="9"/>
    </w:pPr>
  </w:style>
  <w:style w:type="paragraph" w:customStyle="1" w:styleId="315">
    <w:name w:val="名称"/>
    <w:basedOn w:val="256"/>
    <w:next w:val="258"/>
    <w:qFormat/>
    <w:uiPriority w:val="0"/>
    <w:pPr>
      <w:spacing w:line="460" w:lineRule="exact"/>
      <w:outlineLvl w:val="9"/>
    </w:pPr>
  </w:style>
  <w:style w:type="paragraph" w:customStyle="1" w:styleId="316">
    <w:name w:val="正文表标题续表"/>
    <w:basedOn w:val="301"/>
    <w:next w:val="258"/>
    <w:qFormat/>
    <w:uiPriority w:val="0"/>
    <w:pPr>
      <w:numPr>
        <w:ilvl w:val="2"/>
      </w:numPr>
    </w:pPr>
  </w:style>
  <w:style w:type="paragraph" w:customStyle="1" w:styleId="317">
    <w:name w:val="附录表标题续表"/>
    <w:basedOn w:val="275"/>
    <w:next w:val="258"/>
    <w:qFormat/>
    <w:uiPriority w:val="0"/>
    <w:pPr>
      <w:numPr>
        <w:ilvl w:val="2"/>
      </w:numPr>
    </w:pPr>
  </w:style>
  <w:style w:type="paragraph" w:customStyle="1" w:styleId="318">
    <w:name w:val="术语定义二级条标题"/>
    <w:basedOn w:val="261"/>
    <w:next w:val="258"/>
    <w:qFormat/>
    <w:uiPriority w:val="0"/>
    <w:pPr>
      <w:spacing w:before="0" w:beforeLines="0" w:after="0" w:afterLines="0"/>
      <w:outlineLvl w:val="9"/>
    </w:pPr>
  </w:style>
  <w:style w:type="paragraph" w:customStyle="1" w:styleId="319">
    <w:name w:val="术语定义三级条标题"/>
    <w:basedOn w:val="290"/>
    <w:next w:val="258"/>
    <w:qFormat/>
    <w:uiPriority w:val="0"/>
    <w:pPr>
      <w:spacing w:before="0" w:beforeLines="0" w:after="0" w:afterLines="0"/>
      <w:outlineLvl w:val="9"/>
    </w:pPr>
  </w:style>
  <w:style w:type="paragraph" w:customStyle="1" w:styleId="320">
    <w:name w:val="式中"/>
    <w:qFormat/>
    <w:uiPriority w:val="0"/>
    <w:pPr>
      <w:ind w:left="200" w:leftChars="200"/>
    </w:pPr>
    <w:rPr>
      <w:rFonts w:ascii="宋体" w:hAnsi="Times New Roman" w:eastAsia="宋体" w:cs="Times New Roman"/>
      <w:sz w:val="21"/>
      <w:lang w:val="en-US" w:eastAsia="zh-CN" w:bidi="ar-SA"/>
    </w:rPr>
  </w:style>
  <w:style w:type="paragraph" w:customStyle="1" w:styleId="321">
    <w:name w:val="术语定义四级条标题"/>
    <w:basedOn w:val="295"/>
    <w:next w:val="258"/>
    <w:qFormat/>
    <w:uiPriority w:val="0"/>
    <w:pPr>
      <w:spacing w:before="0" w:beforeLines="0" w:after="0" w:afterLines="0"/>
      <w:outlineLvl w:val="9"/>
    </w:pPr>
  </w:style>
  <w:style w:type="paragraph" w:customStyle="1" w:styleId="322">
    <w:name w:val="术语定义五级条标题"/>
    <w:basedOn w:val="300"/>
    <w:next w:val="258"/>
    <w:qFormat/>
    <w:uiPriority w:val="0"/>
    <w:pPr>
      <w:spacing w:before="0" w:beforeLines="0" w:after="0" w:afterLines="0"/>
      <w:outlineLvl w:val="9"/>
    </w:pPr>
  </w:style>
  <w:style w:type="paragraph" w:customStyle="1" w:styleId="323">
    <w:name w:val="术语定义一级条标题"/>
    <w:basedOn w:val="260"/>
    <w:next w:val="258"/>
    <w:qFormat/>
    <w:uiPriority w:val="0"/>
    <w:pPr>
      <w:spacing w:before="0" w:beforeLines="0" w:after="0" w:afterLines="0"/>
      <w:outlineLvl w:val="9"/>
    </w:pPr>
  </w:style>
  <w:style w:type="paragraph" w:customStyle="1" w:styleId="324">
    <w:name w:val="条文说明"/>
    <w:basedOn w:val="315"/>
    <w:qFormat/>
    <w:uiPriority w:val="0"/>
  </w:style>
  <w:style w:type="paragraph" w:customStyle="1" w:styleId="325">
    <w:name w:val="列项·"/>
    <w:qFormat/>
    <w:uiPriority w:val="0"/>
    <w:pPr>
      <w:numPr>
        <w:ilvl w:val="0"/>
        <w:numId w:val="25"/>
      </w:numPr>
      <w:tabs>
        <w:tab w:val="left" w:pos="840"/>
      </w:tabs>
      <w:ind w:left="200" w:leftChars="200" w:hanging="200" w:hangingChars="200"/>
      <w:jc w:val="both"/>
    </w:pPr>
    <w:rPr>
      <w:rFonts w:ascii="宋体" w:hAnsi="Times New Roman" w:eastAsia="宋体" w:cs="Times New Roman"/>
      <w:sz w:val="21"/>
      <w:lang w:val="en-US" w:eastAsia="zh-CN" w:bidi="ar-SA"/>
    </w:rPr>
  </w:style>
  <w:style w:type="paragraph" w:customStyle="1" w:styleId="326">
    <w:name w:val="二级无标题条"/>
    <w:basedOn w:val="261"/>
    <w:qFormat/>
    <w:uiPriority w:val="0"/>
    <w:pPr>
      <w:spacing w:before="0" w:beforeLines="0" w:after="0" w:afterLines="0"/>
      <w:jc w:val="both"/>
      <w:outlineLvl w:val="9"/>
    </w:pPr>
    <w:rPr>
      <w:rFonts w:asciiTheme="majorEastAsia" w:eastAsiaTheme="majorEastAsia"/>
    </w:rPr>
  </w:style>
  <w:style w:type="paragraph" w:customStyle="1" w:styleId="327">
    <w:name w:val="三级无标题条"/>
    <w:basedOn w:val="290"/>
    <w:qFormat/>
    <w:uiPriority w:val="0"/>
    <w:pPr>
      <w:spacing w:before="0" w:beforeLines="0" w:after="0" w:afterLines="0"/>
      <w:jc w:val="both"/>
      <w:outlineLvl w:val="9"/>
    </w:pPr>
    <w:rPr>
      <w:rFonts w:asciiTheme="majorEastAsia" w:eastAsiaTheme="majorEastAsia"/>
    </w:rPr>
  </w:style>
  <w:style w:type="paragraph" w:customStyle="1" w:styleId="328">
    <w:name w:val="四级无标题条"/>
    <w:basedOn w:val="295"/>
    <w:qFormat/>
    <w:uiPriority w:val="0"/>
    <w:pPr>
      <w:spacing w:before="0" w:beforeLines="0" w:after="0" w:afterLines="0"/>
      <w:jc w:val="both"/>
      <w:outlineLvl w:val="9"/>
    </w:pPr>
    <w:rPr>
      <w:rFonts w:asciiTheme="majorEastAsia" w:eastAsiaTheme="majorEastAsia"/>
    </w:rPr>
  </w:style>
  <w:style w:type="paragraph" w:customStyle="1" w:styleId="329">
    <w:name w:val="五级无标题条"/>
    <w:basedOn w:val="300"/>
    <w:qFormat/>
    <w:uiPriority w:val="0"/>
    <w:pPr>
      <w:spacing w:before="0" w:beforeLines="0" w:after="0" w:afterLines="0"/>
      <w:jc w:val="both"/>
      <w:outlineLvl w:val="9"/>
    </w:pPr>
    <w:rPr>
      <w:rFonts w:asciiTheme="majorEastAsia" w:eastAsiaTheme="majorEastAsia"/>
    </w:rPr>
  </w:style>
  <w:style w:type="paragraph" w:customStyle="1" w:styleId="330">
    <w:name w:val="一级无标题条"/>
    <w:basedOn w:val="260"/>
    <w:qFormat/>
    <w:uiPriority w:val="0"/>
    <w:pPr>
      <w:spacing w:before="0" w:beforeLines="0" w:after="0" w:afterLines="0"/>
      <w:jc w:val="both"/>
      <w:outlineLvl w:val="9"/>
    </w:pPr>
    <w:rPr>
      <w:rFonts w:asciiTheme="majorEastAsia" w:eastAsiaTheme="majorEastAsia"/>
    </w:rPr>
  </w:style>
  <w:style w:type="character" w:customStyle="1" w:styleId="331">
    <w:name w:val="条文脚注 Char"/>
    <w:basedOn w:val="332"/>
    <w:link w:val="296"/>
    <w:qFormat/>
    <w:uiPriority w:val="0"/>
    <w:rPr>
      <w:rFonts w:ascii="宋体"/>
      <w:kern w:val="2"/>
      <w:sz w:val="18"/>
      <w:szCs w:val="18"/>
    </w:rPr>
  </w:style>
  <w:style w:type="character" w:customStyle="1" w:styleId="332">
    <w:name w:val="正文文本 Char"/>
    <w:basedOn w:val="231"/>
    <w:link w:val="40"/>
    <w:semiHidden/>
    <w:qFormat/>
    <w:uiPriority w:val="99"/>
    <w:rPr>
      <w:kern w:val="2"/>
      <w:sz w:val="21"/>
      <w:szCs w:val="24"/>
    </w:rPr>
  </w:style>
  <w:style w:type="paragraph" w:customStyle="1" w:styleId="333">
    <w:name w:val="ICS"/>
    <w:basedOn w:val="273"/>
    <w:qFormat/>
    <w:uiPriority w:val="0"/>
    <w:pPr>
      <w:jc w:val="left"/>
    </w:pPr>
    <w:rPr>
      <w:rFonts w:ascii="黑体" w:eastAsia="黑体"/>
      <w:sz w:val="21"/>
    </w:rPr>
  </w:style>
  <w:style w:type="paragraph" w:customStyle="1" w:styleId="334">
    <w:name w:val="标准称谓HB"/>
    <w:next w:val="1"/>
    <w:qFormat/>
    <w:uiPriority w:val="0"/>
    <w:pPr>
      <w:widowControl w:val="0"/>
      <w:kinsoku w:val="0"/>
      <w:overflowPunct w:val="0"/>
      <w:autoSpaceDE w:val="0"/>
      <w:autoSpaceDN w:val="0"/>
      <w:spacing w:line="0" w:lineRule="atLeast"/>
      <w:jc w:val="distribute"/>
    </w:pPr>
    <w:rPr>
      <w:rFonts w:ascii="Britannic Bold" w:hAnsi="Britannic Bold" w:eastAsia="黑体" w:cs="Times New Roman"/>
      <w:bCs/>
      <w:w w:val="135"/>
      <w:sz w:val="44"/>
      <w:lang w:val="en-US" w:eastAsia="zh-CN" w:bidi="ar-SA"/>
    </w:rPr>
  </w:style>
  <w:style w:type="paragraph" w:customStyle="1" w:styleId="335">
    <w:name w:val="发布"/>
    <w:basedOn w:val="40"/>
    <w:qFormat/>
    <w:uiPriority w:val="0"/>
    <w:pPr>
      <w:spacing w:after="0" w:line="280" w:lineRule="exact"/>
      <w:ind w:left="284"/>
    </w:pPr>
    <w:rPr>
      <w:rFonts w:ascii="黑体" w:eastAsia="黑体"/>
      <w:kern w:val="3"/>
      <w:sz w:val="28"/>
    </w:rPr>
  </w:style>
  <w:style w:type="paragraph" w:customStyle="1" w:styleId="336">
    <w:name w:val="标准称谓DB"/>
    <w:next w:val="1"/>
    <w:link w:val="337"/>
    <w:qFormat/>
    <w:uiPriority w:val="0"/>
    <w:pPr>
      <w:widowControl w:val="0"/>
      <w:kinsoku w:val="0"/>
      <w:overflowPunct w:val="0"/>
      <w:autoSpaceDE w:val="0"/>
      <w:autoSpaceDN w:val="0"/>
      <w:spacing w:line="0" w:lineRule="atLeast"/>
      <w:jc w:val="distribute"/>
    </w:pPr>
    <w:rPr>
      <w:rFonts w:hint="eastAsia" w:ascii="黑体" w:hAnsi="黑体" w:eastAsia="黑体" w:cs="黑体"/>
      <w:bCs/>
      <w:w w:val="135"/>
      <w:sz w:val="48"/>
      <w:lang w:val="en-US" w:eastAsia="zh-CN" w:bidi="ar-SA"/>
    </w:rPr>
  </w:style>
  <w:style w:type="character" w:customStyle="1" w:styleId="337">
    <w:name w:val="标准称谓DB Char"/>
    <w:basedOn w:val="231"/>
    <w:link w:val="336"/>
    <w:qFormat/>
    <w:uiPriority w:val="0"/>
    <w:rPr>
      <w:rFonts w:hint="eastAsia" w:ascii="黑体" w:hAnsi="黑体" w:eastAsia="黑体" w:cs="黑体"/>
      <w:bCs/>
      <w:w w:val="135"/>
      <w:sz w:val="48"/>
    </w:rPr>
  </w:style>
  <w:style w:type="paragraph" w:customStyle="1" w:styleId="338">
    <w:name w:val="标准称谓QB"/>
    <w:next w:val="1"/>
    <w:link w:val="339"/>
    <w:qFormat/>
    <w:uiPriority w:val="0"/>
    <w:pPr>
      <w:widowControl w:val="0"/>
      <w:kinsoku w:val="0"/>
      <w:overflowPunct w:val="0"/>
      <w:autoSpaceDE w:val="0"/>
      <w:autoSpaceDN w:val="0"/>
      <w:spacing w:line="0" w:lineRule="atLeast"/>
      <w:jc w:val="distribute"/>
    </w:pPr>
    <w:rPr>
      <w:rFonts w:ascii="Times New Roman" w:hAnsi="Times New Roman" w:eastAsia="黑体" w:cs="Times New Roman"/>
      <w:bCs/>
      <w:w w:val="135"/>
      <w:sz w:val="48"/>
      <w:lang w:val="en-US" w:eastAsia="zh-CN" w:bidi="ar-SA"/>
    </w:rPr>
  </w:style>
  <w:style w:type="character" w:customStyle="1" w:styleId="339">
    <w:name w:val="标准称谓QB Char"/>
    <w:basedOn w:val="231"/>
    <w:link w:val="338"/>
    <w:qFormat/>
    <w:uiPriority w:val="0"/>
    <w:rPr>
      <w:rFonts w:eastAsia="黑体"/>
      <w:bCs/>
      <w:w w:val="135"/>
      <w:sz w:val="48"/>
    </w:rPr>
  </w:style>
  <w:style w:type="paragraph" w:customStyle="1" w:styleId="340">
    <w:name w:val="发布部门HB"/>
    <w:next w:val="1"/>
    <w:qFormat/>
    <w:uiPriority w:val="0"/>
    <w:pPr>
      <w:spacing w:line="360" w:lineRule="exact"/>
      <w:jc w:val="center"/>
    </w:pPr>
    <w:rPr>
      <w:rFonts w:ascii="宋体" w:hAnsi="Times New Roman" w:eastAsia="宋体" w:cs="Times New Roman"/>
      <w:b/>
      <w:sz w:val="36"/>
      <w:lang w:val="en-US" w:eastAsia="zh-CN" w:bidi="ar-SA"/>
    </w:rPr>
  </w:style>
  <w:style w:type="paragraph" w:customStyle="1" w:styleId="341">
    <w:name w:val="发布部门DB"/>
    <w:next w:val="1"/>
    <w:qFormat/>
    <w:uiPriority w:val="0"/>
    <w:pPr>
      <w:spacing w:line="360" w:lineRule="exact"/>
      <w:jc w:val="center"/>
    </w:pPr>
    <w:rPr>
      <w:rFonts w:hint="eastAsia" w:ascii="黑体" w:hAnsi="黑体" w:eastAsia="黑体" w:cs="黑体"/>
      <w:sz w:val="36"/>
      <w:lang w:val="en-US" w:eastAsia="zh-CN" w:bidi="ar-SA"/>
    </w:rPr>
  </w:style>
  <w:style w:type="paragraph" w:customStyle="1" w:styleId="342">
    <w:name w:val="发布部门QB"/>
    <w:next w:val="1"/>
    <w:qFormat/>
    <w:uiPriority w:val="0"/>
    <w:pPr>
      <w:snapToGrid w:val="0"/>
      <w:jc w:val="center"/>
    </w:pPr>
    <w:rPr>
      <w:rFonts w:ascii="宋体" w:hAnsi="Times New Roman" w:eastAsia="宋体" w:cs="Times New Roman"/>
      <w:b/>
      <w:sz w:val="36"/>
      <w:lang w:val="en-US" w:eastAsia="zh-CN" w:bidi="ar-SA"/>
    </w:rPr>
  </w:style>
  <w:style w:type="paragraph" w:customStyle="1" w:styleId="343">
    <w:name w:val="标准标志DB"/>
    <w:next w:val="1"/>
    <w:qFormat/>
    <w:uiPriority w:val="0"/>
    <w:pPr>
      <w:shd w:val="solid" w:color="FFFFFF" w:fill="FFFFFF"/>
      <w:spacing w:line="0" w:lineRule="atLeast"/>
      <w:jc w:val="right"/>
    </w:pPr>
    <w:rPr>
      <w:rFonts w:ascii="Times New Roman" w:hAnsi="Times New Roman" w:eastAsia="Times New Roman" w:cs="Times New Roman"/>
      <w:b/>
      <w:w w:val="110"/>
      <w:kern w:val="2"/>
      <w:sz w:val="96"/>
      <w:lang w:val="en-US" w:eastAsia="zh-CN" w:bidi="ar-SA"/>
    </w:rPr>
  </w:style>
  <w:style w:type="paragraph" w:customStyle="1" w:styleId="344">
    <w:name w:val="标准标志QB"/>
    <w:next w:val="1"/>
    <w:qFormat/>
    <w:uiPriority w:val="0"/>
    <w:pPr>
      <w:shd w:val="solid" w:color="FFFFFF" w:fill="FFFFFF"/>
      <w:spacing w:line="0" w:lineRule="atLeast"/>
      <w:jc w:val="right"/>
    </w:pPr>
    <w:rPr>
      <w:rFonts w:ascii="Times New Roman" w:hAnsi="Times New Roman" w:eastAsia="Times New Roman" w:cs="Times New Roman"/>
      <w:b/>
      <w:w w:val="130"/>
      <w:sz w:val="96"/>
      <w:lang w:val="en-US" w:eastAsia="zh-CN" w:bidi="ar-SA"/>
    </w:rPr>
  </w:style>
  <w:style w:type="paragraph" w:customStyle="1" w:styleId="345">
    <w:name w:val="标准标志GB"/>
    <w:next w:val="1"/>
    <w:qFormat/>
    <w:uiPriority w:val="0"/>
    <w:pPr>
      <w:shd w:val="solid" w:color="FFFFFF" w:fill="FFFFFF"/>
      <w:spacing w:line="0" w:lineRule="atLeast"/>
      <w:jc w:val="right"/>
    </w:pPr>
    <w:rPr>
      <w:rFonts w:ascii="Britannic Bold" w:hAnsi="Britannic Bold" w:eastAsia="Britannic Bold" w:cs="Times New Roman"/>
      <w:b/>
      <w:w w:val="110"/>
      <w:kern w:val="2"/>
      <w:sz w:val="160"/>
      <w:lang w:val="en-US" w:eastAsia="zh-CN" w:bidi="ar-SA"/>
    </w:rPr>
  </w:style>
  <w:style w:type="paragraph" w:customStyle="1" w:styleId="346">
    <w:name w:val="示例X"/>
    <w:basedOn w:val="258"/>
    <w:next w:val="293"/>
    <w:qFormat/>
    <w:uiPriority w:val="0"/>
    <w:rPr>
      <w:sz w:val="18"/>
    </w:rPr>
  </w:style>
  <w:style w:type="paragraph" w:customStyle="1" w:styleId="347">
    <w:name w:val="附录表标号"/>
    <w:basedOn w:val="1"/>
    <w:next w:val="258"/>
    <w:qFormat/>
    <w:uiPriority w:val="0"/>
    <w:pPr>
      <w:numPr>
        <w:ilvl w:val="0"/>
        <w:numId w:val="13"/>
      </w:numPr>
      <w:snapToGrid w:val="0"/>
      <w:spacing w:line="14" w:lineRule="exact"/>
      <w:jc w:val="center"/>
    </w:pPr>
    <w:rPr>
      <w:color w:val="FFFFFF"/>
    </w:rPr>
  </w:style>
  <w:style w:type="paragraph" w:customStyle="1" w:styleId="348">
    <w:name w:val="附录图标号"/>
    <w:basedOn w:val="1"/>
    <w:next w:val="258"/>
    <w:qFormat/>
    <w:uiPriority w:val="0"/>
    <w:pPr>
      <w:numPr>
        <w:ilvl w:val="0"/>
        <w:numId w:val="14"/>
      </w:numPr>
      <w:snapToGrid w:val="0"/>
      <w:spacing w:line="14" w:lineRule="exact"/>
      <w:jc w:val="center"/>
    </w:pPr>
    <w:rPr>
      <w:color w:val="FFFFFF"/>
    </w:rPr>
  </w:style>
  <w:style w:type="paragraph" w:customStyle="1" w:styleId="349">
    <w:name w:val="重要提示"/>
    <w:basedOn w:val="258"/>
    <w:next w:val="258"/>
    <w:qFormat/>
    <w:uiPriority w:val="0"/>
    <w:rPr>
      <w:rFonts w:eastAsia="黑体"/>
    </w:rPr>
  </w:style>
  <w:style w:type="paragraph" w:customStyle="1" w:styleId="350">
    <w:name w:val="公式编号制表符"/>
    <w:basedOn w:val="1"/>
    <w:next w:val="1"/>
    <w:qFormat/>
    <w:uiPriority w:val="0"/>
    <w:pPr>
      <w:widowControl/>
      <w:tabs>
        <w:tab w:val="center" w:pos="4679"/>
        <w:tab w:val="right" w:leader="dot" w:pos="9299"/>
      </w:tabs>
      <w:autoSpaceDE w:val="0"/>
      <w:autoSpaceDN w:val="0"/>
      <w:textAlignment w:val="center"/>
    </w:pPr>
    <w:rPr>
      <w:rFonts w:ascii="宋体"/>
      <w:kern w:val="0"/>
      <w:szCs w:val="20"/>
    </w:rPr>
  </w:style>
  <w:style w:type="paragraph" w:customStyle="1" w:styleId="351">
    <w:name w:val="TOC Heading"/>
    <w:basedOn w:val="3"/>
    <w:next w:val="1"/>
    <w:semiHidden/>
    <w:unhideWhenUsed/>
    <w:qFormat/>
    <w:uiPriority w:val="39"/>
    <w:pPr>
      <w:outlineLvl w:val="9"/>
    </w:pPr>
  </w:style>
  <w:style w:type="character" w:customStyle="1" w:styleId="352">
    <w:name w:val="Subtle Reference"/>
    <w:basedOn w:val="2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353">
    <w:name w:val="Subtle Emphasis"/>
    <w:basedOn w:val="231"/>
    <w:qFormat/>
    <w:uiPriority w:val="19"/>
    <w:rPr>
      <w:i/>
      <w:iCs/>
      <w:color w:val="404040" w:themeColor="text1" w:themeTint="BF"/>
      <w14:textFill>
        <w14:solidFill>
          <w14:schemeClr w14:val="tx1">
            <w14:lumMod w14:val="75000"/>
            <w14:lumOff w14:val="25000"/>
          </w14:schemeClr>
        </w14:solidFill>
      </w14:textFill>
    </w:rPr>
  </w:style>
  <w:style w:type="character" w:customStyle="1" w:styleId="354">
    <w:name w:val="称呼 Char"/>
    <w:basedOn w:val="231"/>
    <w:link w:val="36"/>
    <w:semiHidden/>
    <w:qFormat/>
    <w:uiPriority w:val="99"/>
    <w:rPr>
      <w:kern w:val="2"/>
      <w:sz w:val="21"/>
      <w:szCs w:val="24"/>
    </w:rPr>
  </w:style>
  <w:style w:type="character" w:customStyle="1" w:styleId="355">
    <w:name w:val="纯文本 Char"/>
    <w:basedOn w:val="231"/>
    <w:link w:val="49"/>
    <w:semiHidden/>
    <w:qFormat/>
    <w:uiPriority w:val="99"/>
    <w:rPr>
      <w:rFonts w:ascii="宋体" w:hAnsi="Courier New" w:cs="Courier New"/>
      <w:kern w:val="2"/>
      <w:sz w:val="21"/>
      <w:szCs w:val="21"/>
    </w:rPr>
  </w:style>
  <w:style w:type="character" w:customStyle="1" w:styleId="356">
    <w:name w:val="电子邮件签名 Char"/>
    <w:basedOn w:val="231"/>
    <w:link w:val="25"/>
    <w:semiHidden/>
    <w:qFormat/>
    <w:uiPriority w:val="99"/>
    <w:rPr>
      <w:kern w:val="2"/>
      <w:sz w:val="21"/>
      <w:szCs w:val="24"/>
    </w:rPr>
  </w:style>
  <w:style w:type="character" w:customStyle="1" w:styleId="357">
    <w:name w:val="副标题 Char"/>
    <w:basedOn w:val="231"/>
    <w:link w:val="66"/>
    <w:qFormat/>
    <w:uiPriority w:val="11"/>
    <w:rPr>
      <w:rFonts w:asciiTheme="majorHAnsi" w:hAnsiTheme="majorHAnsi" w:cstheme="majorBidi"/>
      <w:b/>
      <w:bCs/>
      <w:kern w:val="28"/>
      <w:sz w:val="32"/>
      <w:szCs w:val="32"/>
    </w:rPr>
  </w:style>
  <w:style w:type="character" w:customStyle="1" w:styleId="358">
    <w:name w:val="宏文本 Char"/>
    <w:basedOn w:val="231"/>
    <w:link w:val="2"/>
    <w:semiHidden/>
    <w:qFormat/>
    <w:uiPriority w:val="99"/>
    <w:rPr>
      <w:rFonts w:ascii="Courier New" w:hAnsi="Courier New" w:cs="Courier New"/>
      <w:kern w:val="2"/>
      <w:sz w:val="24"/>
      <w:szCs w:val="24"/>
    </w:rPr>
  </w:style>
  <w:style w:type="character" w:customStyle="1" w:styleId="359">
    <w:name w:val="结束语 Char"/>
    <w:basedOn w:val="231"/>
    <w:link w:val="38"/>
    <w:semiHidden/>
    <w:qFormat/>
    <w:uiPriority w:val="99"/>
    <w:rPr>
      <w:kern w:val="2"/>
      <w:sz w:val="21"/>
      <w:szCs w:val="24"/>
    </w:rPr>
  </w:style>
  <w:style w:type="paragraph" w:styleId="360">
    <w:name w:val="List Paragraph"/>
    <w:basedOn w:val="1"/>
    <w:qFormat/>
    <w:uiPriority w:val="34"/>
    <w:pPr>
      <w:ind w:firstLine="420" w:firstLineChars="200"/>
    </w:pPr>
  </w:style>
  <w:style w:type="character" w:customStyle="1" w:styleId="361">
    <w:name w:val="Intense Reference"/>
    <w:basedOn w:val="231"/>
    <w:qFormat/>
    <w:uiPriority w:val="32"/>
    <w:rPr>
      <w:b/>
      <w:bCs/>
      <w:smallCaps/>
      <w:color w:val="5B9BD5" w:themeColor="accent1"/>
      <w:spacing w:val="5"/>
      <w14:textFill>
        <w14:solidFill>
          <w14:schemeClr w14:val="accent1"/>
        </w14:solidFill>
      </w14:textFill>
    </w:rPr>
  </w:style>
  <w:style w:type="character" w:customStyle="1" w:styleId="362">
    <w:name w:val="Intense Emphasis"/>
    <w:basedOn w:val="231"/>
    <w:qFormat/>
    <w:uiPriority w:val="21"/>
    <w:rPr>
      <w:i/>
      <w:iCs/>
      <w:color w:val="5B9BD5" w:themeColor="accent1"/>
      <w14:textFill>
        <w14:solidFill>
          <w14:schemeClr w14:val="accent1"/>
        </w14:solidFill>
      </w14:textFill>
    </w:rPr>
  </w:style>
  <w:style w:type="paragraph" w:styleId="363">
    <w:name w:val="Intense Quote"/>
    <w:basedOn w:val="1"/>
    <w:next w:val="1"/>
    <w:link w:val="364"/>
    <w:qFormat/>
    <w:uiPriority w:val="30"/>
    <w:pPr>
      <w:pBdr>
        <w:top w:val="single" w:color="5B9BD5" w:themeColor="accent1" w:sz="4" w:space="10"/>
        <w:bottom w:val="single" w:color="5B9BD5" w:themeColor="accent1" w:sz="4" w:space="10"/>
      </w:pBdr>
      <w:spacing w:before="360" w:after="360"/>
      <w:ind w:left="864" w:right="864"/>
      <w:jc w:val="center"/>
    </w:pPr>
    <w:rPr>
      <w:i/>
      <w:iCs/>
      <w:color w:val="5B9BD5" w:themeColor="accent1"/>
      <w14:textFill>
        <w14:solidFill>
          <w14:schemeClr w14:val="accent1"/>
        </w14:solidFill>
      </w14:textFill>
    </w:rPr>
  </w:style>
  <w:style w:type="character" w:customStyle="1" w:styleId="364">
    <w:name w:val="明显引用 Char"/>
    <w:basedOn w:val="231"/>
    <w:link w:val="363"/>
    <w:qFormat/>
    <w:uiPriority w:val="30"/>
    <w:rPr>
      <w:i/>
      <w:iCs/>
      <w:color w:val="5B9BD5" w:themeColor="accent1"/>
      <w:kern w:val="2"/>
      <w:sz w:val="21"/>
      <w:szCs w:val="24"/>
      <w14:textFill>
        <w14:solidFill>
          <w14:schemeClr w14:val="accent1"/>
        </w14:solidFill>
      </w14:textFill>
    </w:rPr>
  </w:style>
  <w:style w:type="character" w:customStyle="1" w:styleId="365">
    <w:name w:val="批注框文本 Char"/>
    <w:basedOn w:val="231"/>
    <w:link w:val="58"/>
    <w:semiHidden/>
    <w:qFormat/>
    <w:uiPriority w:val="99"/>
    <w:rPr>
      <w:kern w:val="2"/>
      <w:sz w:val="18"/>
      <w:szCs w:val="18"/>
    </w:rPr>
  </w:style>
  <w:style w:type="character" w:customStyle="1" w:styleId="366">
    <w:name w:val="批注文字 Char"/>
    <w:basedOn w:val="231"/>
    <w:link w:val="34"/>
    <w:semiHidden/>
    <w:qFormat/>
    <w:uiPriority w:val="99"/>
    <w:rPr>
      <w:kern w:val="2"/>
      <w:sz w:val="21"/>
      <w:szCs w:val="24"/>
    </w:rPr>
  </w:style>
  <w:style w:type="character" w:customStyle="1" w:styleId="367">
    <w:name w:val="批注主题 Char"/>
    <w:basedOn w:val="366"/>
    <w:link w:val="85"/>
    <w:semiHidden/>
    <w:qFormat/>
    <w:uiPriority w:val="99"/>
    <w:rPr>
      <w:b/>
      <w:bCs/>
      <w:kern w:val="2"/>
      <w:sz w:val="21"/>
      <w:szCs w:val="24"/>
    </w:rPr>
  </w:style>
  <w:style w:type="character" w:customStyle="1" w:styleId="368">
    <w:name w:val="签名 Char"/>
    <w:basedOn w:val="231"/>
    <w:link w:val="62"/>
    <w:semiHidden/>
    <w:qFormat/>
    <w:uiPriority w:val="99"/>
    <w:rPr>
      <w:kern w:val="2"/>
      <w:sz w:val="21"/>
      <w:szCs w:val="24"/>
    </w:rPr>
  </w:style>
  <w:style w:type="table" w:customStyle="1" w:styleId="369">
    <w:name w:val="List Table 1 Light"/>
    <w:basedOn w:val="88"/>
    <w:qFormat/>
    <w:uiPriority w:val="46"/>
    <w:tblPr>
      <w:tblCellMar>
        <w:top w:w="0" w:type="dxa"/>
        <w:left w:w="108" w:type="dxa"/>
        <w:bottom w:w="0" w:type="dxa"/>
        <w:right w:w="108" w:type="dxa"/>
      </w:tblCellMar>
    </w:tblPr>
    <w:tblStylePr w:type="firstRow">
      <w:rPr>
        <w:b/>
        <w:bCs/>
      </w:rPr>
      <w:tcPr>
        <w:tcBorders>
          <w:bottom w:val="single" w:color="666666" w:themeColor="text1" w:themeTint="99" w:sz="4" w:space="0"/>
        </w:tcBorders>
      </w:tcPr>
    </w:tblStylePr>
    <w:tblStylePr w:type="lastRow">
      <w:rPr>
        <w:b/>
        <w:bCs/>
      </w:rPr>
      <w:tcPr>
        <w:tcBorders>
          <w:top w:val="sing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70">
    <w:name w:val="List Table 1 Light Accent 1"/>
    <w:basedOn w:val="88"/>
    <w:qFormat/>
    <w:uiPriority w:val="46"/>
    <w:tblPr>
      <w:tblCellMar>
        <w:top w:w="0" w:type="dxa"/>
        <w:left w:w="108" w:type="dxa"/>
        <w:bottom w:w="0" w:type="dxa"/>
        <w:right w:w="108" w:type="dxa"/>
      </w:tblCellMar>
    </w:tblPr>
    <w:tblStylePr w:type="firstRow">
      <w:rPr>
        <w:b/>
        <w:bCs/>
      </w:rPr>
      <w:tcPr>
        <w:tcBorders>
          <w:bottom w:val="single" w:color="9CC2E5" w:themeColor="accent1" w:themeTint="99" w:sz="4" w:space="0"/>
        </w:tcBorders>
      </w:tcPr>
    </w:tblStylePr>
    <w:tblStylePr w:type="lastRow">
      <w:rPr>
        <w:b/>
        <w:bCs/>
      </w:rPr>
      <w:tcPr>
        <w:tcBorders>
          <w:top w:val="sing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371">
    <w:name w:val="List Table 1 Light Accent 2"/>
    <w:basedOn w:val="88"/>
    <w:qFormat/>
    <w:uiPriority w:val="46"/>
    <w:tblPr>
      <w:tblCellMar>
        <w:top w:w="0" w:type="dxa"/>
        <w:left w:w="108" w:type="dxa"/>
        <w:bottom w:w="0" w:type="dxa"/>
        <w:right w:w="108" w:type="dxa"/>
      </w:tblCellMar>
    </w:tblPr>
    <w:tblStylePr w:type="firstRow">
      <w:rPr>
        <w:b/>
        <w:bCs/>
      </w:rPr>
      <w:tcPr>
        <w:tcBorders>
          <w:bottom w:val="single" w:color="F4B083" w:themeColor="accent2" w:themeTint="99" w:sz="4" w:space="0"/>
        </w:tcBorders>
      </w:tcPr>
    </w:tblStylePr>
    <w:tblStylePr w:type="lastRow">
      <w:rPr>
        <w:b/>
        <w:bCs/>
      </w:rPr>
      <w:tcPr>
        <w:tcBorders>
          <w:top w:val="single" w:color="F4B083" w:themeColor="accent2" w:themeTint="99"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372">
    <w:name w:val="List Table 1 Light Accent 3"/>
    <w:basedOn w:val="88"/>
    <w:qFormat/>
    <w:uiPriority w:val="46"/>
    <w:tblPr>
      <w:tblCellMar>
        <w:top w:w="0" w:type="dxa"/>
        <w:left w:w="108" w:type="dxa"/>
        <w:bottom w:w="0" w:type="dxa"/>
        <w:right w:w="108" w:type="dxa"/>
      </w:tblCellMar>
    </w:tblPr>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73">
    <w:name w:val="List Table 1 Light Accent 4"/>
    <w:basedOn w:val="88"/>
    <w:qFormat/>
    <w:uiPriority w:val="46"/>
    <w:tblPr>
      <w:tblCellMar>
        <w:top w:w="0" w:type="dxa"/>
        <w:left w:w="108" w:type="dxa"/>
        <w:bottom w:w="0" w:type="dxa"/>
        <w:right w:w="108" w:type="dxa"/>
      </w:tblCellMar>
    </w:tblPr>
    <w:tblStylePr w:type="firstRow">
      <w:rPr>
        <w:b/>
        <w:bCs/>
      </w:rPr>
      <w:tcPr>
        <w:tcBorders>
          <w:bottom w:val="single" w:color="FFD965" w:themeColor="accent4" w:themeTint="99" w:sz="4" w:space="0"/>
        </w:tcBorders>
      </w:tcPr>
    </w:tblStylePr>
    <w:tblStylePr w:type="lastRow">
      <w:rPr>
        <w:b/>
        <w:bCs/>
      </w:rPr>
      <w:tcPr>
        <w:tcBorders>
          <w:top w:val="sing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74">
    <w:name w:val="List Table 1 Light Accent 5"/>
    <w:basedOn w:val="88"/>
    <w:qFormat/>
    <w:uiPriority w:val="46"/>
    <w:tblPr>
      <w:tblCellMar>
        <w:top w:w="0" w:type="dxa"/>
        <w:left w:w="108" w:type="dxa"/>
        <w:bottom w:w="0" w:type="dxa"/>
        <w:right w:w="108" w:type="dxa"/>
      </w:tblCellMar>
    </w:tblPr>
    <w:tblStylePr w:type="firstRow">
      <w:rPr>
        <w:b/>
        <w:bCs/>
      </w:rPr>
      <w:tcPr>
        <w:tcBorders>
          <w:bottom w:val="single" w:color="8EAADB" w:themeColor="accent5" w:themeTint="99" w:sz="4" w:space="0"/>
        </w:tcBorders>
      </w:tcPr>
    </w:tblStylePr>
    <w:tblStylePr w:type="lastRow">
      <w:rPr>
        <w:b/>
        <w:bCs/>
      </w:rPr>
      <w:tcPr>
        <w:tcBorders>
          <w:top w:val="sing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375">
    <w:name w:val="List Table 1 Light Accent 6"/>
    <w:basedOn w:val="88"/>
    <w:qFormat/>
    <w:uiPriority w:val="46"/>
    <w:tblPr>
      <w:tblCellMar>
        <w:top w:w="0" w:type="dxa"/>
        <w:left w:w="108" w:type="dxa"/>
        <w:bottom w:w="0" w:type="dxa"/>
        <w:right w:w="108" w:type="dxa"/>
      </w:tblCellMar>
    </w:tblPr>
    <w:tblStylePr w:type="firstRow">
      <w:rPr>
        <w:b/>
        <w:bCs/>
      </w:rPr>
      <w:tcPr>
        <w:tcBorders>
          <w:bottom w:val="single" w:color="A8D08D" w:themeColor="accent6" w:themeTint="99" w:sz="4" w:space="0"/>
        </w:tcBorders>
      </w:tcPr>
    </w:tblStylePr>
    <w:tblStylePr w:type="lastRow">
      <w:rPr>
        <w:b/>
        <w:bCs/>
      </w:rPr>
      <w:tcPr>
        <w:tcBorders>
          <w:top w:val="sing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76">
    <w:name w:val="List Table 2"/>
    <w:basedOn w:val="88"/>
    <w:qFormat/>
    <w:uiPriority w:val="47"/>
    <w:tblPr>
      <w:tblBorders>
        <w:top w:val="single" w:color="666666" w:themeColor="text1" w:themeTint="99" w:sz="4" w:space="0"/>
        <w:bottom w:val="single" w:color="666666" w:themeColor="text1" w:themeTint="99" w:sz="4" w:space="0"/>
        <w:insideH w:val="single" w:color="666666" w:themeColor="text1"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77">
    <w:name w:val="List Table 2 Accent 1"/>
    <w:basedOn w:val="88"/>
    <w:qFormat/>
    <w:uiPriority w:val="47"/>
    <w:tblPr>
      <w:tblBorders>
        <w:top w:val="single" w:color="9CC2E5" w:themeColor="accent1" w:themeTint="99" w:sz="4" w:space="0"/>
        <w:bottom w:val="single" w:color="9CC2E5" w:themeColor="accent1" w:themeTint="99" w:sz="4" w:space="0"/>
        <w:insideH w:val="single" w:color="9CC2E5" w:themeColor="accent1"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378">
    <w:name w:val="List Table 2 Accent 2"/>
    <w:basedOn w:val="88"/>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379">
    <w:name w:val="List Table 2 Accent 3"/>
    <w:basedOn w:val="88"/>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80">
    <w:name w:val="List Table 2 Accent 4"/>
    <w:basedOn w:val="88"/>
    <w:qFormat/>
    <w:uiPriority w:val="47"/>
    <w:tblPr>
      <w:tblBorders>
        <w:top w:val="single" w:color="FFD965" w:themeColor="accent4" w:themeTint="99" w:sz="4" w:space="0"/>
        <w:bottom w:val="single" w:color="FFD965" w:themeColor="accent4" w:themeTint="99" w:sz="4" w:space="0"/>
        <w:insideH w:val="single" w:color="FFD965" w:themeColor="accent4"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81">
    <w:name w:val="List Table 2 Accent 5"/>
    <w:basedOn w:val="88"/>
    <w:qFormat/>
    <w:uiPriority w:val="47"/>
    <w:tblPr>
      <w:tblBorders>
        <w:top w:val="single" w:color="8EAADB" w:themeColor="accent5" w:themeTint="99" w:sz="4" w:space="0"/>
        <w:bottom w:val="single" w:color="8EAADB" w:themeColor="accent5" w:themeTint="99" w:sz="4" w:space="0"/>
        <w:insideH w:val="single" w:color="8EAADB" w:themeColor="accent5"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382">
    <w:name w:val="List Table 2 Accent 6"/>
    <w:basedOn w:val="88"/>
    <w:qFormat/>
    <w:uiPriority w:val="47"/>
    <w:tblPr>
      <w:tblBorders>
        <w:top w:val="single" w:color="A8D08D" w:themeColor="accent6" w:themeTint="99" w:sz="4" w:space="0"/>
        <w:bottom w:val="single" w:color="A8D08D" w:themeColor="accent6" w:themeTint="99" w:sz="4" w:space="0"/>
        <w:insideH w:val="single" w:color="A8D08D" w:themeColor="accent6"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83">
    <w:name w:val="List Table 3"/>
    <w:basedOn w:val="88"/>
    <w:qFormat/>
    <w:uiPriority w:val="48"/>
    <w:tblPr>
      <w:tblBorders>
        <w:top w:val="single" w:color="000000" w:themeColor="text1" w:sz="4" w:space="0"/>
        <w:left w:val="single" w:color="000000" w:themeColor="text1" w:sz="4" w:space="0"/>
        <w:bottom w:val="single" w:color="000000" w:themeColor="text1" w:sz="4" w:space="0"/>
        <w:right w:val="single" w:color="000000" w:themeColor="text1"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000000" w:themeFill="text1"/>
      </w:tcPr>
    </w:tblStylePr>
    <w:tblStylePr w:type="lastRow">
      <w:rPr>
        <w:b/>
        <w:bCs/>
      </w:rPr>
      <w:tcPr>
        <w:tcBorders>
          <w:top w:val="double" w:color="000000" w:themeColor="tex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00000" w:themeColor="text1" w:sz="4" w:space="0"/>
          <w:left w:val="nil"/>
        </w:tcBorders>
      </w:tcPr>
    </w:tblStylePr>
    <w:tblStylePr w:type="swCell">
      <w:tcPr>
        <w:tcBorders>
          <w:top w:val="double" w:color="000000" w:themeColor="text1" w:sz="4" w:space="0"/>
          <w:right w:val="nil"/>
        </w:tcBorders>
      </w:tcPr>
    </w:tblStylePr>
  </w:style>
  <w:style w:type="table" w:customStyle="1" w:styleId="384">
    <w:name w:val="List Table 3 Accent 1"/>
    <w:basedOn w:val="88"/>
    <w:qFormat/>
    <w:uiPriority w:val="48"/>
    <w:tblPr>
      <w:tblBorders>
        <w:top w:val="single" w:color="5B9BD5" w:themeColor="accent1" w:sz="4" w:space="0"/>
        <w:left w:val="single" w:color="5B9BD5" w:themeColor="accent1" w:sz="4" w:space="0"/>
        <w:bottom w:val="single" w:color="5B9BD5" w:themeColor="accent1" w:sz="4" w:space="0"/>
        <w:right w:val="single" w:color="5B9BD5" w:themeColor="accent1"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5B9BD5" w:themeFill="accent1"/>
      </w:tcPr>
    </w:tblStylePr>
    <w:tblStylePr w:type="lastRow">
      <w:rPr>
        <w:b/>
        <w:bCs/>
      </w:rPr>
      <w:tcPr>
        <w:tcBorders>
          <w:top w:val="double" w:color="5B9BD5" w:themeColor="accen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5B9BD5" w:themeColor="accent1" w:sz="4" w:space="0"/>
          <w:right w:val="single" w:color="5B9BD5" w:themeColor="accent1" w:sz="4" w:space="0"/>
        </w:tcBorders>
      </w:tcPr>
    </w:tblStylePr>
    <w:tblStylePr w:type="band1Horz">
      <w:tcPr>
        <w:tcBorders>
          <w:top w:val="single" w:color="5B9BD5" w:themeColor="accent1" w:sz="4" w:space="0"/>
          <w:bottom w:val="single" w:color="5B9BD5" w:themeColor="accen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5B9BD5" w:themeColor="accent1" w:sz="4" w:space="0"/>
          <w:left w:val="nil"/>
        </w:tcBorders>
      </w:tcPr>
    </w:tblStylePr>
    <w:tblStylePr w:type="swCell">
      <w:tcPr>
        <w:tcBorders>
          <w:top w:val="double" w:color="5B9BD5" w:themeColor="accent1" w:sz="4" w:space="0"/>
          <w:right w:val="nil"/>
        </w:tcBorders>
      </w:tcPr>
    </w:tblStylePr>
  </w:style>
  <w:style w:type="table" w:customStyle="1" w:styleId="385">
    <w:name w:val="List Table 3 Accent 2"/>
    <w:basedOn w:val="88"/>
    <w:qFormat/>
    <w:uiPriority w:val="48"/>
    <w:tblPr>
      <w:tblBorders>
        <w:top w:val="single" w:color="ED7D31" w:themeColor="accent2" w:sz="4" w:space="0"/>
        <w:left w:val="single" w:color="ED7D31" w:themeColor="accent2" w:sz="4" w:space="0"/>
        <w:bottom w:val="single" w:color="ED7D31" w:themeColor="accent2" w:sz="4" w:space="0"/>
        <w:right w:val="single" w:color="ED7D31" w:themeColor="accent2"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ED7D31" w:themeFill="accent2"/>
      </w:tcPr>
    </w:tblStylePr>
    <w:tblStylePr w:type="lastRow">
      <w:rPr>
        <w:b/>
        <w:bCs/>
      </w:rPr>
      <w:tcPr>
        <w:tcBorders>
          <w:top w:val="double" w:color="ED7D31" w:themeColor="accent2"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ED7D31" w:themeColor="accent2" w:sz="4" w:space="0"/>
          <w:right w:val="single" w:color="ED7D31" w:themeColor="accent2" w:sz="4" w:space="0"/>
        </w:tcBorders>
      </w:tcPr>
    </w:tblStylePr>
    <w:tblStylePr w:type="band1Horz">
      <w:tcPr>
        <w:tcBorders>
          <w:top w:val="single" w:color="ED7D31" w:themeColor="accent2" w:sz="4" w:space="0"/>
          <w:bottom w:val="single" w:color="ED7D31" w:themeColor="accent2"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ED7D31" w:themeColor="accent2" w:sz="4" w:space="0"/>
          <w:left w:val="nil"/>
        </w:tcBorders>
      </w:tcPr>
    </w:tblStylePr>
    <w:tblStylePr w:type="swCell">
      <w:tcPr>
        <w:tcBorders>
          <w:top w:val="double" w:color="ED7D31" w:themeColor="accent2" w:sz="4" w:space="0"/>
          <w:right w:val="nil"/>
        </w:tcBorders>
      </w:tcPr>
    </w:tblStylePr>
  </w:style>
  <w:style w:type="table" w:customStyle="1" w:styleId="386">
    <w:name w:val="List Table 3 Accent 3"/>
    <w:basedOn w:val="88"/>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387">
    <w:name w:val="List Table 3 Accent 4"/>
    <w:basedOn w:val="88"/>
    <w:qFormat/>
    <w:uiPriority w:val="48"/>
    <w:tblPr>
      <w:tblBorders>
        <w:top w:val="single" w:color="FFC000" w:themeColor="accent4" w:sz="4" w:space="0"/>
        <w:left w:val="single" w:color="FFC000" w:themeColor="accent4" w:sz="4" w:space="0"/>
        <w:bottom w:val="single" w:color="FFC000" w:themeColor="accent4" w:sz="4" w:space="0"/>
        <w:right w:val="single" w:color="FFC000" w:themeColor="accent4"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FFC000" w:themeFill="accent4"/>
      </w:tcPr>
    </w:tblStylePr>
    <w:tblStylePr w:type="lastRow">
      <w:rPr>
        <w:b/>
        <w:bCs/>
      </w:rPr>
      <w:tcPr>
        <w:tcBorders>
          <w:top w:val="double" w:color="FFC000" w:themeColor="accent4"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FFC000" w:themeColor="accent4" w:sz="4" w:space="0"/>
          <w:right w:val="single" w:color="FFC000" w:themeColor="accent4" w:sz="4" w:space="0"/>
        </w:tcBorders>
      </w:tcPr>
    </w:tblStylePr>
    <w:tblStylePr w:type="band1Horz">
      <w:tcPr>
        <w:tcBorders>
          <w:top w:val="single" w:color="FFC000" w:themeColor="accent4" w:sz="4" w:space="0"/>
          <w:bottom w:val="single" w:color="FFC000" w:themeColor="accent4"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FFC000" w:themeColor="accent4" w:sz="4" w:space="0"/>
          <w:left w:val="nil"/>
        </w:tcBorders>
      </w:tcPr>
    </w:tblStylePr>
    <w:tblStylePr w:type="swCell">
      <w:tcPr>
        <w:tcBorders>
          <w:top w:val="double" w:color="FFC000" w:themeColor="accent4" w:sz="4" w:space="0"/>
          <w:right w:val="nil"/>
        </w:tcBorders>
      </w:tcPr>
    </w:tblStylePr>
  </w:style>
  <w:style w:type="table" w:customStyle="1" w:styleId="388">
    <w:name w:val="List Table 3 Accent 5"/>
    <w:basedOn w:val="88"/>
    <w:qFormat/>
    <w:uiPriority w:val="48"/>
    <w:tblPr>
      <w:tblBorders>
        <w:top w:val="single" w:color="4472C4" w:themeColor="accent5" w:sz="4" w:space="0"/>
        <w:left w:val="single" w:color="4472C4" w:themeColor="accent5" w:sz="4" w:space="0"/>
        <w:bottom w:val="single" w:color="4472C4" w:themeColor="accent5" w:sz="4" w:space="0"/>
        <w:right w:val="single" w:color="4472C4" w:themeColor="accent5"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4472C4" w:themeFill="accent5"/>
      </w:tcPr>
    </w:tblStylePr>
    <w:tblStylePr w:type="lastRow">
      <w:rPr>
        <w:b/>
        <w:bCs/>
      </w:rPr>
      <w:tcPr>
        <w:tcBorders>
          <w:top w:val="double" w:color="4472C4" w:themeColor="accent5"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4472C4" w:themeColor="accent5" w:sz="4" w:space="0"/>
          <w:right w:val="single" w:color="4472C4" w:themeColor="accent5" w:sz="4" w:space="0"/>
        </w:tcBorders>
      </w:tcPr>
    </w:tblStylePr>
    <w:tblStylePr w:type="band1Horz">
      <w:tcPr>
        <w:tcBorders>
          <w:top w:val="single" w:color="4472C4" w:themeColor="accent5" w:sz="4" w:space="0"/>
          <w:bottom w:val="single" w:color="4472C4" w:themeColor="accent5"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472C4" w:themeColor="accent5" w:sz="4" w:space="0"/>
          <w:left w:val="nil"/>
        </w:tcBorders>
      </w:tcPr>
    </w:tblStylePr>
    <w:tblStylePr w:type="swCell">
      <w:tcPr>
        <w:tcBorders>
          <w:top w:val="double" w:color="4472C4" w:themeColor="accent5" w:sz="4" w:space="0"/>
          <w:right w:val="nil"/>
        </w:tcBorders>
      </w:tcPr>
    </w:tblStylePr>
  </w:style>
  <w:style w:type="table" w:customStyle="1" w:styleId="389">
    <w:name w:val="List Table 3 Accent 6"/>
    <w:basedOn w:val="88"/>
    <w:qFormat/>
    <w:uiPriority w:val="48"/>
    <w:tblPr>
      <w:tblBorders>
        <w:top w:val="single" w:color="70AD47" w:themeColor="accent6" w:sz="4" w:space="0"/>
        <w:left w:val="single" w:color="70AD47" w:themeColor="accent6" w:sz="4" w:space="0"/>
        <w:bottom w:val="single" w:color="70AD47" w:themeColor="accent6" w:sz="4" w:space="0"/>
        <w:right w:val="single" w:color="70AD47" w:themeColor="accent6"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70AD47" w:themeFill="accent6"/>
      </w:tcPr>
    </w:tblStylePr>
    <w:tblStylePr w:type="lastRow">
      <w:rPr>
        <w:b/>
        <w:bCs/>
      </w:rPr>
      <w:tcPr>
        <w:tcBorders>
          <w:top w:val="double" w:color="70AD47" w:themeColor="accent6"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70AD47" w:themeColor="accent6" w:sz="4" w:space="0"/>
          <w:right w:val="single" w:color="70AD47" w:themeColor="accent6" w:sz="4" w:space="0"/>
        </w:tcBorders>
      </w:tcPr>
    </w:tblStylePr>
    <w:tblStylePr w:type="band1Horz">
      <w:tcPr>
        <w:tcBorders>
          <w:top w:val="single" w:color="70AD47" w:themeColor="accent6" w:sz="4" w:space="0"/>
          <w:bottom w:val="single" w:color="70AD47" w:themeColor="accent6"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70AD47" w:themeColor="accent6" w:sz="4" w:space="0"/>
          <w:left w:val="nil"/>
        </w:tcBorders>
      </w:tcPr>
    </w:tblStylePr>
    <w:tblStylePr w:type="swCell">
      <w:tcPr>
        <w:tcBorders>
          <w:top w:val="double" w:color="70AD47" w:themeColor="accent6" w:sz="4" w:space="0"/>
          <w:right w:val="nil"/>
        </w:tcBorders>
      </w:tcPr>
    </w:tblStylePr>
  </w:style>
  <w:style w:type="table" w:customStyle="1" w:styleId="390">
    <w:name w:val="List Table 4"/>
    <w:basedOn w:val="88"/>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91">
    <w:name w:val="List Table 4 Accent 1"/>
    <w:basedOn w:val="88"/>
    <w:qFormat/>
    <w:uiPriority w:val="49"/>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tcBorders>
        <w:shd w:val="clear" w:color="auto" w:fill="5B9BD5" w:themeFill="accent1"/>
      </w:tcPr>
    </w:tblStylePr>
    <w:tblStylePr w:type="lastRow">
      <w:rPr>
        <w:b/>
        <w:bCs/>
      </w:rPr>
      <w:tcPr>
        <w:tcBorders>
          <w:top w:val="doub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392">
    <w:name w:val="List Table 4 Accent 2"/>
    <w:basedOn w:val="88"/>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tcBorders>
        <w:shd w:val="clear" w:color="auto" w:fill="ED7D31" w:themeFill="accent2"/>
      </w:tcPr>
    </w:tblStylePr>
    <w:tblStylePr w:type="lastRow">
      <w:rPr>
        <w:b/>
        <w:bCs/>
      </w:rPr>
      <w:tcPr>
        <w:tcBorders>
          <w:top w:val="double" w:color="F4B083" w:themeColor="accent2" w:themeTint="99"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393">
    <w:name w:val="List Table 4 Accent 3"/>
    <w:basedOn w:val="88"/>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94">
    <w:name w:val="List Table 4 Accent 4"/>
    <w:basedOn w:val="88"/>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95">
    <w:name w:val="List Table 4 Accent 5"/>
    <w:basedOn w:val="88"/>
    <w:qFormat/>
    <w:uiPriority w:val="49"/>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tcBorders>
        <w:shd w:val="clear" w:color="auto" w:fill="4472C4" w:themeFill="accent5"/>
      </w:tcPr>
    </w:tblStylePr>
    <w:tblStylePr w:type="lastRow">
      <w:rPr>
        <w:b/>
        <w:bCs/>
      </w:rPr>
      <w:tcPr>
        <w:tcBorders>
          <w:top w:val="doub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396">
    <w:name w:val="List Table 4 Accent 6"/>
    <w:basedOn w:val="88"/>
    <w:qFormat/>
    <w:uiPriority w:val="49"/>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tcBorders>
        <w:shd w:val="clear" w:color="auto" w:fill="70AD47" w:themeFill="accent6"/>
      </w:tcPr>
    </w:tblStylePr>
    <w:tblStylePr w:type="lastRow">
      <w:rPr>
        <w:b/>
        <w:bCs/>
      </w:rPr>
      <w:tcPr>
        <w:tcBorders>
          <w:top w:val="doub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97">
    <w:name w:val="List Table 5 Dark"/>
    <w:basedOn w:val="88"/>
    <w:qFormat/>
    <w:uiPriority w:val="50"/>
    <w:rPr>
      <w:color w:val="FFFFFF" w:themeColor="background1"/>
      <w14:textFill>
        <w14:solidFill>
          <w14:schemeClr w14:val="bg1"/>
        </w14:solidFill>
      </w14:textFill>
    </w:rPr>
    <w:tblPr>
      <w:tblBorders>
        <w:top w:val="single" w:color="000000" w:themeColor="text1" w:sz="24" w:space="0"/>
        <w:left w:val="single" w:color="000000" w:themeColor="text1" w:sz="24" w:space="0"/>
        <w:bottom w:val="single" w:color="000000" w:themeColor="text1" w:sz="24" w:space="0"/>
        <w:right w:val="single" w:color="000000" w:themeColor="text1" w:sz="24" w:space="0"/>
      </w:tblBorders>
      <w:tblCellMar>
        <w:top w:w="0" w:type="dxa"/>
        <w:left w:w="108" w:type="dxa"/>
        <w:bottom w:w="0" w:type="dxa"/>
        <w:right w:w="108" w:type="dxa"/>
      </w:tblCellMar>
    </w:tblPr>
    <w:tcPr>
      <w:shd w:val="clear" w:color="auto" w:fill="000000" w:themeFill="tex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98">
    <w:name w:val="List Table 5 Dark Accent 1"/>
    <w:basedOn w:val="88"/>
    <w:qFormat/>
    <w:uiPriority w:val="50"/>
    <w:rPr>
      <w:color w:val="FFFFFF" w:themeColor="background1"/>
      <w14:textFill>
        <w14:solidFill>
          <w14:schemeClr w14:val="bg1"/>
        </w14:solidFill>
      </w14:textFill>
    </w:rPr>
    <w:tblPr>
      <w:tblBorders>
        <w:top w:val="single" w:color="5B9BD5" w:themeColor="accent1" w:sz="24" w:space="0"/>
        <w:left w:val="single" w:color="5B9BD5" w:themeColor="accent1" w:sz="24" w:space="0"/>
        <w:bottom w:val="single" w:color="5B9BD5" w:themeColor="accent1" w:sz="24" w:space="0"/>
        <w:right w:val="single" w:color="5B9BD5" w:themeColor="accent1" w:sz="24" w:space="0"/>
      </w:tblBorders>
      <w:tblCellMar>
        <w:top w:w="0" w:type="dxa"/>
        <w:left w:w="108" w:type="dxa"/>
        <w:bottom w:w="0" w:type="dxa"/>
        <w:right w:w="108" w:type="dxa"/>
      </w:tblCellMar>
    </w:tblPr>
    <w:tcPr>
      <w:shd w:val="clear" w:color="auto" w:fill="5B9BD5" w:themeFill="accen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99">
    <w:name w:val="List Table 5 Dark Accent 2"/>
    <w:basedOn w:val="88"/>
    <w:qFormat/>
    <w:uiPriority w:val="50"/>
    <w:rPr>
      <w:color w:val="FFFFFF" w:themeColor="background1"/>
      <w14:textFill>
        <w14:solidFill>
          <w14:schemeClr w14:val="bg1"/>
        </w14:solidFill>
      </w14:textFill>
    </w:rPr>
    <w:tblPr>
      <w:tblBorders>
        <w:top w:val="single" w:color="ED7D31" w:themeColor="accent2" w:sz="24" w:space="0"/>
        <w:left w:val="single" w:color="ED7D31" w:themeColor="accent2" w:sz="24" w:space="0"/>
        <w:bottom w:val="single" w:color="ED7D31" w:themeColor="accent2" w:sz="24" w:space="0"/>
        <w:right w:val="single" w:color="ED7D31" w:themeColor="accent2" w:sz="24" w:space="0"/>
      </w:tblBorders>
      <w:tblCellMar>
        <w:top w:w="0" w:type="dxa"/>
        <w:left w:w="108" w:type="dxa"/>
        <w:bottom w:w="0" w:type="dxa"/>
        <w:right w:w="108" w:type="dxa"/>
      </w:tblCellMar>
    </w:tblPr>
    <w:tcPr>
      <w:shd w:val="clear" w:color="auto" w:fill="ED7D31" w:themeFill="accent2"/>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0">
    <w:name w:val="List Table 5 Dark Accent 3"/>
    <w:basedOn w:val="88"/>
    <w:qFormat/>
    <w:uiPriority w:val="50"/>
    <w:rPr>
      <w:color w:val="FFFFFF" w:themeColor="background1"/>
      <w14:textFill>
        <w14:solidFill>
          <w14:schemeClr w14:val="bg1"/>
        </w14:solidFill>
      </w14:textFill>
    </w:rPr>
    <w:tblPr>
      <w:tblBorders>
        <w:top w:val="single" w:color="A5A5A5" w:themeColor="accent3" w:sz="24" w:space="0"/>
        <w:left w:val="single" w:color="A5A5A5" w:themeColor="accent3" w:sz="24" w:space="0"/>
        <w:bottom w:val="single" w:color="A5A5A5" w:themeColor="accent3" w:sz="24" w:space="0"/>
        <w:right w:val="single" w:color="A5A5A5" w:themeColor="accent3" w:sz="24" w:space="0"/>
      </w:tblBorders>
      <w:tblCellMar>
        <w:top w:w="0" w:type="dxa"/>
        <w:left w:w="108" w:type="dxa"/>
        <w:bottom w:w="0" w:type="dxa"/>
        <w:right w:w="108" w:type="dxa"/>
      </w:tblCellMar>
    </w:tblPr>
    <w:tcPr>
      <w:shd w:val="clear" w:color="auto" w:fill="A5A5A5" w:themeFill="accent3"/>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1">
    <w:name w:val="List Table 5 Dark Accent 4"/>
    <w:basedOn w:val="88"/>
    <w:qFormat/>
    <w:uiPriority w:val="50"/>
    <w:rPr>
      <w:color w:val="FFFFFF" w:themeColor="background1"/>
      <w14:textFill>
        <w14:solidFill>
          <w14:schemeClr w14:val="bg1"/>
        </w14:solidFill>
      </w14:textFill>
    </w:rPr>
    <w:tblPr>
      <w:tblBorders>
        <w:top w:val="single" w:color="FFC000" w:themeColor="accent4" w:sz="24" w:space="0"/>
        <w:left w:val="single" w:color="FFC000" w:themeColor="accent4" w:sz="24" w:space="0"/>
        <w:bottom w:val="single" w:color="FFC000" w:themeColor="accent4" w:sz="24" w:space="0"/>
        <w:right w:val="single" w:color="FFC000" w:themeColor="accent4" w:sz="24" w:space="0"/>
      </w:tblBorders>
      <w:tblCellMar>
        <w:top w:w="0" w:type="dxa"/>
        <w:left w:w="108" w:type="dxa"/>
        <w:bottom w:w="0" w:type="dxa"/>
        <w:right w:w="108" w:type="dxa"/>
      </w:tblCellMar>
    </w:tblPr>
    <w:tcPr>
      <w:shd w:val="clear" w:color="auto" w:fill="FFC000" w:themeFill="accent4"/>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2">
    <w:name w:val="List Table 5 Dark Accent 5"/>
    <w:basedOn w:val="88"/>
    <w:qFormat/>
    <w:uiPriority w:val="50"/>
    <w:rPr>
      <w:color w:val="FFFFFF" w:themeColor="background1"/>
      <w14:textFill>
        <w14:solidFill>
          <w14:schemeClr w14:val="bg1"/>
        </w14:solidFill>
      </w14:textFill>
    </w:rPr>
    <w:tblPr>
      <w:tblBorders>
        <w:top w:val="single" w:color="4472C4" w:themeColor="accent5" w:sz="24" w:space="0"/>
        <w:left w:val="single" w:color="4472C4" w:themeColor="accent5" w:sz="24" w:space="0"/>
        <w:bottom w:val="single" w:color="4472C4" w:themeColor="accent5" w:sz="24" w:space="0"/>
        <w:right w:val="single" w:color="4472C4" w:themeColor="accent5" w:sz="24" w:space="0"/>
      </w:tblBorders>
      <w:tblCellMar>
        <w:top w:w="0" w:type="dxa"/>
        <w:left w:w="108" w:type="dxa"/>
        <w:bottom w:w="0" w:type="dxa"/>
        <w:right w:w="108" w:type="dxa"/>
      </w:tblCellMar>
    </w:tblPr>
    <w:tcPr>
      <w:shd w:val="clear" w:color="auto" w:fill="4472C4" w:themeFill="accent5"/>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3">
    <w:name w:val="List Table 5 Dark Accent 6"/>
    <w:basedOn w:val="88"/>
    <w:qFormat/>
    <w:uiPriority w:val="50"/>
    <w:rPr>
      <w:color w:val="FFFFFF" w:themeColor="background1"/>
      <w14:textFill>
        <w14:solidFill>
          <w14:schemeClr w14:val="bg1"/>
        </w14:solidFill>
      </w14:textFill>
    </w:rPr>
    <w:tblPr>
      <w:tblBorders>
        <w:top w:val="single" w:color="70AD47" w:themeColor="accent6" w:sz="24" w:space="0"/>
        <w:left w:val="single" w:color="70AD47" w:themeColor="accent6" w:sz="24" w:space="0"/>
        <w:bottom w:val="single" w:color="70AD47" w:themeColor="accent6" w:sz="24" w:space="0"/>
        <w:right w:val="single" w:color="70AD47" w:themeColor="accent6" w:sz="24" w:space="0"/>
      </w:tblBorders>
      <w:tblCellMar>
        <w:top w:w="0" w:type="dxa"/>
        <w:left w:w="108" w:type="dxa"/>
        <w:bottom w:w="0" w:type="dxa"/>
        <w:right w:w="108" w:type="dxa"/>
      </w:tblCellMar>
    </w:tblPr>
    <w:tcPr>
      <w:shd w:val="clear" w:color="auto" w:fill="70AD47" w:themeFill="accent6"/>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4">
    <w:name w:val="List Table 6 Colorful"/>
    <w:basedOn w:val="88"/>
    <w:qFormat/>
    <w:uiPriority w:val="51"/>
    <w:rPr>
      <w:color w:val="000000" w:themeColor="text1"/>
      <w14:textFill>
        <w14:solidFill>
          <w14:schemeClr w14:val="tx1"/>
        </w14:solidFill>
      </w14:textFill>
    </w:rPr>
    <w:tblPr>
      <w:tblBorders>
        <w:top w:val="single" w:color="000000" w:themeColor="text1" w:sz="4" w:space="0"/>
        <w:bottom w:val="single" w:color="000000" w:themeColor="text1" w:sz="4" w:space="0"/>
      </w:tblBorders>
      <w:tblCellMar>
        <w:top w:w="0" w:type="dxa"/>
        <w:left w:w="108" w:type="dxa"/>
        <w:bottom w:w="0" w:type="dxa"/>
        <w:right w:w="108" w:type="dxa"/>
      </w:tblCellMar>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05">
    <w:name w:val="List Table 6 Colorful Accent 1"/>
    <w:basedOn w:val="88"/>
    <w:qFormat/>
    <w:uiPriority w:val="51"/>
    <w:rPr>
      <w:color w:val="2E75B6" w:themeColor="accent1" w:themeShade="BF"/>
    </w:rPr>
    <w:tblPr>
      <w:tblBorders>
        <w:top w:val="single" w:color="5B9BD5" w:themeColor="accent1" w:sz="4" w:space="0"/>
        <w:bottom w:val="single" w:color="5B9BD5" w:themeColor="accent1" w:sz="4" w:space="0"/>
      </w:tblBorders>
      <w:tblCellMar>
        <w:top w:w="0" w:type="dxa"/>
        <w:left w:w="108" w:type="dxa"/>
        <w:bottom w:w="0" w:type="dxa"/>
        <w:right w:w="108" w:type="dxa"/>
      </w:tblCellMar>
    </w:tblPr>
    <w:tblStylePr w:type="firstRow">
      <w:rPr>
        <w:b/>
        <w:bCs/>
      </w:rPr>
      <w:tcPr>
        <w:tcBorders>
          <w:bottom w:val="single" w:color="5B9BD5" w:themeColor="accent1" w:sz="4" w:space="0"/>
        </w:tcBorders>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406">
    <w:name w:val="List Table 6 Colorful Accent 2"/>
    <w:basedOn w:val="88"/>
    <w:qFormat/>
    <w:uiPriority w:val="51"/>
    <w:rPr>
      <w:color w:val="C55A11" w:themeColor="accent2" w:themeShade="BF"/>
    </w:rPr>
    <w:tblPr>
      <w:tblBorders>
        <w:top w:val="single" w:color="ED7D31" w:themeColor="accent2" w:sz="4" w:space="0"/>
        <w:bottom w:val="single" w:color="ED7D31" w:themeColor="accent2" w:sz="4" w:space="0"/>
      </w:tblBorders>
      <w:tblCellMar>
        <w:top w:w="0" w:type="dxa"/>
        <w:left w:w="108" w:type="dxa"/>
        <w:bottom w:w="0" w:type="dxa"/>
        <w:right w:w="108" w:type="dxa"/>
      </w:tblCellMar>
    </w:tblPr>
    <w:tblStylePr w:type="firstRow">
      <w:rPr>
        <w:b/>
        <w:bCs/>
      </w:rPr>
      <w:tcPr>
        <w:tcBorders>
          <w:bottom w:val="single" w:color="ED7D31" w:themeColor="accent2" w:sz="4" w:space="0"/>
        </w:tcBorders>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407">
    <w:name w:val="List Table 6 Colorful Accent 3"/>
    <w:basedOn w:val="88"/>
    <w:qFormat/>
    <w:uiPriority w:val="51"/>
    <w:rPr>
      <w:color w:val="7C7C7C" w:themeColor="accent3" w:themeShade="BF"/>
    </w:rPr>
    <w:tblPr>
      <w:tblBorders>
        <w:top w:val="single" w:color="A5A5A5" w:themeColor="accent3" w:sz="4" w:space="0"/>
        <w:bottom w:val="single" w:color="A5A5A5" w:themeColor="accent3" w:sz="4" w:space="0"/>
      </w:tblBorders>
      <w:tblCellMar>
        <w:top w:w="0" w:type="dxa"/>
        <w:left w:w="108" w:type="dxa"/>
        <w:bottom w:w="0" w:type="dxa"/>
        <w:right w:w="108" w:type="dxa"/>
      </w:tblCellMar>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408">
    <w:name w:val="List Table 6 Colorful Accent 4"/>
    <w:basedOn w:val="88"/>
    <w:qFormat/>
    <w:uiPriority w:val="51"/>
    <w:rPr>
      <w:color w:val="BF9000" w:themeColor="accent4" w:themeShade="BF"/>
    </w:rPr>
    <w:tblPr>
      <w:tblBorders>
        <w:top w:val="single" w:color="FFC000" w:themeColor="accent4" w:sz="4" w:space="0"/>
        <w:bottom w:val="single" w:color="FFC000" w:themeColor="accent4" w:sz="4" w:space="0"/>
      </w:tblBorders>
      <w:tblCellMar>
        <w:top w:w="0" w:type="dxa"/>
        <w:left w:w="108" w:type="dxa"/>
        <w:bottom w:w="0" w:type="dxa"/>
        <w:right w:w="108" w:type="dxa"/>
      </w:tblCellMar>
    </w:tblPr>
    <w:tblStylePr w:type="firstRow">
      <w:rPr>
        <w:b/>
        <w:bCs/>
      </w:rPr>
      <w:tcPr>
        <w:tcBorders>
          <w:bottom w:val="single" w:color="FFC000" w:themeColor="accent4" w:sz="4" w:space="0"/>
        </w:tcBorders>
      </w:tcPr>
    </w:tblStylePr>
    <w:tblStylePr w:type="lastRow">
      <w:rPr>
        <w:b/>
        <w:bCs/>
      </w:rPr>
      <w:tcPr>
        <w:tcBorders>
          <w:top w:val="double" w:color="FFC000" w:themeColor="accent4"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409">
    <w:name w:val="List Table 6 Colorful Accent 5"/>
    <w:basedOn w:val="88"/>
    <w:qFormat/>
    <w:uiPriority w:val="51"/>
    <w:rPr>
      <w:color w:val="2F5597" w:themeColor="accent5" w:themeShade="BF"/>
    </w:rPr>
    <w:tblPr>
      <w:tblBorders>
        <w:top w:val="single" w:color="4472C4" w:themeColor="accent5" w:sz="4" w:space="0"/>
        <w:bottom w:val="single" w:color="4472C4" w:themeColor="accent5" w:sz="4" w:space="0"/>
      </w:tblBorders>
      <w:tblCellMar>
        <w:top w:w="0" w:type="dxa"/>
        <w:left w:w="108" w:type="dxa"/>
        <w:bottom w:w="0" w:type="dxa"/>
        <w:right w:w="108" w:type="dxa"/>
      </w:tblCellMar>
    </w:tblPr>
    <w:tblStylePr w:type="firstRow">
      <w:rPr>
        <w:b/>
        <w:bCs/>
      </w:rPr>
      <w:tcPr>
        <w:tcBorders>
          <w:bottom w:val="single" w:color="4472C4" w:themeColor="accent5" w:sz="4" w:space="0"/>
        </w:tcBorders>
      </w:tcPr>
    </w:tblStylePr>
    <w:tblStylePr w:type="lastRow">
      <w:rPr>
        <w:b/>
        <w:bCs/>
      </w:rPr>
      <w:tcPr>
        <w:tcBorders>
          <w:top w:val="double" w:color="4472C4" w:themeColor="accent5"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410">
    <w:name w:val="List Table 6 Colorful Accent 6"/>
    <w:basedOn w:val="88"/>
    <w:qFormat/>
    <w:uiPriority w:val="51"/>
    <w:rPr>
      <w:color w:val="548235" w:themeColor="accent6" w:themeShade="BF"/>
    </w:rPr>
    <w:tblPr>
      <w:tblBorders>
        <w:top w:val="single" w:color="70AD47" w:themeColor="accent6" w:sz="4" w:space="0"/>
        <w:bottom w:val="single" w:color="70AD47" w:themeColor="accent6" w:sz="4" w:space="0"/>
      </w:tblBorders>
      <w:tblCellMar>
        <w:top w:w="0" w:type="dxa"/>
        <w:left w:w="108" w:type="dxa"/>
        <w:bottom w:w="0" w:type="dxa"/>
        <w:right w:w="108" w:type="dxa"/>
      </w:tblCellMar>
    </w:tblPr>
    <w:tblStylePr w:type="firstRow">
      <w:rPr>
        <w:b/>
        <w:bCs/>
      </w:rPr>
      <w:tcPr>
        <w:tcBorders>
          <w:bottom w:val="single" w:color="70AD47" w:themeColor="accent6" w:sz="4" w:space="0"/>
        </w:tcBorders>
      </w:tcPr>
    </w:tblStylePr>
    <w:tblStylePr w:type="lastRow">
      <w:rPr>
        <w:b/>
        <w:bCs/>
      </w:rPr>
      <w:tcPr>
        <w:tcBorders>
          <w:top w:val="double" w:color="70AD47" w:themeColor="accent6"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411">
    <w:name w:val="List Table 7 Colorful"/>
    <w:basedOn w:val="88"/>
    <w:qFormat/>
    <w:uiPriority w:val="52"/>
    <w:rPr>
      <w:color w:val="000000" w:themeColor="text1"/>
      <w14:textFill>
        <w14:solidFill>
          <w14:schemeClr w14:val="tx1"/>
        </w14:solidFill>
      </w14:textFill>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000000" w:themeColor="text1" w:sz="4" w:space="0"/>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2">
    <w:name w:val="List Table 7 Colorful Accent 1"/>
    <w:basedOn w:val="88"/>
    <w:qFormat/>
    <w:uiPriority w:val="52"/>
    <w:rPr>
      <w:color w:val="2E75B6" w:themeColor="accent1"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5B9BD5" w:themeColor="accen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5B9BD5"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5B9BD5" w:themeColor="accen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5B9BD5" w:themeColor="accent1" w:sz="4" w:space="0"/>
        </w:tcBorders>
        <w:shd w:val="clear" w:color="auto" w:fill="FFFFFF" w:themeFill="background1"/>
      </w:tcPr>
    </w:tblStylePr>
    <w:tblStylePr w:type="band1Vert">
      <w:tcPr>
        <w:shd w:val="clear" w:color="auto" w:fill="DEEAF6" w:themeFill="accent1" w:themeFillTint="33"/>
      </w:tcPr>
    </w:tblStylePr>
    <w:tblStylePr w:type="band1Horz">
      <w:tcPr>
        <w:shd w:val="clear" w:color="auto" w:fill="DEEAF6" w:themeFill="accen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3">
    <w:name w:val="List Table 7 Colorful Accent 2"/>
    <w:basedOn w:val="88"/>
    <w:qFormat/>
    <w:uiPriority w:val="52"/>
    <w:rPr>
      <w:color w:val="C55A11" w:themeColor="accent2"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ED7D31" w:themeColor="accent2"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ED7D31"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ED7D31" w:themeColor="accent2"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ED7D31" w:themeColor="accent2" w:sz="4" w:space="0"/>
        </w:tcBorders>
        <w:shd w:val="clear" w:color="auto" w:fill="FFFFFF" w:themeFill="background1"/>
      </w:tcPr>
    </w:tblStylePr>
    <w:tblStylePr w:type="band1Vert">
      <w:tcPr>
        <w:shd w:val="clear" w:color="auto" w:fill="FBE4D5" w:themeFill="accent2" w:themeFillTint="33"/>
      </w:tcPr>
    </w:tblStylePr>
    <w:tblStylePr w:type="band1Horz">
      <w:tcPr>
        <w:shd w:val="clear" w:color="auto" w:fill="FBE4D5" w:themeFill="accent2"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4">
    <w:name w:val="List Table 7 Colorful Accent 3"/>
    <w:basedOn w:val="88"/>
    <w:qFormat/>
    <w:uiPriority w:val="52"/>
    <w:rPr>
      <w:color w:val="7C7C7C" w:themeColor="accent3"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A5A5A5" w:themeColor="accent3"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A5A5A5"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A5A5A5" w:themeColor="accent3"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A5A5A5" w:themeColor="accent3" w:sz="4" w:space="0"/>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5">
    <w:name w:val="List Table 7 Colorful Accent 4"/>
    <w:basedOn w:val="88"/>
    <w:qFormat/>
    <w:uiPriority w:val="52"/>
    <w:rPr>
      <w:color w:val="BF9000" w:themeColor="accent4"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FFC000" w:themeColor="accent4"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FFC000"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FFC000" w:themeColor="accent4"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FFC000" w:themeColor="accent4" w:sz="4" w:space="0"/>
        </w:tcBorders>
        <w:shd w:val="clear" w:color="auto" w:fill="FFFFFF" w:themeFill="background1"/>
      </w:tcPr>
    </w:tblStylePr>
    <w:tblStylePr w:type="band1Vert">
      <w:tcPr>
        <w:shd w:val="clear" w:color="auto" w:fill="FEF2CC" w:themeFill="accent4" w:themeFillTint="33"/>
      </w:tcPr>
    </w:tblStylePr>
    <w:tblStylePr w:type="band1Horz">
      <w:tcPr>
        <w:shd w:val="clear" w:color="auto" w:fill="FEF2CC" w:themeFill="accent4"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6">
    <w:name w:val="List Table 7 Colorful Accent 5"/>
    <w:basedOn w:val="88"/>
    <w:qFormat/>
    <w:uiPriority w:val="52"/>
    <w:rPr>
      <w:color w:val="2F5597" w:themeColor="accent5"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4472C4" w:themeColor="accent5"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4472C4"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4472C4" w:themeColor="accent5"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4472C4" w:themeColor="accent5" w:sz="4" w:space="0"/>
        </w:tcBorders>
        <w:shd w:val="clear" w:color="auto" w:fill="FFFFFF" w:themeFill="background1"/>
      </w:tcPr>
    </w:tblStylePr>
    <w:tblStylePr w:type="band1Vert">
      <w:tcPr>
        <w:shd w:val="clear" w:color="auto" w:fill="D9E2F3" w:themeFill="accent5" w:themeFillTint="33"/>
      </w:tcPr>
    </w:tblStylePr>
    <w:tblStylePr w:type="band1Horz">
      <w:tcPr>
        <w:shd w:val="clear" w:color="auto" w:fill="D9E2F3" w:themeFill="accent5"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7">
    <w:name w:val="List Table 7 Colorful Accent 6"/>
    <w:basedOn w:val="88"/>
    <w:qFormat/>
    <w:uiPriority w:val="52"/>
    <w:rPr>
      <w:color w:val="548235" w:themeColor="accent6"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70AD47" w:themeColor="accent6"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0AD47"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0AD47" w:themeColor="accent6"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0AD47" w:themeColor="accent6" w:sz="4" w:space="0"/>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418">
    <w:name w:val="日期 Char"/>
    <w:basedOn w:val="231"/>
    <w:link w:val="54"/>
    <w:semiHidden/>
    <w:qFormat/>
    <w:uiPriority w:val="99"/>
    <w:rPr>
      <w:kern w:val="2"/>
      <w:sz w:val="21"/>
      <w:szCs w:val="24"/>
    </w:rPr>
  </w:style>
  <w:style w:type="character" w:customStyle="1" w:styleId="419">
    <w:name w:val="Book Title"/>
    <w:basedOn w:val="231"/>
    <w:qFormat/>
    <w:uiPriority w:val="33"/>
    <w:rPr>
      <w:b/>
      <w:bCs/>
      <w:i/>
      <w:iCs/>
      <w:spacing w:val="5"/>
    </w:rPr>
  </w:style>
  <w:style w:type="paragraph" w:customStyle="1" w:styleId="420">
    <w:name w:val="Bibliography"/>
    <w:basedOn w:val="1"/>
    <w:next w:val="1"/>
    <w:semiHidden/>
    <w:unhideWhenUsed/>
    <w:qFormat/>
    <w:uiPriority w:val="37"/>
  </w:style>
  <w:style w:type="table" w:customStyle="1" w:styleId="421">
    <w:name w:val="Grid Table 1 Light"/>
    <w:basedOn w:val="88"/>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422">
    <w:name w:val="Grid Table 1 Light Accent 1"/>
    <w:basedOn w:val="88"/>
    <w:qFormat/>
    <w:uiPriority w:val="46"/>
    <w:tblPr>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CellMar>
        <w:top w:w="0" w:type="dxa"/>
        <w:left w:w="108" w:type="dxa"/>
        <w:bottom w:w="0" w:type="dxa"/>
        <w:right w:w="108" w:type="dxa"/>
      </w:tblCellMar>
    </w:tblPr>
    <w:tblStylePr w:type="firstRow">
      <w:rPr>
        <w:b/>
        <w:bCs/>
      </w:rPr>
      <w:tcPr>
        <w:tcBorders>
          <w:bottom w:val="single" w:color="9CC2E5" w:themeColor="accent1" w:themeTint="99" w:sz="12" w:space="0"/>
        </w:tcBorders>
      </w:tcPr>
    </w:tblStylePr>
    <w:tblStylePr w:type="lastRow">
      <w:rPr>
        <w:b/>
        <w:bCs/>
      </w:rPr>
      <w:tcPr>
        <w:tcBorders>
          <w:top w:val="double" w:color="9CC2E5" w:themeColor="accent1" w:themeTint="99" w:sz="2" w:space="0"/>
        </w:tcBorders>
      </w:tcPr>
    </w:tblStylePr>
    <w:tblStylePr w:type="firstCol">
      <w:rPr>
        <w:b/>
        <w:bCs/>
      </w:rPr>
    </w:tblStylePr>
    <w:tblStylePr w:type="lastCol">
      <w:rPr>
        <w:b/>
        <w:bCs/>
      </w:rPr>
    </w:tblStylePr>
  </w:style>
  <w:style w:type="table" w:customStyle="1" w:styleId="423">
    <w:name w:val="Grid Table 1 Light Accent 2"/>
    <w:basedOn w:val="88"/>
    <w:qFormat/>
    <w:uiPriority w:val="46"/>
    <w:tblPr>
      <w:tblBorders>
        <w:top w:val="single" w:color="F7CAAC" w:themeColor="accent2" w:themeTint="66" w:sz="4" w:space="0"/>
        <w:left w:val="single" w:color="F7CAAC" w:themeColor="accent2" w:themeTint="66" w:sz="4" w:space="0"/>
        <w:bottom w:val="single" w:color="F7CAAC" w:themeColor="accent2" w:themeTint="66" w:sz="4" w:space="0"/>
        <w:right w:val="single" w:color="F7CAAC" w:themeColor="accent2" w:themeTint="66" w:sz="4" w:space="0"/>
        <w:insideH w:val="single" w:color="F7CAAC" w:themeColor="accent2" w:themeTint="66" w:sz="4" w:space="0"/>
        <w:insideV w:val="single" w:color="F7CAAC" w:themeColor="accent2" w:themeTint="66" w:sz="4" w:space="0"/>
      </w:tblBorders>
      <w:tblCellMar>
        <w:top w:w="0" w:type="dxa"/>
        <w:left w:w="108" w:type="dxa"/>
        <w:bottom w:w="0" w:type="dxa"/>
        <w:right w:w="108" w:type="dxa"/>
      </w:tblCellMar>
    </w:tblPr>
    <w:tblStylePr w:type="firstRow">
      <w:rPr>
        <w:b/>
        <w:bCs/>
      </w:rPr>
      <w:tcPr>
        <w:tcBorders>
          <w:bottom w:val="single" w:color="F4B083" w:themeColor="accent2" w:themeTint="99" w:sz="12" w:space="0"/>
        </w:tcBorders>
      </w:tcPr>
    </w:tblStylePr>
    <w:tblStylePr w:type="lastRow">
      <w:rPr>
        <w:b/>
        <w:bCs/>
      </w:rPr>
      <w:tcPr>
        <w:tcBorders>
          <w:top w:val="double" w:color="F4B083" w:themeColor="accent2" w:themeTint="99" w:sz="2" w:space="0"/>
        </w:tcBorders>
      </w:tcPr>
    </w:tblStylePr>
    <w:tblStylePr w:type="firstCol">
      <w:rPr>
        <w:b/>
        <w:bCs/>
      </w:rPr>
    </w:tblStylePr>
    <w:tblStylePr w:type="lastCol">
      <w:rPr>
        <w:b/>
        <w:bCs/>
      </w:rPr>
    </w:tblStylePr>
  </w:style>
  <w:style w:type="table" w:customStyle="1" w:styleId="424">
    <w:name w:val="Grid Table 1 Light Accent 3"/>
    <w:basedOn w:val="88"/>
    <w:qFormat/>
    <w:uiPriority w:val="46"/>
    <w:tblPr>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CellMar>
        <w:top w:w="0" w:type="dxa"/>
        <w:left w:w="108" w:type="dxa"/>
        <w:bottom w:w="0" w:type="dxa"/>
        <w:right w:w="108" w:type="dxa"/>
      </w:tblCellMar>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2" w:space="0"/>
        </w:tcBorders>
      </w:tcPr>
    </w:tblStylePr>
    <w:tblStylePr w:type="firstCol">
      <w:rPr>
        <w:b/>
        <w:bCs/>
      </w:rPr>
    </w:tblStylePr>
    <w:tblStylePr w:type="lastCol">
      <w:rPr>
        <w:b/>
        <w:bCs/>
      </w:rPr>
    </w:tblStylePr>
  </w:style>
  <w:style w:type="table" w:customStyle="1" w:styleId="425">
    <w:name w:val="Grid Table 1 Light Accent 4"/>
    <w:basedOn w:val="88"/>
    <w:qFormat/>
    <w:uiPriority w:val="46"/>
    <w:tblPr>
      <w:tblBorders>
        <w:top w:val="single" w:color="FFE599" w:themeColor="accent4" w:themeTint="66" w:sz="4" w:space="0"/>
        <w:left w:val="single" w:color="FFE599" w:themeColor="accent4" w:themeTint="66" w:sz="4" w:space="0"/>
        <w:bottom w:val="single" w:color="FFE599" w:themeColor="accent4" w:themeTint="66" w:sz="4" w:space="0"/>
        <w:right w:val="single" w:color="FFE599" w:themeColor="accent4" w:themeTint="66" w:sz="4" w:space="0"/>
        <w:insideH w:val="single" w:color="FFE599" w:themeColor="accent4" w:themeTint="66" w:sz="4" w:space="0"/>
        <w:insideV w:val="single" w:color="FFE599" w:themeColor="accent4" w:themeTint="66" w:sz="4" w:space="0"/>
      </w:tblBorders>
      <w:tblCellMar>
        <w:top w:w="0" w:type="dxa"/>
        <w:left w:w="108" w:type="dxa"/>
        <w:bottom w:w="0" w:type="dxa"/>
        <w:right w:w="108" w:type="dxa"/>
      </w:tblCellMar>
    </w:tblPr>
    <w:tblStylePr w:type="firstRow">
      <w:rPr>
        <w:b/>
        <w:bCs/>
      </w:rPr>
      <w:tcPr>
        <w:tcBorders>
          <w:bottom w:val="single" w:color="FFD965" w:themeColor="accent4" w:themeTint="99" w:sz="12" w:space="0"/>
        </w:tcBorders>
      </w:tcPr>
    </w:tblStylePr>
    <w:tblStylePr w:type="lastRow">
      <w:rPr>
        <w:b/>
        <w:bCs/>
      </w:rPr>
      <w:tcPr>
        <w:tcBorders>
          <w:top w:val="double" w:color="FFD965" w:themeColor="accent4" w:themeTint="99" w:sz="2" w:space="0"/>
        </w:tcBorders>
      </w:tcPr>
    </w:tblStylePr>
    <w:tblStylePr w:type="firstCol">
      <w:rPr>
        <w:b/>
        <w:bCs/>
      </w:rPr>
    </w:tblStylePr>
    <w:tblStylePr w:type="lastCol">
      <w:rPr>
        <w:b/>
        <w:bCs/>
      </w:rPr>
    </w:tblStylePr>
  </w:style>
  <w:style w:type="table" w:customStyle="1" w:styleId="426">
    <w:name w:val="Grid Table 1 Light Accent 5"/>
    <w:basedOn w:val="88"/>
    <w:qFormat/>
    <w:uiPriority w:val="46"/>
    <w:tblPr>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
    <w:tblStylePr w:type="firstRow">
      <w:rPr>
        <w:b/>
        <w:bCs/>
      </w:rPr>
      <w:tcPr>
        <w:tcBorders>
          <w:bottom w:val="single" w:color="8EAADB" w:themeColor="accent5" w:themeTint="99" w:sz="12" w:space="0"/>
        </w:tcBorders>
      </w:tcPr>
    </w:tblStylePr>
    <w:tblStylePr w:type="lastRow">
      <w:rPr>
        <w:b/>
        <w:bCs/>
      </w:rPr>
      <w:tcPr>
        <w:tcBorders>
          <w:top w:val="double" w:color="8EAADB" w:themeColor="accent5" w:themeTint="99" w:sz="2" w:space="0"/>
        </w:tcBorders>
      </w:tcPr>
    </w:tblStylePr>
    <w:tblStylePr w:type="firstCol">
      <w:rPr>
        <w:b/>
        <w:bCs/>
      </w:rPr>
    </w:tblStylePr>
    <w:tblStylePr w:type="lastCol">
      <w:rPr>
        <w:b/>
        <w:bCs/>
      </w:rPr>
    </w:tblStylePr>
  </w:style>
  <w:style w:type="table" w:customStyle="1" w:styleId="427">
    <w:name w:val="Grid Table 1 Light Accent 6"/>
    <w:basedOn w:val="88"/>
    <w:qFormat/>
    <w:uiPriority w:val="46"/>
    <w:tblPr>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CellMar>
        <w:top w:w="0" w:type="dxa"/>
        <w:left w:w="108" w:type="dxa"/>
        <w:bottom w:w="0" w:type="dxa"/>
        <w:right w:w="108" w:type="dxa"/>
      </w:tblCellMar>
    </w:tblPr>
    <w:tblStylePr w:type="firstRow">
      <w:rPr>
        <w:b/>
        <w:bCs/>
      </w:rPr>
      <w:tcPr>
        <w:tcBorders>
          <w:bottom w:val="single" w:color="A8D08D" w:themeColor="accent6" w:themeTint="99" w:sz="12" w:space="0"/>
        </w:tcBorders>
      </w:tcPr>
    </w:tblStylePr>
    <w:tblStylePr w:type="lastRow">
      <w:rPr>
        <w:b/>
        <w:bCs/>
      </w:rPr>
      <w:tcPr>
        <w:tcBorders>
          <w:top w:val="double" w:color="A8D08D" w:themeColor="accent6" w:themeTint="99" w:sz="2" w:space="0"/>
        </w:tcBorders>
      </w:tcPr>
    </w:tblStylePr>
    <w:tblStylePr w:type="firstCol">
      <w:rPr>
        <w:b/>
        <w:bCs/>
      </w:rPr>
    </w:tblStylePr>
    <w:tblStylePr w:type="lastCol">
      <w:rPr>
        <w:b/>
        <w:bCs/>
      </w:rPr>
    </w:tblStylePr>
  </w:style>
  <w:style w:type="table" w:customStyle="1" w:styleId="428">
    <w:name w:val="Grid Table 2"/>
    <w:basedOn w:val="88"/>
    <w:qFormat/>
    <w:uiPriority w:val="47"/>
    <w:tblPr>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CellMar>
        <w:top w:w="0" w:type="dxa"/>
        <w:left w:w="108" w:type="dxa"/>
        <w:bottom w:w="0" w:type="dxa"/>
        <w:right w:w="108" w:type="dxa"/>
      </w:tblCellMar>
    </w:tblPr>
    <w:tblStylePr w:type="firstRow">
      <w:rPr>
        <w:b/>
        <w:bCs/>
      </w:rPr>
      <w:tcPr>
        <w:tcBorders>
          <w:top w:val="nil"/>
          <w:bottom w:val="single" w:color="666666" w:themeColor="text1" w:themeTint="99" w:sz="12" w:space="0"/>
          <w:insideH w:val="nil"/>
          <w:insideV w:val="nil"/>
        </w:tcBorders>
        <w:shd w:val="clear" w:color="auto" w:fill="FFFFFF" w:themeFill="background1"/>
      </w:tcPr>
    </w:tblStylePr>
    <w:tblStylePr w:type="lastRow">
      <w:rPr>
        <w:b/>
        <w:bCs/>
      </w:r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29">
    <w:name w:val="Grid Table 2 Accent 1"/>
    <w:basedOn w:val="88"/>
    <w:qFormat/>
    <w:uiPriority w:val="47"/>
    <w:tblPr>
      <w:tblBorders>
        <w:top w:val="single" w:color="9CC2E5" w:themeColor="accent1" w:themeTint="99" w:sz="2" w:space="0"/>
        <w:bottom w:val="single" w:color="9CC2E5" w:themeColor="accent1" w:themeTint="99" w:sz="2" w:space="0"/>
        <w:insideH w:val="single" w:color="9CC2E5" w:themeColor="accent1" w:themeTint="99" w:sz="2" w:space="0"/>
        <w:insideV w:val="single" w:color="9CC2E5" w:themeColor="accent1" w:themeTint="99" w:sz="2" w:space="0"/>
      </w:tblBorders>
      <w:tblCellMar>
        <w:top w:w="0" w:type="dxa"/>
        <w:left w:w="108" w:type="dxa"/>
        <w:bottom w:w="0" w:type="dxa"/>
        <w:right w:w="108" w:type="dxa"/>
      </w:tblCellMar>
    </w:tblPr>
    <w:tblStylePr w:type="firstRow">
      <w:rPr>
        <w:b/>
        <w:bCs/>
      </w:rPr>
      <w:tcPr>
        <w:tcBorders>
          <w:top w:val="nil"/>
          <w:bottom w:val="single" w:color="9CC2E5" w:themeColor="accent1" w:themeTint="99" w:sz="12" w:space="0"/>
          <w:insideH w:val="nil"/>
          <w:insideV w:val="nil"/>
        </w:tcBorders>
        <w:shd w:val="clear" w:color="auto" w:fill="FFFFFF" w:themeFill="background1"/>
      </w:tcPr>
    </w:tblStylePr>
    <w:tblStylePr w:type="lastRow">
      <w:rPr>
        <w:b/>
        <w:bCs/>
      </w:rPr>
      <w:tcPr>
        <w:tcBorders>
          <w:top w:val="double" w:color="9CC2E5"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430">
    <w:name w:val="Grid Table 2 Accent 2"/>
    <w:basedOn w:val="88"/>
    <w:qFormat/>
    <w:uiPriority w:val="47"/>
    <w:tblPr>
      <w:tblBorders>
        <w:top w:val="single" w:color="F4B083" w:themeColor="accent2" w:themeTint="99" w:sz="2" w:space="0"/>
        <w:bottom w:val="single" w:color="F4B083" w:themeColor="accent2" w:themeTint="99" w:sz="2" w:space="0"/>
        <w:insideH w:val="single" w:color="F4B083" w:themeColor="accent2" w:themeTint="99" w:sz="2" w:space="0"/>
        <w:insideV w:val="single" w:color="F4B083" w:themeColor="accent2" w:themeTint="99" w:sz="2" w:space="0"/>
      </w:tblBorders>
      <w:tblCellMar>
        <w:top w:w="0" w:type="dxa"/>
        <w:left w:w="108" w:type="dxa"/>
        <w:bottom w:w="0" w:type="dxa"/>
        <w:right w:w="108" w:type="dxa"/>
      </w:tblCellMar>
    </w:tblPr>
    <w:tblStylePr w:type="firstRow">
      <w:rPr>
        <w:b/>
        <w:bCs/>
      </w:rPr>
      <w:tcPr>
        <w:tcBorders>
          <w:top w:val="nil"/>
          <w:bottom w:val="single" w:color="F4B083" w:themeColor="accent2" w:themeTint="99" w:sz="12" w:space="0"/>
          <w:insideH w:val="nil"/>
          <w:insideV w:val="nil"/>
        </w:tcBorders>
        <w:shd w:val="clear" w:color="auto" w:fill="FFFFFF" w:themeFill="background1"/>
      </w:tcPr>
    </w:tblStylePr>
    <w:tblStylePr w:type="lastRow">
      <w:rPr>
        <w:b/>
        <w:bCs/>
      </w:rPr>
      <w:tcPr>
        <w:tcBorders>
          <w:top w:val="double" w:color="F4B083"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431">
    <w:name w:val="Grid Table 2 Accent 3"/>
    <w:basedOn w:val="88"/>
    <w:qFormat/>
    <w:uiPriority w:val="47"/>
    <w:tblPr>
      <w:tblBorders>
        <w:top w:val="single" w:color="C8C8C8" w:themeColor="accent3" w:themeTint="99" w:sz="2" w:space="0"/>
        <w:bottom w:val="single" w:color="C8C8C8" w:themeColor="accent3" w:themeTint="99" w:sz="2" w:space="0"/>
        <w:insideH w:val="single" w:color="C8C8C8" w:themeColor="accent3" w:themeTint="99" w:sz="2" w:space="0"/>
        <w:insideV w:val="single" w:color="C8C8C8" w:themeColor="accent3" w:themeTint="99" w:sz="2" w:space="0"/>
      </w:tblBorders>
      <w:tblCellMar>
        <w:top w:w="0" w:type="dxa"/>
        <w:left w:w="108" w:type="dxa"/>
        <w:bottom w:w="0" w:type="dxa"/>
        <w:right w:w="108" w:type="dxa"/>
      </w:tblCellMar>
    </w:tblPr>
    <w:tblStylePr w:type="firstRow">
      <w:rPr>
        <w:b/>
        <w:bCs/>
      </w:rPr>
      <w:tcPr>
        <w:tcBorders>
          <w:top w:val="nil"/>
          <w:bottom w:val="single" w:color="C8C8C8" w:themeColor="accent3" w:themeTint="99" w:sz="12" w:space="0"/>
          <w:insideH w:val="nil"/>
          <w:insideV w:val="nil"/>
        </w:tcBorders>
        <w:shd w:val="clear" w:color="auto" w:fill="FFFFFF" w:themeFill="background1"/>
      </w:tcPr>
    </w:tblStylePr>
    <w:tblStylePr w:type="lastRow">
      <w:rPr>
        <w:b/>
        <w:bCs/>
      </w:rPr>
      <w:tcPr>
        <w:tcBorders>
          <w:top w:val="double" w:color="C8C8C8"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432">
    <w:name w:val="Grid Table 2 Accent 4"/>
    <w:basedOn w:val="88"/>
    <w:qFormat/>
    <w:uiPriority w:val="47"/>
    <w:tblPr>
      <w:tblBorders>
        <w:top w:val="single" w:color="FFD965" w:themeColor="accent4" w:themeTint="99" w:sz="2" w:space="0"/>
        <w:bottom w:val="single" w:color="FFD965" w:themeColor="accent4" w:themeTint="99" w:sz="2" w:space="0"/>
        <w:insideH w:val="single" w:color="FFD965" w:themeColor="accent4" w:themeTint="99" w:sz="2" w:space="0"/>
        <w:insideV w:val="single" w:color="FFD965" w:themeColor="accent4" w:themeTint="99" w:sz="2" w:space="0"/>
      </w:tblBorders>
      <w:tblCellMar>
        <w:top w:w="0" w:type="dxa"/>
        <w:left w:w="108" w:type="dxa"/>
        <w:bottom w:w="0" w:type="dxa"/>
        <w:right w:w="108" w:type="dxa"/>
      </w:tblCellMar>
    </w:tblPr>
    <w:tblStylePr w:type="firstRow">
      <w:rPr>
        <w:b/>
        <w:bCs/>
      </w:rPr>
      <w:tcPr>
        <w:tcBorders>
          <w:top w:val="nil"/>
          <w:bottom w:val="single" w:color="FFD965" w:themeColor="accent4" w:themeTint="99" w:sz="12" w:space="0"/>
          <w:insideH w:val="nil"/>
          <w:insideV w:val="nil"/>
        </w:tcBorders>
        <w:shd w:val="clear" w:color="auto" w:fill="FFFFFF" w:themeFill="background1"/>
      </w:tcPr>
    </w:tblStylePr>
    <w:tblStylePr w:type="lastRow">
      <w:rPr>
        <w:b/>
        <w:bCs/>
      </w:rPr>
      <w:tcPr>
        <w:tcBorders>
          <w:top w:val="double" w:color="FFD965"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433">
    <w:name w:val="Grid Table 2 Accent 5"/>
    <w:basedOn w:val="88"/>
    <w:qFormat/>
    <w:uiPriority w:val="47"/>
    <w:tblPr>
      <w:tblBorders>
        <w:top w:val="single" w:color="8EAADB" w:themeColor="accent5" w:themeTint="99" w:sz="2" w:space="0"/>
        <w:bottom w:val="single" w:color="8EAADB" w:themeColor="accent5" w:themeTint="99" w:sz="2" w:space="0"/>
        <w:insideH w:val="single" w:color="8EAADB" w:themeColor="accent5" w:themeTint="99" w:sz="2" w:space="0"/>
        <w:insideV w:val="single" w:color="8EAADB" w:themeColor="accent5" w:themeTint="99" w:sz="2" w:space="0"/>
      </w:tblBorders>
      <w:tblCellMar>
        <w:top w:w="0" w:type="dxa"/>
        <w:left w:w="108" w:type="dxa"/>
        <w:bottom w:w="0" w:type="dxa"/>
        <w:right w:w="108" w:type="dxa"/>
      </w:tblCellMar>
    </w:tblPr>
    <w:tblStylePr w:type="firstRow">
      <w:rPr>
        <w:b/>
        <w:bCs/>
      </w:rPr>
      <w:tcPr>
        <w:tcBorders>
          <w:top w:val="nil"/>
          <w:bottom w:val="single" w:color="8EAADB" w:themeColor="accent5" w:themeTint="99" w:sz="12" w:space="0"/>
          <w:insideH w:val="nil"/>
          <w:insideV w:val="nil"/>
        </w:tcBorders>
        <w:shd w:val="clear" w:color="auto" w:fill="FFFFFF" w:themeFill="background1"/>
      </w:tcPr>
    </w:tblStylePr>
    <w:tblStylePr w:type="lastRow">
      <w:rPr>
        <w:b/>
        <w:bCs/>
      </w:rPr>
      <w:tcPr>
        <w:tcBorders>
          <w:top w:val="double" w:color="8EAADB"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434">
    <w:name w:val="Grid Table 2 Accent 6"/>
    <w:basedOn w:val="88"/>
    <w:qFormat/>
    <w:uiPriority w:val="47"/>
    <w:tblPr>
      <w:tblBorders>
        <w:top w:val="single" w:color="A8D08D" w:themeColor="accent6" w:themeTint="99" w:sz="2" w:space="0"/>
        <w:bottom w:val="single" w:color="A8D08D" w:themeColor="accent6" w:themeTint="99" w:sz="2" w:space="0"/>
        <w:insideH w:val="single" w:color="A8D08D" w:themeColor="accent6" w:themeTint="99" w:sz="2" w:space="0"/>
        <w:insideV w:val="single" w:color="A8D08D" w:themeColor="accent6" w:themeTint="99" w:sz="2" w:space="0"/>
      </w:tblBorders>
      <w:tblCellMar>
        <w:top w:w="0" w:type="dxa"/>
        <w:left w:w="108" w:type="dxa"/>
        <w:bottom w:w="0" w:type="dxa"/>
        <w:right w:w="108" w:type="dxa"/>
      </w:tblCellMar>
    </w:tblPr>
    <w:tblStylePr w:type="firstRow">
      <w:rPr>
        <w:b/>
        <w:bCs/>
      </w:rPr>
      <w:tcPr>
        <w:tcBorders>
          <w:top w:val="nil"/>
          <w:bottom w:val="single" w:color="A8D08D" w:themeColor="accent6" w:themeTint="99" w:sz="12" w:space="0"/>
          <w:insideH w:val="nil"/>
          <w:insideV w:val="nil"/>
        </w:tcBorders>
        <w:shd w:val="clear" w:color="auto" w:fill="FFFFFF" w:themeFill="background1"/>
      </w:tcPr>
    </w:tblStylePr>
    <w:tblStylePr w:type="lastRow">
      <w:rPr>
        <w:b/>
        <w:bCs/>
      </w:rPr>
      <w:tcPr>
        <w:tcBorders>
          <w:top w:val="double" w:color="A8D08D"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435">
    <w:name w:val="Grid Table 3"/>
    <w:basedOn w:val="88"/>
    <w:qFormat/>
    <w:uiPriority w:val="48"/>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436">
    <w:name w:val="Grid Table 3 Accent 1"/>
    <w:basedOn w:val="88"/>
    <w:qFormat/>
    <w:uiPriority w:val="48"/>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EEAF6" w:themeFill="accent1" w:themeFillTint="33"/>
      </w:tcPr>
    </w:tblStylePr>
    <w:tblStylePr w:type="band1Horz">
      <w:tcPr>
        <w:shd w:val="clear" w:color="auto" w:fill="DEEAF6" w:themeFill="accent1" w:themeFillTint="33"/>
      </w:tcPr>
    </w:tblStylePr>
    <w:tblStylePr w:type="neCell">
      <w:tcPr>
        <w:tcBorders>
          <w:bottom w:val="single" w:color="9CC2E5" w:themeColor="accent1" w:themeTint="99" w:sz="4" w:space="0"/>
        </w:tcBorders>
      </w:tcPr>
    </w:tblStylePr>
    <w:tblStylePr w:type="nwCell">
      <w:tcPr>
        <w:tcBorders>
          <w:bottom w:val="single" w:color="9CC2E5" w:themeColor="accent1" w:themeTint="99" w:sz="4" w:space="0"/>
        </w:tcBorders>
      </w:tcPr>
    </w:tblStylePr>
    <w:tblStylePr w:type="seCell">
      <w:tcPr>
        <w:tcBorders>
          <w:top w:val="single" w:color="9CC2E5" w:themeColor="accent1" w:themeTint="99" w:sz="4" w:space="0"/>
        </w:tcBorders>
      </w:tcPr>
    </w:tblStylePr>
    <w:tblStylePr w:type="swCell">
      <w:tcPr>
        <w:tcBorders>
          <w:top w:val="single" w:color="9CC2E5" w:themeColor="accent1" w:themeTint="99" w:sz="4" w:space="0"/>
        </w:tcBorders>
      </w:tcPr>
    </w:tblStylePr>
  </w:style>
  <w:style w:type="table" w:customStyle="1" w:styleId="437">
    <w:name w:val="Grid Table 3 Accent 2"/>
    <w:basedOn w:val="88"/>
    <w:qFormat/>
    <w:uiPriority w:val="48"/>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BE4D5" w:themeFill="accent2" w:themeFillTint="33"/>
      </w:tcPr>
    </w:tblStylePr>
    <w:tblStylePr w:type="band1Horz">
      <w:tcPr>
        <w:shd w:val="clear" w:color="auto" w:fill="FBE4D5" w:themeFill="accent2" w:themeFillTint="33"/>
      </w:tcPr>
    </w:tblStylePr>
    <w:tblStylePr w:type="neCell">
      <w:tcPr>
        <w:tcBorders>
          <w:bottom w:val="single" w:color="F4B083" w:themeColor="accent2" w:themeTint="99" w:sz="4" w:space="0"/>
        </w:tcBorders>
      </w:tcPr>
    </w:tblStylePr>
    <w:tblStylePr w:type="nwCell">
      <w:tcPr>
        <w:tcBorders>
          <w:bottom w:val="single" w:color="F4B083" w:themeColor="accent2" w:themeTint="99" w:sz="4" w:space="0"/>
        </w:tcBorders>
      </w:tcPr>
    </w:tblStylePr>
    <w:tblStylePr w:type="seCell">
      <w:tcPr>
        <w:tcBorders>
          <w:top w:val="single" w:color="F4B083" w:themeColor="accent2" w:themeTint="99" w:sz="4" w:space="0"/>
        </w:tcBorders>
      </w:tcPr>
    </w:tblStylePr>
    <w:tblStylePr w:type="swCell">
      <w:tcPr>
        <w:tcBorders>
          <w:top w:val="single" w:color="F4B083" w:themeColor="accent2" w:themeTint="99" w:sz="4" w:space="0"/>
        </w:tcBorders>
      </w:tcPr>
    </w:tblStylePr>
  </w:style>
  <w:style w:type="table" w:customStyle="1" w:styleId="438">
    <w:name w:val="Grid Table 3 Accent 3"/>
    <w:basedOn w:val="88"/>
    <w:qFormat/>
    <w:uiPriority w:val="48"/>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bottom w:val="single" w:color="C8C8C8" w:themeColor="accent3" w:themeTint="99" w:sz="4" w:space="0"/>
        </w:tcBorders>
      </w:tcPr>
    </w:tblStylePr>
    <w:tblStylePr w:type="nwCell">
      <w:tcPr>
        <w:tcBorders>
          <w:bottom w:val="single" w:color="C8C8C8" w:themeColor="accent3" w:themeTint="99" w:sz="4" w:space="0"/>
        </w:tcBorders>
      </w:tcPr>
    </w:tblStylePr>
    <w:tblStylePr w:type="seCell">
      <w:tcPr>
        <w:tcBorders>
          <w:top w:val="single" w:color="C8C8C8" w:themeColor="accent3" w:themeTint="99" w:sz="4" w:space="0"/>
        </w:tcBorders>
      </w:tcPr>
    </w:tblStylePr>
    <w:tblStylePr w:type="swCell">
      <w:tcPr>
        <w:tcBorders>
          <w:top w:val="single" w:color="C8C8C8" w:themeColor="accent3" w:themeTint="99" w:sz="4" w:space="0"/>
        </w:tcBorders>
      </w:tcPr>
    </w:tblStylePr>
  </w:style>
  <w:style w:type="table" w:customStyle="1" w:styleId="439">
    <w:name w:val="Grid Table 3 Accent 4"/>
    <w:basedOn w:val="88"/>
    <w:qFormat/>
    <w:uiPriority w:val="48"/>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EF2CC" w:themeFill="accent4" w:themeFillTint="33"/>
      </w:tcPr>
    </w:tblStylePr>
    <w:tblStylePr w:type="band1Horz">
      <w:tcPr>
        <w:shd w:val="clear" w:color="auto" w:fill="FEF2CC" w:themeFill="accent4" w:themeFillTint="33"/>
      </w:tcPr>
    </w:tblStylePr>
    <w:tblStylePr w:type="neCell">
      <w:tcPr>
        <w:tcBorders>
          <w:bottom w:val="single" w:color="FFD965" w:themeColor="accent4" w:themeTint="99" w:sz="4" w:space="0"/>
        </w:tcBorders>
      </w:tcPr>
    </w:tblStylePr>
    <w:tblStylePr w:type="nwCell">
      <w:tcPr>
        <w:tcBorders>
          <w:bottom w:val="single" w:color="FFD965" w:themeColor="accent4" w:themeTint="99" w:sz="4" w:space="0"/>
        </w:tcBorders>
      </w:tcPr>
    </w:tblStylePr>
    <w:tblStylePr w:type="seCell">
      <w:tcPr>
        <w:tcBorders>
          <w:top w:val="single" w:color="FFD965" w:themeColor="accent4" w:themeTint="99" w:sz="4" w:space="0"/>
        </w:tcBorders>
      </w:tcPr>
    </w:tblStylePr>
    <w:tblStylePr w:type="swCell">
      <w:tcPr>
        <w:tcBorders>
          <w:top w:val="single" w:color="FFD965" w:themeColor="accent4" w:themeTint="99" w:sz="4" w:space="0"/>
        </w:tcBorders>
      </w:tcPr>
    </w:tblStylePr>
  </w:style>
  <w:style w:type="table" w:customStyle="1" w:styleId="440">
    <w:name w:val="Grid Table 3 Accent 5"/>
    <w:basedOn w:val="88"/>
    <w:qFormat/>
    <w:uiPriority w:val="48"/>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9E2F3" w:themeFill="accent5" w:themeFillTint="33"/>
      </w:tcPr>
    </w:tblStylePr>
    <w:tblStylePr w:type="band1Horz">
      <w:tcPr>
        <w:shd w:val="clear" w:color="auto" w:fill="D9E2F3" w:themeFill="accent5" w:themeFillTint="33"/>
      </w:tcPr>
    </w:tblStylePr>
    <w:tblStylePr w:type="neCell">
      <w:tcPr>
        <w:tcBorders>
          <w:bottom w:val="single" w:color="8EAADB" w:themeColor="accent5" w:themeTint="99" w:sz="4" w:space="0"/>
        </w:tcBorders>
      </w:tcPr>
    </w:tblStylePr>
    <w:tblStylePr w:type="nwCell">
      <w:tcPr>
        <w:tcBorders>
          <w:bottom w:val="single" w:color="8EAADB" w:themeColor="accent5" w:themeTint="99" w:sz="4" w:space="0"/>
        </w:tcBorders>
      </w:tcPr>
    </w:tblStylePr>
    <w:tblStylePr w:type="seCell">
      <w:tcPr>
        <w:tcBorders>
          <w:top w:val="single" w:color="8EAADB" w:themeColor="accent5" w:themeTint="99" w:sz="4" w:space="0"/>
        </w:tcBorders>
      </w:tcPr>
    </w:tblStylePr>
    <w:tblStylePr w:type="swCell">
      <w:tcPr>
        <w:tcBorders>
          <w:top w:val="single" w:color="8EAADB" w:themeColor="accent5" w:themeTint="99" w:sz="4" w:space="0"/>
        </w:tcBorders>
      </w:tcPr>
    </w:tblStylePr>
  </w:style>
  <w:style w:type="table" w:customStyle="1" w:styleId="441">
    <w:name w:val="Grid Table 3 Accent 6"/>
    <w:basedOn w:val="88"/>
    <w:qFormat/>
    <w:uiPriority w:val="48"/>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bottom w:val="single" w:color="A8D08D" w:themeColor="accent6" w:themeTint="99" w:sz="4" w:space="0"/>
        </w:tcBorders>
      </w:tcPr>
    </w:tblStylePr>
    <w:tblStylePr w:type="nwCell">
      <w:tcPr>
        <w:tcBorders>
          <w:bottom w:val="single" w:color="A8D08D" w:themeColor="accent6" w:themeTint="99" w:sz="4" w:space="0"/>
        </w:tcBorders>
      </w:tcPr>
    </w:tblStylePr>
    <w:tblStylePr w:type="seCell">
      <w:tcPr>
        <w:tcBorders>
          <w:top w:val="single" w:color="A8D08D" w:themeColor="accent6" w:themeTint="99" w:sz="4" w:space="0"/>
        </w:tcBorders>
      </w:tcPr>
    </w:tblStylePr>
    <w:tblStylePr w:type="swCell">
      <w:tcPr>
        <w:tcBorders>
          <w:top w:val="single" w:color="A8D08D" w:themeColor="accent6" w:themeTint="99" w:sz="4" w:space="0"/>
        </w:tcBorders>
      </w:tcPr>
    </w:tblStylePr>
  </w:style>
  <w:style w:type="table" w:customStyle="1" w:styleId="442">
    <w:name w:val="Grid Table 4"/>
    <w:basedOn w:val="88"/>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43">
    <w:name w:val="Grid Table 4 Accent 1"/>
    <w:basedOn w:val="88"/>
    <w:qFormat/>
    <w:uiPriority w:val="49"/>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444">
    <w:name w:val="Grid Table 4 Accent 2"/>
    <w:basedOn w:val="88"/>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445">
    <w:name w:val="Grid Table 4 Accent 3"/>
    <w:basedOn w:val="88"/>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446">
    <w:name w:val="Grid Table 4 Accent 4"/>
    <w:basedOn w:val="88"/>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insideV w:val="nil"/>
        </w:tcBorders>
        <w:shd w:val="clear" w:color="auto" w:fill="FFC000" w:themeFill="accent4"/>
      </w:tcPr>
    </w:tblStylePr>
    <w:tblStylePr w:type="lastRow">
      <w:rPr>
        <w:b/>
        <w:bCs/>
      </w:rPr>
      <w:tcPr>
        <w:tcBorders>
          <w:top w:val="double" w:color="FFC000" w:themeColor="accent4"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447">
    <w:name w:val="Grid Table 4 Accent 5"/>
    <w:basedOn w:val="88"/>
    <w:qFormat/>
    <w:uiPriority w:val="49"/>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cPr>
        <w:tcBorders>
          <w:top w:val="double" w:color="4472C4" w:themeColor="accent5"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448">
    <w:name w:val="Grid Table 4 Accent 6"/>
    <w:basedOn w:val="88"/>
    <w:qFormat/>
    <w:uiPriority w:val="49"/>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cPr>
        <w:tcBorders>
          <w:top w:val="double" w:color="70AD47" w:themeColor="accent6"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449">
    <w:name w:val="Grid Table 5 Dark"/>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cPr>
        <w:shd w:val="clear" w:color="auto" w:fill="999999" w:themeFill="text1" w:themeFillTint="66"/>
      </w:tcPr>
    </w:tblStylePr>
    <w:tblStylePr w:type="band1Horz">
      <w:tcPr>
        <w:shd w:val="clear" w:color="auto" w:fill="999999" w:themeFill="text1" w:themeFillTint="66"/>
      </w:tcPr>
    </w:tblStylePr>
  </w:style>
  <w:style w:type="table" w:customStyle="1" w:styleId="450">
    <w:name w:val="Grid Table 5 Dark Accent 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1"/>
      </w:tcPr>
    </w:tblStylePr>
    <w:tblStylePr w:type="band1Vert">
      <w:tcPr>
        <w:shd w:val="clear" w:color="auto" w:fill="BDD6EE" w:themeFill="accent1" w:themeFillTint="66"/>
      </w:tcPr>
    </w:tblStylePr>
    <w:tblStylePr w:type="band1Horz">
      <w:tcPr>
        <w:shd w:val="clear" w:color="auto" w:fill="BDD6EE" w:themeFill="accent1" w:themeFillTint="66"/>
      </w:tcPr>
    </w:tblStylePr>
  </w:style>
  <w:style w:type="table" w:customStyle="1" w:styleId="451">
    <w:name w:val="Grid Table 5 Dark Accent 2"/>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452">
    <w:name w:val="Grid Table 5 Dark Accent 3"/>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453">
    <w:name w:val="Grid Table 5 Dark Accent 4"/>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2CC" w:themeFill="accent4"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FC000" w:themeFill="accent4"/>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FC000" w:themeFill="accent4"/>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FFC000" w:themeFill="accent4"/>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FC000" w:themeFill="accent4"/>
      </w:tcPr>
    </w:tblStylePr>
    <w:tblStylePr w:type="band1Vert">
      <w:tcPr>
        <w:shd w:val="clear" w:color="auto" w:fill="FFE599" w:themeFill="accent4" w:themeFillTint="66"/>
      </w:tcPr>
    </w:tblStylePr>
    <w:tblStylePr w:type="band1Horz">
      <w:tcPr>
        <w:shd w:val="clear" w:color="auto" w:fill="FFE599" w:themeFill="accent4" w:themeFillTint="66"/>
      </w:tcPr>
    </w:tblStylePr>
  </w:style>
  <w:style w:type="table" w:customStyle="1" w:styleId="454">
    <w:name w:val="Grid Table 5 Dark Accent 5"/>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5"/>
      </w:tcPr>
    </w:tblStylePr>
    <w:tblStylePr w:type="band1Vert">
      <w:tcPr>
        <w:shd w:val="clear" w:color="auto" w:fill="B4C6E7" w:themeFill="accent5" w:themeFillTint="66"/>
      </w:tcPr>
    </w:tblStylePr>
    <w:tblStylePr w:type="band1Horz">
      <w:tcPr>
        <w:shd w:val="clear" w:color="auto" w:fill="B4C6E7" w:themeFill="accent5" w:themeFillTint="66"/>
      </w:tcPr>
    </w:tblStylePr>
  </w:style>
  <w:style w:type="table" w:customStyle="1" w:styleId="455">
    <w:name w:val="Grid Table 5 Dark Accent 6"/>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0AD47" w:themeFill="accent6"/>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0AD47" w:themeFill="accent6"/>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70AD47" w:themeFill="accent6"/>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0AD47" w:themeFill="accent6"/>
      </w:tcPr>
    </w:tblStylePr>
    <w:tblStylePr w:type="band1Vert">
      <w:tcPr>
        <w:shd w:val="clear" w:color="auto" w:fill="C5E0B3" w:themeFill="accent6" w:themeFillTint="66"/>
      </w:tcPr>
    </w:tblStylePr>
    <w:tblStylePr w:type="band1Horz">
      <w:tcPr>
        <w:shd w:val="clear" w:color="auto" w:fill="C5E0B3" w:themeFill="accent6" w:themeFillTint="66"/>
      </w:tcPr>
    </w:tblStylePr>
  </w:style>
  <w:style w:type="table" w:customStyle="1" w:styleId="456">
    <w:name w:val="Grid Table 6 Colorful"/>
    <w:basedOn w:val="88"/>
    <w:qFormat/>
    <w:uiPriority w:val="51"/>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57">
    <w:name w:val="Grid Table 6 Colorful Accent 1"/>
    <w:basedOn w:val="88"/>
    <w:uiPriority w:val="51"/>
    <w:rPr>
      <w:color w:val="2E75B6" w:themeColor="accent1" w:themeShade="BF"/>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bCs/>
      </w:rPr>
      <w:tcPr>
        <w:tcBorders>
          <w:bottom w:val="single" w:color="9CC2E5" w:themeColor="accent1" w:themeTint="99" w:sz="12" w:space="0"/>
        </w:tcBorders>
      </w:tcPr>
    </w:tblStylePr>
    <w:tblStylePr w:type="lastRow">
      <w:rPr>
        <w:b/>
        <w:bCs/>
      </w:rPr>
      <w:tcPr>
        <w:tcBorders>
          <w:top w:val="doub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458">
    <w:name w:val="Grid Table 6 Colorful Accent 2"/>
    <w:basedOn w:val="88"/>
    <w:uiPriority w:val="51"/>
    <w:rPr>
      <w:color w:val="C55A11" w:themeColor="accent2" w:themeShade="BF"/>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rPr>
      <w:tcPr>
        <w:tcBorders>
          <w:bottom w:val="single" w:color="F4B083" w:themeColor="accent2" w:themeTint="99" w:sz="12" w:space="0"/>
        </w:tcBorders>
      </w:tcPr>
    </w:tblStylePr>
    <w:tblStylePr w:type="lastRow">
      <w:rPr>
        <w:b/>
        <w:bCs/>
      </w:rPr>
      <w:tcPr>
        <w:tcBorders>
          <w:top w:val="double" w:color="F4B083" w:themeColor="accent2" w:themeTint="99"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459">
    <w:name w:val="Grid Table 6 Colorful Accent 3"/>
    <w:basedOn w:val="88"/>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460">
    <w:name w:val="Grid Table 6 Colorful Accent 4"/>
    <w:basedOn w:val="88"/>
    <w:qFormat/>
    <w:uiPriority w:val="51"/>
    <w:rPr>
      <w:color w:val="BF9000" w:themeColor="accent4" w:themeShade="BF"/>
    </w:r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
    <w:tblStylePr w:type="firstRow">
      <w:rPr>
        <w:b/>
        <w:bCs/>
      </w:rPr>
      <w:tcPr>
        <w:tcBorders>
          <w:bottom w:val="single" w:color="FFD965" w:themeColor="accent4" w:themeTint="99" w:sz="12" w:space="0"/>
        </w:tcBorders>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461">
    <w:name w:val="Grid Table 6 Colorful Accent 5"/>
    <w:basedOn w:val="88"/>
    <w:qFormat/>
    <w:uiPriority w:val="51"/>
    <w:rPr>
      <w:color w:val="2F5597" w:themeColor="accent5" w:themeShade="BF"/>
    </w:r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
    <w:tblStylePr w:type="firstRow">
      <w:rPr>
        <w:b/>
        <w:bCs/>
      </w:rPr>
      <w:tcPr>
        <w:tcBorders>
          <w:bottom w:val="single" w:color="8EAADB" w:themeColor="accent5" w:themeTint="99" w:sz="12" w:space="0"/>
        </w:tcBorders>
      </w:tcPr>
    </w:tblStylePr>
    <w:tblStylePr w:type="lastRow">
      <w:rPr>
        <w:b/>
        <w:bCs/>
      </w:rPr>
      <w:tcPr>
        <w:tcBorders>
          <w:top w:val="doub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462">
    <w:name w:val="Grid Table 6 Colorful Accent 6"/>
    <w:basedOn w:val="88"/>
    <w:qFormat/>
    <w:uiPriority w:val="51"/>
    <w:rPr>
      <w:color w:val="548235" w:themeColor="accent6" w:themeShade="BF"/>
    </w:r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
    <w:tblStylePr w:type="firstRow">
      <w:rPr>
        <w:b/>
        <w:bCs/>
      </w:rPr>
      <w:tcPr>
        <w:tcBorders>
          <w:bottom w:val="single" w:color="A8D08D" w:themeColor="accent6" w:themeTint="99" w:sz="12" w:space="0"/>
        </w:tcBorders>
      </w:tcPr>
    </w:tblStylePr>
    <w:tblStylePr w:type="lastRow">
      <w:rPr>
        <w:b/>
        <w:bCs/>
      </w:rPr>
      <w:tcPr>
        <w:tcBorders>
          <w:top w:val="doub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463">
    <w:name w:val="Grid Table 7 Colorful"/>
    <w:basedOn w:val="88"/>
    <w:qFormat/>
    <w:uiPriority w:val="52"/>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464">
    <w:name w:val="Grid Table 7 Colorful Accent 1"/>
    <w:basedOn w:val="88"/>
    <w:qFormat/>
    <w:uiPriority w:val="52"/>
    <w:rPr>
      <w:color w:val="2E75B6" w:themeColor="accent1" w:themeShade="BF"/>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EEAF6" w:themeFill="accent1" w:themeFillTint="33"/>
      </w:tcPr>
    </w:tblStylePr>
    <w:tblStylePr w:type="band1Horz">
      <w:tcPr>
        <w:shd w:val="clear" w:color="auto" w:fill="DEEAF6" w:themeFill="accent1" w:themeFillTint="33"/>
      </w:tcPr>
    </w:tblStylePr>
    <w:tblStylePr w:type="neCell">
      <w:tcPr>
        <w:tcBorders>
          <w:bottom w:val="single" w:color="9CC2E5" w:themeColor="accent1" w:themeTint="99" w:sz="4" w:space="0"/>
        </w:tcBorders>
      </w:tcPr>
    </w:tblStylePr>
    <w:tblStylePr w:type="nwCell">
      <w:tcPr>
        <w:tcBorders>
          <w:bottom w:val="single" w:color="9CC2E5" w:themeColor="accent1" w:themeTint="99" w:sz="4" w:space="0"/>
        </w:tcBorders>
      </w:tcPr>
    </w:tblStylePr>
    <w:tblStylePr w:type="seCell">
      <w:tcPr>
        <w:tcBorders>
          <w:top w:val="single" w:color="9CC2E5" w:themeColor="accent1" w:themeTint="99" w:sz="4" w:space="0"/>
        </w:tcBorders>
      </w:tcPr>
    </w:tblStylePr>
    <w:tblStylePr w:type="swCell">
      <w:tcPr>
        <w:tcBorders>
          <w:top w:val="single" w:color="9CC2E5" w:themeColor="accent1" w:themeTint="99" w:sz="4" w:space="0"/>
        </w:tcBorders>
      </w:tcPr>
    </w:tblStylePr>
  </w:style>
  <w:style w:type="table" w:customStyle="1" w:styleId="465">
    <w:name w:val="Grid Table 7 Colorful Accent 2"/>
    <w:basedOn w:val="88"/>
    <w:qFormat/>
    <w:uiPriority w:val="52"/>
    <w:rPr>
      <w:color w:val="C55A11" w:themeColor="accent2" w:themeShade="BF"/>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BE4D5" w:themeFill="accent2" w:themeFillTint="33"/>
      </w:tcPr>
    </w:tblStylePr>
    <w:tblStylePr w:type="band1Horz">
      <w:tcPr>
        <w:shd w:val="clear" w:color="auto" w:fill="FBE4D5" w:themeFill="accent2" w:themeFillTint="33"/>
      </w:tcPr>
    </w:tblStylePr>
    <w:tblStylePr w:type="neCell">
      <w:tcPr>
        <w:tcBorders>
          <w:bottom w:val="single" w:color="F4B083" w:themeColor="accent2" w:themeTint="99" w:sz="4" w:space="0"/>
        </w:tcBorders>
      </w:tcPr>
    </w:tblStylePr>
    <w:tblStylePr w:type="nwCell">
      <w:tcPr>
        <w:tcBorders>
          <w:bottom w:val="single" w:color="F4B083" w:themeColor="accent2" w:themeTint="99" w:sz="4" w:space="0"/>
        </w:tcBorders>
      </w:tcPr>
    </w:tblStylePr>
    <w:tblStylePr w:type="seCell">
      <w:tcPr>
        <w:tcBorders>
          <w:top w:val="single" w:color="F4B083" w:themeColor="accent2" w:themeTint="99" w:sz="4" w:space="0"/>
        </w:tcBorders>
      </w:tcPr>
    </w:tblStylePr>
    <w:tblStylePr w:type="swCell">
      <w:tcPr>
        <w:tcBorders>
          <w:top w:val="single" w:color="F4B083" w:themeColor="accent2" w:themeTint="99" w:sz="4" w:space="0"/>
        </w:tcBorders>
      </w:tcPr>
    </w:tblStylePr>
  </w:style>
  <w:style w:type="table" w:customStyle="1" w:styleId="466">
    <w:name w:val="Grid Table 7 Colorful Accent 3"/>
    <w:basedOn w:val="88"/>
    <w:qFormat/>
    <w:uiPriority w:val="52"/>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bottom w:val="single" w:color="C8C8C8" w:themeColor="accent3" w:themeTint="99" w:sz="4" w:space="0"/>
        </w:tcBorders>
      </w:tcPr>
    </w:tblStylePr>
    <w:tblStylePr w:type="nwCell">
      <w:tcPr>
        <w:tcBorders>
          <w:bottom w:val="single" w:color="C8C8C8" w:themeColor="accent3" w:themeTint="99" w:sz="4" w:space="0"/>
        </w:tcBorders>
      </w:tcPr>
    </w:tblStylePr>
    <w:tblStylePr w:type="seCell">
      <w:tcPr>
        <w:tcBorders>
          <w:top w:val="single" w:color="C8C8C8" w:themeColor="accent3" w:themeTint="99" w:sz="4" w:space="0"/>
        </w:tcBorders>
      </w:tcPr>
    </w:tblStylePr>
    <w:tblStylePr w:type="swCell">
      <w:tcPr>
        <w:tcBorders>
          <w:top w:val="single" w:color="C8C8C8" w:themeColor="accent3" w:themeTint="99" w:sz="4" w:space="0"/>
        </w:tcBorders>
      </w:tcPr>
    </w:tblStylePr>
  </w:style>
  <w:style w:type="table" w:customStyle="1" w:styleId="467">
    <w:name w:val="Grid Table 7 Colorful Accent 4"/>
    <w:basedOn w:val="88"/>
    <w:qFormat/>
    <w:uiPriority w:val="52"/>
    <w:rPr>
      <w:color w:val="BF9000" w:themeColor="accent4" w:themeShade="BF"/>
    </w:r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EF2CC" w:themeFill="accent4" w:themeFillTint="33"/>
      </w:tcPr>
    </w:tblStylePr>
    <w:tblStylePr w:type="band1Horz">
      <w:tcPr>
        <w:shd w:val="clear" w:color="auto" w:fill="FEF2CC" w:themeFill="accent4" w:themeFillTint="33"/>
      </w:tcPr>
    </w:tblStylePr>
    <w:tblStylePr w:type="neCell">
      <w:tcPr>
        <w:tcBorders>
          <w:bottom w:val="single" w:color="FFD965" w:themeColor="accent4" w:themeTint="99" w:sz="4" w:space="0"/>
        </w:tcBorders>
      </w:tcPr>
    </w:tblStylePr>
    <w:tblStylePr w:type="nwCell">
      <w:tcPr>
        <w:tcBorders>
          <w:bottom w:val="single" w:color="FFD965" w:themeColor="accent4" w:themeTint="99" w:sz="4" w:space="0"/>
        </w:tcBorders>
      </w:tcPr>
    </w:tblStylePr>
    <w:tblStylePr w:type="seCell">
      <w:tcPr>
        <w:tcBorders>
          <w:top w:val="single" w:color="FFD965" w:themeColor="accent4" w:themeTint="99" w:sz="4" w:space="0"/>
        </w:tcBorders>
      </w:tcPr>
    </w:tblStylePr>
    <w:tblStylePr w:type="swCell">
      <w:tcPr>
        <w:tcBorders>
          <w:top w:val="single" w:color="FFD965" w:themeColor="accent4" w:themeTint="99" w:sz="4" w:space="0"/>
        </w:tcBorders>
      </w:tcPr>
    </w:tblStylePr>
  </w:style>
  <w:style w:type="table" w:customStyle="1" w:styleId="468">
    <w:name w:val="Grid Table 7 Colorful Accent 5"/>
    <w:basedOn w:val="88"/>
    <w:uiPriority w:val="52"/>
    <w:rPr>
      <w:color w:val="2F5597" w:themeColor="accent5" w:themeShade="BF"/>
    </w:r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9E2F3" w:themeFill="accent5" w:themeFillTint="33"/>
      </w:tcPr>
    </w:tblStylePr>
    <w:tblStylePr w:type="band1Horz">
      <w:tcPr>
        <w:shd w:val="clear" w:color="auto" w:fill="D9E2F3" w:themeFill="accent5" w:themeFillTint="33"/>
      </w:tcPr>
    </w:tblStylePr>
    <w:tblStylePr w:type="neCell">
      <w:tcPr>
        <w:tcBorders>
          <w:bottom w:val="single" w:color="8EAADB" w:themeColor="accent5" w:themeTint="99" w:sz="4" w:space="0"/>
        </w:tcBorders>
      </w:tcPr>
    </w:tblStylePr>
    <w:tblStylePr w:type="nwCell">
      <w:tcPr>
        <w:tcBorders>
          <w:bottom w:val="single" w:color="8EAADB" w:themeColor="accent5" w:themeTint="99" w:sz="4" w:space="0"/>
        </w:tcBorders>
      </w:tcPr>
    </w:tblStylePr>
    <w:tblStylePr w:type="seCell">
      <w:tcPr>
        <w:tcBorders>
          <w:top w:val="single" w:color="8EAADB" w:themeColor="accent5" w:themeTint="99" w:sz="4" w:space="0"/>
        </w:tcBorders>
      </w:tcPr>
    </w:tblStylePr>
    <w:tblStylePr w:type="swCell">
      <w:tcPr>
        <w:tcBorders>
          <w:top w:val="single" w:color="8EAADB" w:themeColor="accent5" w:themeTint="99" w:sz="4" w:space="0"/>
        </w:tcBorders>
      </w:tcPr>
    </w:tblStylePr>
  </w:style>
  <w:style w:type="table" w:customStyle="1" w:styleId="469">
    <w:name w:val="Grid Table 7 Colorful Accent 6"/>
    <w:basedOn w:val="88"/>
    <w:qFormat/>
    <w:uiPriority w:val="52"/>
    <w:rPr>
      <w:color w:val="548235" w:themeColor="accent6" w:themeShade="BF"/>
    </w:r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bottom w:val="single" w:color="A8D08D" w:themeColor="accent6" w:themeTint="99" w:sz="4" w:space="0"/>
        </w:tcBorders>
      </w:tcPr>
    </w:tblStylePr>
    <w:tblStylePr w:type="nwCell">
      <w:tcPr>
        <w:tcBorders>
          <w:bottom w:val="single" w:color="A8D08D" w:themeColor="accent6" w:themeTint="99" w:sz="4" w:space="0"/>
        </w:tcBorders>
      </w:tcPr>
    </w:tblStylePr>
    <w:tblStylePr w:type="seCell">
      <w:tcPr>
        <w:tcBorders>
          <w:top w:val="single" w:color="A8D08D" w:themeColor="accent6" w:themeTint="99" w:sz="4" w:space="0"/>
        </w:tcBorders>
      </w:tcPr>
    </w:tblStylePr>
    <w:tblStylePr w:type="swCell">
      <w:tcPr>
        <w:tcBorders>
          <w:top w:val="single" w:color="A8D08D" w:themeColor="accent6" w:themeTint="99" w:sz="4" w:space="0"/>
        </w:tcBorders>
      </w:tcPr>
    </w:tblStylePr>
  </w:style>
  <w:style w:type="table" w:customStyle="1" w:styleId="470">
    <w:name w:val="Grid Table Light"/>
    <w:basedOn w:val="88"/>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character" w:customStyle="1" w:styleId="471">
    <w:name w:val="尾注文本 Char"/>
    <w:basedOn w:val="231"/>
    <w:link w:val="56"/>
    <w:semiHidden/>
    <w:qFormat/>
    <w:uiPriority w:val="99"/>
    <w:rPr>
      <w:kern w:val="2"/>
      <w:sz w:val="21"/>
      <w:szCs w:val="24"/>
    </w:rPr>
  </w:style>
  <w:style w:type="character" w:customStyle="1" w:styleId="472">
    <w:name w:val="文档结构图 Char"/>
    <w:basedOn w:val="231"/>
    <w:link w:val="32"/>
    <w:semiHidden/>
    <w:qFormat/>
    <w:uiPriority w:val="99"/>
    <w:rPr>
      <w:rFonts w:ascii="Microsoft YaHei UI" w:eastAsia="Microsoft YaHei UI"/>
      <w:kern w:val="2"/>
      <w:sz w:val="18"/>
      <w:szCs w:val="18"/>
    </w:rPr>
  </w:style>
  <w:style w:type="table" w:customStyle="1" w:styleId="473">
    <w:name w:val="Plain Table 1"/>
    <w:basedOn w:val="88"/>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474">
    <w:name w:val="Plain Table 2"/>
    <w:basedOn w:val="88"/>
    <w:qFormat/>
    <w:uiPriority w:val="42"/>
    <w:tblPr>
      <w:tblBorders>
        <w:top w:val="single" w:color="7E7E7E" w:themeColor="text1" w:themeTint="80" w:sz="4" w:space="0"/>
        <w:bottom w:val="single" w:color="7E7E7E" w:themeColor="text1" w:themeTint="80" w:sz="4" w:space="0"/>
      </w:tblBorders>
      <w:tblCellMar>
        <w:top w:w="0" w:type="dxa"/>
        <w:left w:w="108" w:type="dxa"/>
        <w:bottom w:w="0" w:type="dxa"/>
        <w:right w:w="108" w:type="dxa"/>
      </w:tblCellMar>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475">
    <w:name w:val="Plain Table 3"/>
    <w:basedOn w:val="88"/>
    <w:qFormat/>
    <w:uiPriority w:val="43"/>
    <w:tblPr>
      <w:tblCellMar>
        <w:top w:w="0" w:type="dxa"/>
        <w:left w:w="108" w:type="dxa"/>
        <w:bottom w:w="0" w:type="dxa"/>
        <w:right w:w="108" w:type="dxa"/>
      </w:tblCellMar>
    </w:tbl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476">
    <w:name w:val="Plain Table 4"/>
    <w:basedOn w:val="88"/>
    <w:qFormat/>
    <w:uiPriority w:val="44"/>
    <w:tblPr>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477">
    <w:name w:val="Plain Table 5"/>
    <w:basedOn w:val="88"/>
    <w:qFormat/>
    <w:uiPriority w:val="45"/>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paragraph" w:styleId="478">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479">
    <w:name w:val="信息标题 Char"/>
    <w:basedOn w:val="231"/>
    <w:link w:val="79"/>
    <w:semiHidden/>
    <w:qFormat/>
    <w:uiPriority w:val="99"/>
    <w:rPr>
      <w:rFonts w:asciiTheme="majorHAnsi" w:hAnsiTheme="majorHAnsi" w:eastAsiaTheme="majorEastAsia" w:cstheme="majorBidi"/>
      <w:kern w:val="2"/>
      <w:sz w:val="24"/>
      <w:szCs w:val="24"/>
      <w:shd w:val="pct20" w:color="auto" w:fill="auto"/>
    </w:rPr>
  </w:style>
  <w:style w:type="paragraph" w:styleId="480">
    <w:name w:val="Quote"/>
    <w:basedOn w:val="1"/>
    <w:next w:val="1"/>
    <w:link w:val="481"/>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481">
    <w:name w:val="引用 Char"/>
    <w:basedOn w:val="231"/>
    <w:link w:val="480"/>
    <w:qFormat/>
    <w:uiPriority w:val="29"/>
    <w:rPr>
      <w:i/>
      <w:iCs/>
      <w:color w:val="404040" w:themeColor="text1" w:themeTint="BF"/>
      <w:kern w:val="2"/>
      <w:sz w:val="21"/>
      <w:szCs w:val="24"/>
      <w14:textFill>
        <w14:solidFill>
          <w14:schemeClr w14:val="tx1">
            <w14:lumMod w14:val="75000"/>
            <w14:lumOff w14:val="25000"/>
          </w14:schemeClr>
        </w14:solidFill>
      </w14:textFill>
    </w:rPr>
  </w:style>
  <w:style w:type="character" w:styleId="482">
    <w:name w:val="Placeholder Text"/>
    <w:basedOn w:val="231"/>
    <w:semiHidden/>
    <w:qFormat/>
    <w:uiPriority w:val="99"/>
    <w:rPr>
      <w:color w:val="808080"/>
    </w:rPr>
  </w:style>
  <w:style w:type="character" w:customStyle="1" w:styleId="483">
    <w:name w:val="正文首行缩进 Char"/>
    <w:basedOn w:val="332"/>
    <w:link w:val="86"/>
    <w:semiHidden/>
    <w:qFormat/>
    <w:uiPriority w:val="99"/>
    <w:rPr>
      <w:kern w:val="2"/>
      <w:sz w:val="21"/>
      <w:szCs w:val="24"/>
    </w:rPr>
  </w:style>
  <w:style w:type="character" w:customStyle="1" w:styleId="484">
    <w:name w:val="正文文本缩进 Char"/>
    <w:basedOn w:val="231"/>
    <w:link w:val="41"/>
    <w:semiHidden/>
    <w:uiPriority w:val="99"/>
    <w:rPr>
      <w:kern w:val="2"/>
      <w:sz w:val="21"/>
      <w:szCs w:val="24"/>
    </w:rPr>
  </w:style>
  <w:style w:type="character" w:customStyle="1" w:styleId="485">
    <w:name w:val="正文首行缩进 2 Char"/>
    <w:basedOn w:val="484"/>
    <w:link w:val="87"/>
    <w:semiHidden/>
    <w:uiPriority w:val="99"/>
    <w:rPr>
      <w:kern w:val="2"/>
      <w:sz w:val="21"/>
      <w:szCs w:val="24"/>
    </w:rPr>
  </w:style>
  <w:style w:type="character" w:customStyle="1" w:styleId="486">
    <w:name w:val="正文文本 2 Char"/>
    <w:basedOn w:val="231"/>
    <w:link w:val="76"/>
    <w:semiHidden/>
    <w:uiPriority w:val="99"/>
    <w:rPr>
      <w:kern w:val="2"/>
      <w:sz w:val="21"/>
      <w:szCs w:val="24"/>
    </w:rPr>
  </w:style>
  <w:style w:type="character" w:customStyle="1" w:styleId="487">
    <w:name w:val="正文文本 3 Char"/>
    <w:basedOn w:val="231"/>
    <w:link w:val="37"/>
    <w:semiHidden/>
    <w:qFormat/>
    <w:uiPriority w:val="99"/>
    <w:rPr>
      <w:kern w:val="2"/>
      <w:sz w:val="16"/>
      <w:szCs w:val="16"/>
    </w:rPr>
  </w:style>
  <w:style w:type="character" w:customStyle="1" w:styleId="488">
    <w:name w:val="正文文本缩进 2 Char"/>
    <w:basedOn w:val="231"/>
    <w:link w:val="55"/>
    <w:semiHidden/>
    <w:qFormat/>
    <w:uiPriority w:val="99"/>
    <w:rPr>
      <w:kern w:val="2"/>
      <w:sz w:val="21"/>
      <w:szCs w:val="24"/>
    </w:rPr>
  </w:style>
  <w:style w:type="character" w:customStyle="1" w:styleId="489">
    <w:name w:val="正文文本缩进 3 Char"/>
    <w:basedOn w:val="231"/>
    <w:link w:val="71"/>
    <w:semiHidden/>
    <w:uiPriority w:val="99"/>
    <w:rPr>
      <w:kern w:val="2"/>
      <w:sz w:val="16"/>
      <w:szCs w:val="16"/>
    </w:rPr>
  </w:style>
  <w:style w:type="character" w:customStyle="1" w:styleId="490">
    <w:name w:val="注释标题 Char"/>
    <w:basedOn w:val="231"/>
    <w:link w:val="22"/>
    <w:semiHidden/>
    <w:qFormat/>
    <w:uiPriority w:val="99"/>
    <w:rPr>
      <w:kern w:val="2"/>
      <w:sz w:val="21"/>
      <w:szCs w:val="24"/>
    </w:rPr>
  </w:style>
  <w:style w:type="paragraph" w:customStyle="1" w:styleId="491">
    <w:name w:val="附录无标题章"/>
    <w:basedOn w:val="276"/>
    <w:qFormat/>
    <w:uiPriority w:val="0"/>
    <w:pPr>
      <w:spacing w:before="0" w:beforeLines="0" w:after="0" w:afterLines="0"/>
      <w:outlineLvl w:val="9"/>
    </w:pPr>
    <w:rPr>
      <w:rFonts w:asciiTheme="majorEastAsia" w:eastAsiaTheme="majorEastAsia"/>
    </w:rPr>
  </w:style>
  <w:style w:type="paragraph" w:customStyle="1" w:styleId="492">
    <w:name w:val="附录一级无标题条"/>
    <w:basedOn w:val="277"/>
    <w:qFormat/>
    <w:uiPriority w:val="0"/>
    <w:pPr>
      <w:spacing w:before="0" w:beforeLines="0" w:after="0" w:afterLines="0"/>
      <w:outlineLvl w:val="9"/>
    </w:pPr>
    <w:rPr>
      <w:rFonts w:asciiTheme="majorEastAsia" w:eastAsiaTheme="majorEastAsia"/>
    </w:rPr>
  </w:style>
  <w:style w:type="paragraph" w:customStyle="1" w:styleId="493">
    <w:name w:val="附录二级无标题条"/>
    <w:basedOn w:val="278"/>
    <w:qFormat/>
    <w:uiPriority w:val="0"/>
    <w:pPr>
      <w:spacing w:before="0" w:beforeLines="0" w:after="0" w:afterLines="0"/>
      <w:outlineLvl w:val="9"/>
    </w:pPr>
    <w:rPr>
      <w:rFonts w:asciiTheme="majorEastAsia" w:eastAsiaTheme="majorEastAsia"/>
    </w:rPr>
  </w:style>
  <w:style w:type="paragraph" w:customStyle="1" w:styleId="494">
    <w:name w:val="附录三级无标题条"/>
    <w:basedOn w:val="279"/>
    <w:qFormat/>
    <w:uiPriority w:val="0"/>
    <w:pPr>
      <w:spacing w:before="0" w:beforeLines="0" w:after="0" w:afterLines="0"/>
      <w:outlineLvl w:val="9"/>
    </w:pPr>
    <w:rPr>
      <w:rFonts w:asciiTheme="majorEastAsia" w:eastAsiaTheme="majorEastAsia"/>
    </w:rPr>
  </w:style>
  <w:style w:type="paragraph" w:customStyle="1" w:styleId="495">
    <w:name w:val="附录四级无标题条"/>
    <w:basedOn w:val="280"/>
    <w:qFormat/>
    <w:uiPriority w:val="0"/>
    <w:pPr>
      <w:spacing w:before="0" w:beforeLines="0" w:after="0" w:afterLines="0"/>
      <w:outlineLvl w:val="9"/>
    </w:pPr>
    <w:rPr>
      <w:rFonts w:asciiTheme="majorEastAsia" w:eastAsiaTheme="majorEastAsia"/>
    </w:rPr>
  </w:style>
  <w:style w:type="paragraph" w:customStyle="1" w:styleId="496">
    <w:name w:val="标准标志TB"/>
    <w:basedOn w:val="1"/>
    <w:qFormat/>
    <w:uiPriority w:val="0"/>
    <w:pPr>
      <w:widowControl/>
      <w:shd w:val="solid" w:color="FFFFFF" w:fill="FFFFFF"/>
      <w:spacing w:line="0" w:lineRule="atLeast"/>
      <w:jc w:val="right"/>
    </w:pPr>
    <w:rPr>
      <w:rFonts w:ascii="Arial Black" w:hAnsi="Britannic Bold" w:eastAsia="Arial Unicode MS"/>
      <w:b/>
      <w:w w:val="110"/>
      <w:sz w:val="96"/>
      <w:szCs w:val="20"/>
    </w:rPr>
  </w:style>
  <w:style w:type="paragraph" w:customStyle="1" w:styleId="497">
    <w:name w:val="标准称谓TB"/>
    <w:basedOn w:val="1"/>
    <w:qFormat/>
    <w:uiPriority w:val="0"/>
    <w:pPr>
      <w:kinsoku w:val="0"/>
      <w:overflowPunct w:val="0"/>
      <w:autoSpaceDE w:val="0"/>
      <w:autoSpaceDN w:val="0"/>
      <w:spacing w:line="0" w:lineRule="atLeast"/>
      <w:jc w:val="center"/>
    </w:pPr>
    <w:rPr>
      <w:rFonts w:ascii="Arial Black" w:hAnsi="Arial Black" w:eastAsia="黑体"/>
      <w:bCs/>
      <w:w w:val="135"/>
      <w:kern w:val="0"/>
      <w:sz w:val="44"/>
      <w:szCs w:val="20"/>
    </w:rPr>
  </w:style>
  <w:style w:type="paragraph" w:customStyle="1" w:styleId="498">
    <w:name w:val="发布GB"/>
    <w:basedOn w:val="40"/>
    <w:qFormat/>
    <w:uiPriority w:val="0"/>
    <w:pPr>
      <w:spacing w:after="0" w:line="280" w:lineRule="exact"/>
      <w:ind w:left="284"/>
    </w:pPr>
    <w:rPr>
      <w:rFonts w:ascii="黑体" w:eastAsia="黑体"/>
      <w:kern w:val="3"/>
      <w:sz w:val="28"/>
    </w:rPr>
  </w:style>
  <w:style w:type="paragraph" w:customStyle="1" w:styleId="499">
    <w:name w:val="发布DB"/>
    <w:basedOn w:val="498"/>
    <w:qFormat/>
    <w:uiPriority w:val="0"/>
    <w:pPr>
      <w:ind w:left="567"/>
    </w:pPr>
  </w:style>
  <w:style w:type="paragraph" w:customStyle="1" w:styleId="500">
    <w:name w:val="发布HB"/>
    <w:basedOn w:val="498"/>
    <w:qFormat/>
    <w:uiPriority w:val="0"/>
    <w:pPr>
      <w:ind w:left="567"/>
    </w:pPr>
  </w:style>
  <w:style w:type="paragraph" w:customStyle="1" w:styleId="501">
    <w:name w:val="发布QB"/>
    <w:basedOn w:val="498"/>
    <w:qFormat/>
    <w:uiPriority w:val="0"/>
    <w:pPr>
      <w:ind w:left="567"/>
    </w:pPr>
  </w:style>
  <w:style w:type="paragraph" w:customStyle="1" w:styleId="502">
    <w:name w:val="发布TB"/>
    <w:basedOn w:val="498"/>
    <w:qFormat/>
    <w:uiPriority w:val="0"/>
    <w:pPr>
      <w:ind w:left="567"/>
    </w:pPr>
  </w:style>
  <w:style w:type="paragraph" w:customStyle="1" w:styleId="503">
    <w:name w:val="发布部门TB"/>
    <w:basedOn w:val="1"/>
    <w:qFormat/>
    <w:uiPriority w:val="0"/>
    <w:pPr>
      <w:widowControl/>
      <w:spacing w:line="360" w:lineRule="exact"/>
      <w:jc w:val="center"/>
    </w:pPr>
    <w:rPr>
      <w:rFonts w:ascii="宋体"/>
      <w:b/>
      <w:kern w:val="0"/>
      <w:sz w:val="36"/>
      <w:szCs w:val="20"/>
    </w:rPr>
  </w:style>
  <w:style w:type="paragraph" w:customStyle="1" w:styleId="504">
    <w:name w:val="标准标志CEC"/>
    <w:basedOn w:val="1"/>
    <w:qFormat/>
    <w:uiPriority w:val="0"/>
    <w:pPr>
      <w:jc w:val="right"/>
    </w:pPr>
    <w:rPr>
      <w:rFonts w:eastAsia="Times New Roman"/>
      <w:b/>
      <w:sz w:val="96"/>
    </w:rPr>
  </w:style>
  <w:style w:type="paragraph" w:customStyle="1" w:styleId="505">
    <w:name w:val="标准称谓CEC"/>
    <w:basedOn w:val="1"/>
    <w:qFormat/>
    <w:uiPriority w:val="0"/>
    <w:pPr>
      <w:jc w:val="center"/>
    </w:pPr>
    <w:rPr>
      <w:rFonts w:eastAsia="黑体"/>
      <w:b/>
      <w:w w:val="132"/>
      <w:kern w:val="0"/>
      <w:sz w:val="52"/>
    </w:rPr>
  </w:style>
  <w:style w:type="paragraph" w:customStyle="1" w:styleId="506">
    <w:name w:val="发布CEC"/>
    <w:basedOn w:val="498"/>
    <w:qFormat/>
    <w:uiPriority w:val="0"/>
  </w:style>
  <w:style w:type="paragraph" w:customStyle="1" w:styleId="507">
    <w:name w:val="发布部门CEC"/>
    <w:basedOn w:val="1"/>
    <w:qFormat/>
    <w:uiPriority w:val="0"/>
    <w:pPr>
      <w:snapToGrid w:val="0"/>
    </w:pPr>
    <w:rPr>
      <w:b/>
      <w:w w:val="135"/>
      <w:kern w:val="0"/>
      <w:sz w:val="36"/>
    </w:rPr>
  </w:style>
  <w:style w:type="paragraph" w:customStyle="1" w:styleId="508">
    <w:name w:val="标准正文公式"/>
    <w:basedOn w:val="1"/>
    <w:next w:val="1"/>
    <w:qFormat/>
    <w:uiPriority w:val="0"/>
    <w:pPr>
      <w:tabs>
        <w:tab w:val="center" w:pos="4678"/>
        <w:tab w:val="right" w:leader="middleDot" w:pos="9356"/>
      </w:tabs>
      <w:adjustRightInd w:val="0"/>
    </w:pPr>
    <w:rPr>
      <w:rFonts w:ascii="宋体" w:hAnsi="宋体"/>
      <w:szCs w:val="21"/>
    </w:rPr>
  </w:style>
  <w:style w:type="paragraph" w:customStyle="1" w:styleId="509">
    <w:name w:val="附录公式标号"/>
    <w:basedOn w:val="360"/>
    <w:qFormat/>
    <w:uiPriority w:val="0"/>
    <w:pPr>
      <w:numPr>
        <w:ilvl w:val="0"/>
        <w:numId w:val="26"/>
      </w:numPr>
      <w:snapToGrid w:val="0"/>
      <w:spacing w:line="14" w:lineRule="atLeast"/>
      <w:ind w:firstLineChars="0"/>
    </w:pPr>
    <w:rPr>
      <w:color w:val="FFFFFF" w:themeColor="background1"/>
      <w:sz w:val="2"/>
      <w14:textFill>
        <w14:solidFill>
          <w14:schemeClr w14:val="bg1"/>
        </w14:solidFill>
      </w14:textFill>
    </w:rPr>
  </w:style>
  <w:style w:type="paragraph" w:customStyle="1" w:styleId="510">
    <w:name w:val="附录公式编号"/>
    <w:basedOn w:val="40"/>
    <w:qFormat/>
    <w:uiPriority w:val="0"/>
    <w:pPr>
      <w:numPr>
        <w:ilvl w:val="1"/>
        <w:numId w:val="26"/>
      </w:numPr>
    </w:pPr>
  </w:style>
  <w:style w:type="paragraph" w:customStyle="1" w:styleId="511">
    <w:name w:val="引言二级条标题"/>
    <w:basedOn w:val="1"/>
    <w:next w:val="258"/>
    <w:qFormat/>
    <w:uiPriority w:val="0"/>
    <w:pPr>
      <w:widowControl/>
      <w:numPr>
        <w:ilvl w:val="2"/>
        <w:numId w:val="27"/>
      </w:numPr>
      <w:autoSpaceDE w:val="0"/>
      <w:autoSpaceDN w:val="0"/>
      <w:spacing w:before="50" w:beforeLines="50" w:after="50" w:afterLines="50"/>
    </w:pPr>
    <w:rPr>
      <w:rFonts w:ascii="黑体" w:eastAsia="黑体"/>
      <w:kern w:val="0"/>
      <w:szCs w:val="20"/>
    </w:rPr>
  </w:style>
  <w:style w:type="paragraph" w:customStyle="1" w:styleId="512">
    <w:name w:val="引言二级无标题条"/>
    <w:basedOn w:val="511"/>
    <w:next w:val="258"/>
    <w:qFormat/>
    <w:uiPriority w:val="0"/>
    <w:pPr>
      <w:spacing w:before="0" w:beforeLines="0" w:after="0" w:afterLines="0" w:line="276" w:lineRule="auto"/>
    </w:pPr>
    <w:rPr>
      <w:rFonts w:ascii="宋体" w:eastAsia="宋体"/>
    </w:rPr>
  </w:style>
  <w:style w:type="paragraph" w:customStyle="1" w:styleId="513">
    <w:name w:val="引言三级条标题"/>
    <w:basedOn w:val="1"/>
    <w:next w:val="258"/>
    <w:qFormat/>
    <w:uiPriority w:val="0"/>
    <w:pPr>
      <w:widowControl/>
      <w:numPr>
        <w:ilvl w:val="3"/>
        <w:numId w:val="27"/>
      </w:numPr>
      <w:autoSpaceDE w:val="0"/>
      <w:autoSpaceDN w:val="0"/>
      <w:spacing w:before="50" w:beforeLines="50" w:after="50" w:afterLines="50"/>
    </w:pPr>
    <w:rPr>
      <w:rFonts w:ascii="黑体" w:eastAsia="黑体"/>
      <w:kern w:val="0"/>
      <w:szCs w:val="20"/>
    </w:rPr>
  </w:style>
  <w:style w:type="paragraph" w:customStyle="1" w:styleId="514">
    <w:name w:val="引言三级无标题条"/>
    <w:basedOn w:val="513"/>
    <w:next w:val="258"/>
    <w:qFormat/>
    <w:uiPriority w:val="0"/>
    <w:pPr>
      <w:spacing w:before="0" w:beforeLines="0" w:after="0" w:afterLines="0" w:line="276" w:lineRule="auto"/>
    </w:pPr>
    <w:rPr>
      <w:rFonts w:ascii="宋体" w:eastAsia="宋体"/>
    </w:rPr>
  </w:style>
  <w:style w:type="paragraph" w:customStyle="1" w:styleId="515">
    <w:name w:val="引言四级条标题"/>
    <w:basedOn w:val="1"/>
    <w:next w:val="258"/>
    <w:qFormat/>
    <w:uiPriority w:val="0"/>
    <w:pPr>
      <w:widowControl/>
      <w:numPr>
        <w:ilvl w:val="4"/>
        <w:numId w:val="27"/>
      </w:numPr>
      <w:autoSpaceDE w:val="0"/>
      <w:autoSpaceDN w:val="0"/>
      <w:spacing w:before="50" w:beforeLines="50" w:after="50" w:afterLines="50"/>
    </w:pPr>
    <w:rPr>
      <w:rFonts w:ascii="黑体" w:eastAsia="黑体"/>
      <w:kern w:val="0"/>
      <w:szCs w:val="20"/>
    </w:rPr>
  </w:style>
  <w:style w:type="paragraph" w:customStyle="1" w:styleId="516">
    <w:name w:val="引言四级无标题条"/>
    <w:basedOn w:val="515"/>
    <w:next w:val="258"/>
    <w:qFormat/>
    <w:uiPriority w:val="0"/>
    <w:pPr>
      <w:spacing w:before="0" w:beforeLines="0" w:after="0" w:afterLines="0" w:line="276" w:lineRule="auto"/>
    </w:pPr>
    <w:rPr>
      <w:rFonts w:ascii="宋体" w:eastAsia="宋体"/>
    </w:rPr>
  </w:style>
  <w:style w:type="paragraph" w:customStyle="1" w:styleId="517">
    <w:name w:val="引言五级条标题"/>
    <w:basedOn w:val="1"/>
    <w:next w:val="258"/>
    <w:qFormat/>
    <w:uiPriority w:val="0"/>
    <w:pPr>
      <w:widowControl/>
      <w:numPr>
        <w:ilvl w:val="5"/>
        <w:numId w:val="27"/>
      </w:numPr>
      <w:autoSpaceDE w:val="0"/>
      <w:autoSpaceDN w:val="0"/>
      <w:spacing w:before="50" w:beforeLines="50" w:after="50" w:afterLines="50"/>
    </w:pPr>
    <w:rPr>
      <w:rFonts w:ascii="黑体" w:eastAsia="黑体"/>
      <w:kern w:val="0"/>
      <w:szCs w:val="20"/>
    </w:rPr>
  </w:style>
  <w:style w:type="paragraph" w:customStyle="1" w:styleId="518">
    <w:name w:val="引言五级无标题条"/>
    <w:basedOn w:val="517"/>
    <w:next w:val="258"/>
    <w:qFormat/>
    <w:uiPriority w:val="0"/>
    <w:pPr>
      <w:spacing w:before="0" w:beforeLines="0" w:after="0" w:afterLines="0" w:line="276" w:lineRule="auto"/>
    </w:pPr>
    <w:rPr>
      <w:rFonts w:ascii="宋体" w:eastAsia="宋体"/>
    </w:rPr>
  </w:style>
  <w:style w:type="paragraph" w:customStyle="1" w:styleId="519">
    <w:name w:val="引言一级条标题"/>
    <w:basedOn w:val="1"/>
    <w:next w:val="258"/>
    <w:qFormat/>
    <w:uiPriority w:val="0"/>
    <w:pPr>
      <w:widowControl/>
      <w:numPr>
        <w:ilvl w:val="1"/>
        <w:numId w:val="27"/>
      </w:numPr>
      <w:autoSpaceDE w:val="0"/>
      <w:autoSpaceDN w:val="0"/>
      <w:spacing w:before="50" w:beforeLines="50" w:after="50" w:afterLines="50"/>
    </w:pPr>
    <w:rPr>
      <w:rFonts w:ascii="黑体" w:eastAsia="黑体"/>
      <w:kern w:val="0"/>
      <w:szCs w:val="20"/>
    </w:rPr>
  </w:style>
  <w:style w:type="paragraph" w:customStyle="1" w:styleId="520">
    <w:name w:val="引言一级无标题条"/>
    <w:basedOn w:val="519"/>
    <w:next w:val="258"/>
    <w:qFormat/>
    <w:uiPriority w:val="0"/>
    <w:pPr>
      <w:spacing w:before="0" w:beforeLines="0" w:after="0" w:afterLines="0" w:line="276" w:lineRule="auto"/>
    </w:pPr>
    <w:rPr>
      <w:rFonts w:ascii="宋体" w:eastAsia="宋体"/>
    </w:rPr>
  </w:style>
  <w:style w:type="paragraph" w:customStyle="1" w:styleId="521">
    <w:name w:val="前言标题"/>
    <w:next w:val="1"/>
    <w:qFormat/>
    <w:uiPriority w:val="0"/>
    <w:pPr>
      <w:numPr>
        <w:ilvl w:val="0"/>
        <w:numId w:val="28"/>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522">
    <w:name w:val="列项·（二级）"/>
    <w:basedOn w:val="325"/>
    <w:qFormat/>
    <w:uiPriority w:val="0"/>
    <w:pPr>
      <w:ind w:left="1260" w:leftChars="400" w:hanging="420"/>
    </w:pPr>
  </w:style>
  <w:style w:type="paragraph" w:customStyle="1" w:styleId="523">
    <w:name w:val="列项——（二级）"/>
    <w:basedOn w:val="285"/>
    <w:qFormat/>
    <w:uiPriority w:val="0"/>
    <w:pPr>
      <w:ind w:left="1260" w:leftChars="400" w:hanging="200" w:hangingChars="200"/>
    </w:pPr>
  </w:style>
  <w:style w:type="paragraph" w:customStyle="1" w:styleId="524">
    <w:name w:val="参考文献编号"/>
    <w:basedOn w:val="258"/>
    <w:qFormat/>
    <w:uiPriority w:val="0"/>
    <w:pPr>
      <w:numPr>
        <w:ilvl w:val="0"/>
        <w:numId w:val="29"/>
      </w:numPr>
      <w:ind w:firstLine="420"/>
    </w:pPr>
  </w:style>
  <w:style w:type="paragraph" w:customStyle="1" w:styleId="525">
    <w:name w:val="表格正文"/>
    <w:basedOn w:val="1"/>
    <w:qFormat/>
    <w:uiPriority w:val="0"/>
    <w:rPr>
      <w:rFonts w:ascii="宋体"/>
      <w:sz w:val="18"/>
    </w:rPr>
  </w:style>
  <w:style w:type="paragraph" w:customStyle="1" w:styleId="526">
    <w:name w:val="表格段"/>
    <w:basedOn w:val="258"/>
    <w:qFormat/>
    <w:uiPriority w:val="0"/>
    <w:pPr>
      <w:ind w:firstLine="420"/>
    </w:pPr>
    <w:rPr>
      <w:sz w:val="18"/>
    </w:rPr>
  </w:style>
  <w:style w:type="paragraph" w:customStyle="1" w:styleId="527">
    <w:name w:val="表格脚注"/>
    <w:basedOn w:val="525"/>
    <w:next w:val="525"/>
    <w:qFormat/>
    <w:uiPriority w:val="0"/>
    <w:pPr>
      <w:numPr>
        <w:ilvl w:val="0"/>
        <w:numId w:val="30"/>
      </w:numPr>
      <w:adjustRightInd w:val="0"/>
      <w:jc w:val="left"/>
    </w:pPr>
    <w:rPr>
      <w:rFonts w:hAnsi="宋体"/>
      <w:szCs w:val="21"/>
    </w:rPr>
  </w:style>
  <w:style w:type="paragraph" w:customStyle="1" w:styleId="528">
    <w:name w:val="终结线"/>
    <w:basedOn w:val="1"/>
    <w:qFormat/>
    <w:uiPriority w:val="0"/>
    <w:pPr>
      <w:framePr w:hSpace="181" w:vSpace="181" w:wrap="around" w:vAnchor="text" w:hAnchor="margin" w:xAlign="center" w:y="285"/>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glossaryDocument" Target="glossary/document.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1271;&#20140;&#29031;&#26126;&#23398;&#20250;\AppData\Roaming\&#26631;&#20934;&#32534;&#20889;WPS\bzbx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628E8159288E40C2AB02C9C3B73C5026"/>
        <w:style w:val=""/>
        <w:category>
          <w:name w:val="常规"/>
          <w:gallery w:val="placeholder"/>
        </w:category>
        <w:types>
          <w:type w:val="bbPlcHdr"/>
        </w:types>
        <w:behaviors>
          <w:behavior w:val="content"/>
        </w:behaviors>
        <w:description w:val=""/>
        <w:guid w:val="{9C886A97-E205-4162-B765-439E8688C970}"/>
      </w:docPartPr>
      <w:docPartBody>
        <w:p w14:paraId="301538F8">
          <w:pPr>
            <w:pStyle w:val="5"/>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revisionView w:markup="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0B0"/>
    <w:rsid w:val="003F664C"/>
    <w:rsid w:val="00516E6A"/>
    <w:rsid w:val="00730FF9"/>
    <w:rsid w:val="009F6678"/>
    <w:rsid w:val="00D55AD2"/>
    <w:rsid w:val="00DE6AB1"/>
    <w:rsid w:val="00E66E00"/>
    <w:rsid w:val="00FA70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cs="Times New Roman" w:asciiTheme="minorHAnsi" w:hAnsiTheme="minorHAnsi" w:eastAsiaTheme="minorEastAsia"/>
      <w:kern w:val="2"/>
      <w:sz w:val="3276"/>
      <w:szCs w:val="3276"/>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628E8159288E40C2AB02C9C3B73C502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651E414173C04A5F9A008719C016EEB8"/>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456C92-4FC4-4F1A-89CA-6831313FE443}">
  <ds:schemaRefs/>
</ds:datastoreItem>
</file>

<file path=docProps/app.xml><?xml version="1.0" encoding="utf-8"?>
<Properties xmlns="http://schemas.openxmlformats.org/officeDocument/2006/extended-properties" xmlns:vt="http://schemas.openxmlformats.org/officeDocument/2006/docPropsVTypes">
  <Template>bzbx20.dotx</Template>
  <Pages>22</Pages>
  <Words>1166</Words>
  <Characters>1376</Characters>
  <Lines>1</Lines>
  <Paragraphs>1</Paragraphs>
  <TotalTime>20</TotalTime>
  <ScaleCrop>false</ScaleCrop>
  <LinksUpToDate>false</LinksUpToDate>
  <CharactersWithSpaces>1435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2025-03-24T06:19:00Z</dcterms:created>
  <dc:creator>清雅Alice</dc:creator>
  <cp:lastModifiedBy>清雅Alice</cp:lastModifiedBy>
  <dcterms:modified xsi:type="dcterms:W3CDTF">2025-05-15T03:16:56Z</dcterms:modified>
  <cp:revision>111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70C8D76D7C14418587AD754AF948FB5A_13</vt:lpwstr>
  </property>
  <property fmtid="{D5CDD505-2E9C-101B-9397-08002B2CF9AE}" pid="3" name="条文说明标记" linkTarget="条文说明标记">
    <vt:lpwstr>无</vt:lpwstr>
  </property>
  <property fmtid="{D5CDD505-2E9C-101B-9397-08002B2CF9AE}" pid="4" name="文件标记" linkTarget="文件标记">
    <vt:lpwstr>蓝元软件</vt:lpwstr>
  </property>
  <property fmtid="{D5CDD505-2E9C-101B-9397-08002B2CF9AE}" pid="5" name="标准版本" linkTarget="标准版本">
    <vt:lpwstr>2020</vt:lpwstr>
  </property>
  <property fmtid="{D5CDD505-2E9C-101B-9397-08002B2CF9AE}" pid="6" name="ICS" linkTarget="ICS">
    <vt:lpwstr>ICS 29.140.40</vt:lpwstr>
  </property>
  <property fmtid="{D5CDD505-2E9C-101B-9397-08002B2CF9AE}" pid="7" name="CCS" linkTarget="CCS">
    <vt:lpwstr>CCS K 70</vt:lpwstr>
  </property>
  <property fmtid="{D5CDD505-2E9C-101B-9397-08002B2CF9AE}" pid="8" name="BAH" linkTarget="BAH">
    <vt:lpwstr/>
  </property>
  <property fmtid="{D5CDD505-2E9C-101B-9397-08002B2CF9AE}" pid="9" name="BT" linkTarget="BT">
    <vt:lpwstr>北京市地方标准</vt:lpwstr>
  </property>
  <property fmtid="{D5CDD505-2E9C-101B-9397-08002B2CF9AE}" pid="10" name="BZBH" linkTarget="BZBH">
    <vt:lpwstr>DB11/T 388.5-202X</vt:lpwstr>
  </property>
  <property fmtid="{D5CDD505-2E9C-101B-9397-08002B2CF9AE}" pid="11" name="TDBH" linkTarget="TDBH">
    <vt:lpwstr>代替 DB11/T 388.5-2015</vt:lpwstr>
  </property>
  <property fmtid="{D5CDD505-2E9C-101B-9397-08002B2CF9AE}" pid="12" name="BZMC" linkTarget="BZMC">
    <vt:lpwstr>城市景观照明技术规范
第5部分：安全要求</vt:lpwstr>
  </property>
  <property fmtid="{D5CDD505-2E9C-101B-9397-08002B2CF9AE}" pid="13" name="YWMC" linkTarget="YWMC">
    <vt:lpwstr>Technical specification  of urban landscape lighting-
Part 5: Safety requirements</vt:lpwstr>
  </property>
  <property fmtid="{D5CDD505-2E9C-101B-9397-08002B2CF9AE}" pid="14" name="CBCD" linkTarget="CBCD">
    <vt:lpwstr/>
  </property>
  <property fmtid="{D5CDD505-2E9C-101B-9397-08002B2CF9AE}" pid="15" name="WGLB" linkTarget="WGLB">
    <vt:lpwstr>（征求意见稿）</vt:lpwstr>
  </property>
  <property fmtid="{D5CDD505-2E9C-101B-9397-08002B2CF9AE}" pid="16" name="FBRQ" linkTarget="FBRQ">
    <vt:lpwstr>202X-XX-XX</vt:lpwstr>
  </property>
  <property fmtid="{D5CDD505-2E9C-101B-9397-08002B2CF9AE}" pid="17" name="SSRQ" linkTarget="SSRQ">
    <vt:lpwstr>202X-XX-XX</vt:lpwstr>
  </property>
  <property fmtid="{D5CDD505-2E9C-101B-9397-08002B2CF9AE}" pid="18" name="BZLX" linkTarget="BZLX">
    <vt:lpwstr>DB11</vt:lpwstr>
  </property>
  <property fmtid="{D5CDD505-2E9C-101B-9397-08002B2CF9AE}" pid="19" name="标准类型" linkTarget="标准类型">
    <vt:lpwstr>DB</vt:lpwstr>
  </property>
  <property fmtid="{D5CDD505-2E9C-101B-9397-08002B2CF9AE}" pid="20" name="FBDW" linkTarget="FBDW">
    <vt:lpwstr>北京市市场监督管理局</vt:lpwstr>
  </property>
  <property fmtid="{D5CDD505-2E9C-101B-9397-08002B2CF9AE}" pid="21" name="IMAGE" linkTarget="IMAGE">
    <vt:lpwstr/>
  </property>
  <property fmtid="{D5CDD505-2E9C-101B-9397-08002B2CF9AE}" pid="22" name="KSOTemplateDocerSaveRecord">
    <vt:lpwstr>eyJoZGlkIjoiODdhNDQzMTI5MmExZGM5MTY3MTlkYzM1OGM3NzNhMTYiLCJ1c2VySWQiOiIyNjU5MzkwMTIifQ==</vt:lpwstr>
  </property>
  <property fmtid="{D5CDD505-2E9C-101B-9397-08002B2CF9AE}" pid="23" name="KSOProductBuildVer">
    <vt:lpwstr>2052-12.1.0.20784</vt:lpwstr>
  </property>
</Properties>
</file>