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9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附件1</w:t>
      </w:r>
    </w:p>
    <w:p w14:paraId="6C7C1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6428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典型案例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申报模板</w:t>
      </w:r>
    </w:p>
    <w:p w14:paraId="4B485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（已建成在运项目）</w:t>
      </w:r>
    </w:p>
    <w:p w14:paraId="1A3C9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D9F1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清晰准确地反映项目的核心内容和特色。</w:t>
      </w:r>
    </w:p>
    <w:p w14:paraId="7C76FA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详细注明项目建设所在地的具体地址。</w:t>
      </w:r>
    </w:p>
    <w:p w14:paraId="3E9CF3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参与项目建设的主要单位名称，包括牵头单位和协作单位。</w:t>
      </w:r>
    </w:p>
    <w:p w14:paraId="5D01CD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建设规模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描述项目的供热面积、供热量、服务用户数量等规模指标。</w:t>
      </w:r>
    </w:p>
    <w:p w14:paraId="7CC848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明确项目建设中与供暖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供冷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直接相关的工程资金投入总额。</w:t>
      </w:r>
    </w:p>
    <w:p w14:paraId="22E59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4" w:firstLineChars="200"/>
        <w:jc w:val="both"/>
        <w:textAlignment w:val="auto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  <w:t>运行费用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  <w:t>明确项目运行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（1</w:t>
      </w:r>
      <w:r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  <w:t>个完整采暖季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  <w:t>的运营费用。</w:t>
      </w:r>
    </w:p>
    <w:p w14:paraId="072D6A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系统设计与运行：介绍供热系统的整体架构、设备选型、运行参数和控制策略，重点说明系统的高效性、稳定性和可靠性。</w:t>
      </w:r>
    </w:p>
    <w:p w14:paraId="7EAE07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技术运用：突出项目在技术方面的创新成果，如新型设备、先进工艺、智能化管理系统等，并详细说明这些创新技术对提高能源利用效率、降低碳排放、减少污染物排放等方面的作用。</w:t>
      </w:r>
    </w:p>
    <w:p w14:paraId="61BAAA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项目管理经验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总结项目建设和运营过程中的管理经验和成功做法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1FF48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实施效果与效益分析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：提供项目运行后的实际数据，分析项目节能减排效果、投资成本、运行成本、收益情况、投资回收期，评估项目的经济可行性、盈利能力和环保节能效果等经济及社会效益。</w:t>
      </w:r>
    </w:p>
    <w:p w14:paraId="0F6C49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项目管理经验：总结项目建设和运营过程中的管理经验和成功做法。</w:t>
      </w:r>
    </w:p>
    <w:p w14:paraId="4EDA37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技术推广建议：针对项目所采用的技术和模式，提出在行业内推广应用的建议和措施。</w:t>
      </w:r>
    </w:p>
    <w:p w14:paraId="77E727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可附上相关照片或者图纸。</w:t>
      </w:r>
    </w:p>
    <w:p w14:paraId="774C54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项目联系人及联系方式。</w:t>
      </w:r>
    </w:p>
    <w:p w14:paraId="109B558B">
      <w:pPr>
        <w:pStyle w:val="3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D262B20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F017EF2"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90EC186">
      <w:pPr>
        <w:pStyle w:val="3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61F2A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AB8B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07393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7393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1EBBB5"/>
    <w:multiLevelType w:val="singleLevel"/>
    <w:tmpl w:val="D11EBBB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F25F2"/>
    <w:rsid w:val="14E65D67"/>
    <w:rsid w:val="193C7E18"/>
    <w:rsid w:val="1B595169"/>
    <w:rsid w:val="246871D3"/>
    <w:rsid w:val="27361BB7"/>
    <w:rsid w:val="282B774A"/>
    <w:rsid w:val="3BFFD52B"/>
    <w:rsid w:val="3DCE6443"/>
    <w:rsid w:val="40347827"/>
    <w:rsid w:val="46B61F63"/>
    <w:rsid w:val="53AA5299"/>
    <w:rsid w:val="569B2864"/>
    <w:rsid w:val="5FAB2007"/>
    <w:rsid w:val="60485F5A"/>
    <w:rsid w:val="64494D68"/>
    <w:rsid w:val="69C0743E"/>
    <w:rsid w:val="6A43373E"/>
    <w:rsid w:val="7BC02843"/>
    <w:rsid w:val="BDFF8209"/>
    <w:rsid w:val="E4F194BB"/>
    <w:rsid w:val="EFFFC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snapToGrid w:val="0"/>
      <w:kern w:val="32"/>
      <w:sz w:val="30"/>
      <w:szCs w:val="30"/>
      <w:lang w:val="en-US" w:eastAsia="zh-CN" w:bidi="ar-SA"/>
    </w:rPr>
  </w:style>
  <w:style w:type="paragraph" w:styleId="5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UserStyle_4"/>
    <w:next w:val="1"/>
    <w:qFormat/>
    <w:uiPriority w:val="0"/>
    <w:pPr>
      <w:jc w:val="both"/>
      <w:textAlignment w:val="baseline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554</Characters>
  <Lines>0</Lines>
  <Paragraphs>0</Paragraphs>
  <TotalTime>0</TotalTime>
  <ScaleCrop>false</ScaleCrop>
  <LinksUpToDate>false</LinksUpToDate>
  <CharactersWithSpaces>568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2024-07-02T15:54:00Z</dcterms:created>
  <dc:creator>组织管理员</dc:creator>
  <cp:lastModifiedBy>洪硕</cp:lastModifiedBy>
  <dcterms:modified xsi:type="dcterms:W3CDTF">2026-03-03T08:33:57Z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4575990BEF6244EC9327A4B239A12657_13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