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Hlk128037141"/>
      <w:bookmarkStart w:id="24" w:name="_GoBack"/>
      <w:bookmarkEnd w:id="24"/>
      <w:r>
        <w:rPr>
          <w:rFonts w:hint="eastAsia" w:ascii="方正小标宋简体" w:eastAsia="方正小标宋简体"/>
          <w:sz w:val="44"/>
          <w:szCs w:val="44"/>
        </w:rPr>
        <w:t>北京市氢燃料电池汽车车用加氢站</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建设审批暂行办法</w:t>
      </w:r>
    </w:p>
    <w:bookmarkEnd w:id="0"/>
    <w:p>
      <w:pPr>
        <w:spacing w:line="520" w:lineRule="exact"/>
        <w:jc w:val="center"/>
        <w:outlineLvl w:val="0"/>
        <w:rPr>
          <w:rFonts w:ascii="黑体" w:hAnsi="黑体" w:eastAsia="黑体" w:cs="黑体"/>
          <w:bCs/>
        </w:rPr>
      </w:pPr>
    </w:p>
    <w:p>
      <w:pPr>
        <w:spacing w:line="560" w:lineRule="exact"/>
        <w:jc w:val="center"/>
        <w:outlineLvl w:val="0"/>
        <w:rPr>
          <w:rFonts w:ascii="黑体" w:hAnsi="黑体" w:eastAsia="黑体" w:cs="黑体"/>
          <w:bCs/>
        </w:rPr>
      </w:pPr>
      <w:r>
        <w:rPr>
          <w:rFonts w:hint="eastAsia" w:ascii="黑体" w:hAnsi="黑体" w:eastAsia="黑体" w:cs="黑体"/>
          <w:bCs/>
        </w:rPr>
        <w:t>第一章 总 则</w:t>
      </w:r>
    </w:p>
    <w:p>
      <w:pPr>
        <w:spacing w:line="560" w:lineRule="exact"/>
        <w:jc w:val="center"/>
        <w:rPr>
          <w:rFonts w:ascii="黑体" w:hAnsi="黑体" w:eastAsia="黑体" w:cs="黑体"/>
          <w:bCs/>
        </w:rPr>
      </w:pPr>
    </w:p>
    <w:p>
      <w:pPr>
        <w:spacing w:line="560" w:lineRule="exact"/>
        <w:ind w:firstLine="640" w:firstLineChars="200"/>
        <w:rPr>
          <w:rFonts w:ascii="仿宋_GB2312"/>
        </w:rPr>
      </w:pPr>
      <w:r>
        <w:rPr>
          <w:rFonts w:hint="eastAsia" w:ascii="黑体" w:hAnsi="黑体" w:eastAsia="黑体" w:cs="黑体"/>
          <w:bCs/>
        </w:rPr>
        <w:t>第一条</w:t>
      </w:r>
      <w:r>
        <w:rPr>
          <w:rFonts w:hint="eastAsia" w:ascii="仿宋_GB2312"/>
          <w:b/>
        </w:rPr>
        <w:t xml:space="preserve"> </w:t>
      </w:r>
      <w:r>
        <w:rPr>
          <w:rFonts w:hint="eastAsia" w:ascii="仿宋_GB2312"/>
        </w:rPr>
        <w:t>为规范本市氢燃料电池汽车车用加氢站（以下简称加氢站）建设审批程序，确保氢能产业健康发展，本着科学合理、安全规范的原则，根据国家相关管理规定，结合本市氢能产业发展政策，制定本办法。</w:t>
      </w:r>
    </w:p>
    <w:p>
      <w:pPr>
        <w:spacing w:line="560" w:lineRule="exact"/>
        <w:ind w:firstLine="640" w:firstLineChars="200"/>
        <w:rPr>
          <w:rFonts w:ascii="仿宋_GB2312"/>
        </w:rPr>
      </w:pPr>
      <w:r>
        <w:rPr>
          <w:rFonts w:hint="eastAsia" w:ascii="黑体" w:hAnsi="黑体" w:eastAsia="黑体" w:cs="黑体"/>
          <w:bCs/>
        </w:rPr>
        <w:t>第二条</w:t>
      </w:r>
      <w:r>
        <w:rPr>
          <w:rFonts w:hint="eastAsia" w:ascii="仿宋_GB2312"/>
        </w:rPr>
        <w:t xml:space="preserve"> 本办法适用于本市行政区域内新建和</w:t>
      </w:r>
      <w:r>
        <w:rPr>
          <w:rFonts w:ascii="仿宋_GB2312"/>
        </w:rPr>
        <w:t>改</w:t>
      </w:r>
      <w:r>
        <w:rPr>
          <w:rFonts w:hint="eastAsia" w:ascii="仿宋_GB2312"/>
        </w:rPr>
        <w:t>（</w:t>
      </w:r>
      <w:r>
        <w:rPr>
          <w:rFonts w:ascii="仿宋_GB2312"/>
        </w:rPr>
        <w:t>扩</w:t>
      </w:r>
      <w:r>
        <w:rPr>
          <w:rFonts w:hint="eastAsia" w:ascii="仿宋_GB2312"/>
        </w:rPr>
        <w:t>）</w:t>
      </w:r>
      <w:r>
        <w:rPr>
          <w:rFonts w:ascii="仿宋_GB2312"/>
        </w:rPr>
        <w:t>建</w:t>
      </w:r>
      <w:r>
        <w:rPr>
          <w:rFonts w:hint="eastAsia" w:ascii="仿宋_GB2312"/>
        </w:rPr>
        <w:t>加氢站的建设审批。</w:t>
      </w:r>
    </w:p>
    <w:p>
      <w:pPr>
        <w:spacing w:line="560" w:lineRule="exact"/>
        <w:ind w:firstLine="640" w:firstLineChars="200"/>
        <w:rPr>
          <w:rFonts w:ascii="仿宋_GB2312"/>
          <w:bCs/>
        </w:rPr>
      </w:pPr>
      <w:r>
        <w:rPr>
          <w:rFonts w:hint="eastAsia" w:ascii="黑体" w:hAnsi="黑体" w:eastAsia="黑体" w:cs="黑体"/>
          <w:bCs/>
        </w:rPr>
        <w:t>第三条</w:t>
      </w:r>
      <w:r>
        <w:rPr>
          <w:rFonts w:hint="eastAsia" w:ascii="仿宋_GB2312"/>
          <w:b/>
          <w:bCs/>
        </w:rPr>
        <w:t xml:space="preserve"> </w:t>
      </w:r>
      <w:bookmarkStart w:id="1" w:name="_Hlk97817525"/>
      <w:r>
        <w:rPr>
          <w:rFonts w:hint="eastAsia" w:ascii="仿宋_GB2312"/>
        </w:rPr>
        <w:t>本办法所称加氢站，是</w:t>
      </w:r>
      <w:bookmarkStart w:id="2" w:name="_Hlk87566172"/>
      <w:r>
        <w:rPr>
          <w:rFonts w:hint="eastAsia" w:ascii="仿宋_GB2312"/>
        </w:rPr>
        <w:t>指为氢燃料电池汽车储氢瓶充装氢燃料的专门场所，包括单独建设的加氢站和综合能源站中的加氢部分。</w:t>
      </w:r>
      <w:bookmarkEnd w:id="2"/>
      <w:r>
        <w:rPr>
          <w:rFonts w:hint="eastAsia" w:ascii="仿宋_GB2312"/>
        </w:rPr>
        <w:t>其中，</w:t>
      </w:r>
      <w:r>
        <w:rPr>
          <w:rFonts w:hint="eastAsia" w:ascii="仿宋_GB2312"/>
          <w:bCs/>
        </w:rPr>
        <w:t>综合能源站是新型交通能源供应站，是集充（换）电、加汽（柴）油、加气和加氢等两种或两种以上供给服务功能为一体的综合能源基础服务设施。</w:t>
      </w:r>
    </w:p>
    <w:bookmarkEnd w:id="1"/>
    <w:p>
      <w:pPr>
        <w:spacing w:line="560" w:lineRule="exact"/>
        <w:ind w:firstLine="640" w:firstLineChars="200"/>
        <w:rPr>
          <w:rFonts w:ascii="仿宋_GB2312" w:hAnsi="华文中宋"/>
          <w:szCs w:val="30"/>
        </w:rPr>
      </w:pPr>
      <w:r>
        <w:rPr>
          <w:rFonts w:hint="eastAsia" w:ascii="黑体" w:hAnsi="黑体" w:eastAsia="黑体" w:cs="黑体"/>
        </w:rPr>
        <w:t>第四条</w:t>
      </w:r>
      <w:r>
        <w:rPr>
          <w:rFonts w:hint="eastAsia" w:ascii="仿宋_GB2312"/>
        </w:rPr>
        <w:t xml:space="preserve"> </w:t>
      </w:r>
      <w:bookmarkStart w:id="3" w:name="_Hlk87880660"/>
      <w:r>
        <w:rPr>
          <w:rFonts w:hint="eastAsia" w:ascii="仿宋_GB2312" w:hAnsi="华文中宋"/>
          <w:szCs w:val="30"/>
        </w:rPr>
        <w:t>城市管理部门牵头负责本市加氢站的建设审批工作。发展改革、规划自然资源、住房城乡建设、交通、市场监管、公安交管、气象等部门按照职责，做好加氢站建设审批的相关工作。市城市管理委会同有关部门制定本市单独建设的加氢站和集充（换）电、加汽（柴）油、加气和加氢等两种或两种以上功能为一体的综合能源站的安全建设运营技术标准，并加强建设运营安全监管。</w:t>
      </w:r>
    </w:p>
    <w:bookmarkEnd w:id="3"/>
    <w:p>
      <w:pPr>
        <w:spacing w:line="560" w:lineRule="exact"/>
        <w:ind w:firstLine="0" w:firstLineChars="0"/>
        <w:jc w:val="center"/>
        <w:outlineLvl w:val="0"/>
        <w:rPr>
          <w:rFonts w:ascii="黑体" w:hAnsi="黑体" w:eastAsia="黑体" w:cs="黑体"/>
          <w:bCs/>
        </w:rPr>
      </w:pPr>
    </w:p>
    <w:p>
      <w:pPr>
        <w:spacing w:line="560" w:lineRule="exact"/>
        <w:jc w:val="center"/>
        <w:outlineLvl w:val="0"/>
        <w:rPr>
          <w:rFonts w:ascii="黑体" w:hAnsi="黑体" w:eastAsia="黑体" w:cs="黑体"/>
          <w:bCs/>
        </w:rPr>
      </w:pPr>
      <w:r>
        <w:rPr>
          <w:rFonts w:hint="default" w:ascii="黑体" w:hAnsi="黑体" w:eastAsia="黑体" w:cs="黑体"/>
          <w:bCs/>
        </w:rPr>
        <w:t>第二章 规划和建设</w:t>
      </w:r>
    </w:p>
    <w:p>
      <w:pPr>
        <w:spacing w:line="560" w:lineRule="exact"/>
        <w:ind w:firstLine="0" w:firstLineChars="0"/>
        <w:jc w:val="center"/>
        <w:outlineLvl w:val="0"/>
        <w:rPr>
          <w:rFonts w:ascii="黑体" w:hAnsi="黑体" w:eastAsia="黑体" w:cs="黑体"/>
          <w:bCs/>
        </w:rPr>
      </w:pPr>
    </w:p>
    <w:p>
      <w:pPr>
        <w:spacing w:line="560" w:lineRule="exact"/>
        <w:ind w:firstLine="640" w:firstLineChars="200"/>
        <w:rPr>
          <w:rFonts w:ascii="仿宋_GB2312"/>
        </w:rPr>
      </w:pPr>
      <w:r>
        <w:rPr>
          <w:rFonts w:hint="eastAsia" w:ascii="黑体" w:hAnsi="黑体" w:eastAsia="黑体" w:cs="黑体"/>
        </w:rPr>
        <w:t>第五条</w:t>
      </w:r>
      <w:r>
        <w:rPr>
          <w:rFonts w:hint="eastAsia" w:ascii="仿宋_GB2312"/>
        </w:rPr>
        <w:t xml:space="preserve"> 市城市管理委会同市发展改革委、市规划自然资源委等部门编制市级加氢站发展规划，报市政府批准后实施。各区政府可结合区域产业发展实际，在市级规划基础上，研究制定各区加氢站发展规划，并报送市城市管理委、市发展改革委、市规划自然资源委。规划中涉及城市空间资源的内容，应当符合本市相应层级的国土空间规划。</w:t>
      </w:r>
    </w:p>
    <w:p>
      <w:pPr>
        <w:spacing w:line="560" w:lineRule="exact"/>
        <w:ind w:firstLine="640" w:firstLineChars="200"/>
        <w:rPr>
          <w:rFonts w:ascii="仿宋_GB2312"/>
        </w:rPr>
      </w:pPr>
      <w:r>
        <w:rPr>
          <w:rFonts w:hint="eastAsia" w:ascii="黑体" w:hAnsi="黑体" w:eastAsia="黑体" w:cs="黑体"/>
        </w:rPr>
        <w:t>第六条</w:t>
      </w:r>
      <w:r>
        <w:rPr>
          <w:rFonts w:hint="eastAsia" w:ascii="仿宋_GB2312"/>
        </w:rPr>
        <w:t xml:space="preserve"> </w:t>
      </w:r>
      <w:bookmarkStart w:id="4" w:name="_Hlk87856585"/>
      <w:r>
        <w:rPr>
          <w:rFonts w:hint="eastAsia" w:ascii="仿宋_GB2312"/>
        </w:rPr>
        <w:t>加氢站新建和改（扩）建，应当符合本市加氢站发展规划。</w:t>
      </w:r>
      <w:bookmarkEnd w:id="4"/>
      <w:bookmarkStart w:id="5" w:name="_Hlk87880912"/>
      <w:r>
        <w:rPr>
          <w:rFonts w:hint="eastAsia" w:ascii="仿宋_GB2312"/>
        </w:rPr>
        <w:t>已经纳入国土空间规划的加氢站建设用地，未经法定程序调整规划，不得改变用途。</w:t>
      </w:r>
      <w:bookmarkEnd w:id="5"/>
    </w:p>
    <w:p>
      <w:pPr>
        <w:spacing w:line="560" w:lineRule="exact"/>
        <w:ind w:firstLine="640" w:firstLineChars="200"/>
        <w:rPr>
          <w:rFonts w:ascii="仿宋_GB2312"/>
        </w:rPr>
      </w:pPr>
      <w:r>
        <w:rPr>
          <w:rFonts w:hint="eastAsia" w:ascii="黑体" w:hAnsi="黑体" w:eastAsia="黑体" w:cs="黑体"/>
        </w:rPr>
        <w:t xml:space="preserve">第七条 </w:t>
      </w:r>
      <w:bookmarkStart w:id="6" w:name="_Hlk87880833"/>
      <w:r>
        <w:rPr>
          <w:rFonts w:hint="eastAsia" w:ascii="仿宋_GB2312"/>
        </w:rPr>
        <w:t>加氢站新建和改（扩）建项目，应当符合《加氢站技术规范》（GB50516）、《汽车加油加气加氢站技术标准》（GB50156）要求，并由具有相应评价和设计资质的单位进行安全评价和安全设施设计</w:t>
      </w:r>
      <w:bookmarkStart w:id="7" w:name="_Hlk87880927"/>
      <w:r>
        <w:rPr>
          <w:rFonts w:hint="eastAsia" w:ascii="仿宋_GB2312"/>
        </w:rPr>
        <w:t>，安全设施必须与主体工程</w:t>
      </w:r>
      <w:bookmarkStart w:id="8" w:name="_Hlk87856706"/>
      <w:r>
        <w:rPr>
          <w:rFonts w:hint="eastAsia" w:ascii="仿宋_GB2312"/>
        </w:rPr>
        <w:t>同时设计、同时施工、同时投入使用</w:t>
      </w:r>
      <w:bookmarkEnd w:id="7"/>
      <w:bookmarkEnd w:id="8"/>
      <w:r>
        <w:rPr>
          <w:rFonts w:hint="eastAsia" w:ascii="仿宋_GB2312"/>
        </w:rPr>
        <w:t>。</w:t>
      </w:r>
      <w:bookmarkEnd w:id="6"/>
    </w:p>
    <w:p>
      <w:pPr>
        <w:spacing w:line="560" w:lineRule="exact"/>
        <w:ind w:firstLine="640" w:firstLineChars="200"/>
        <w:rPr>
          <w:rFonts w:ascii="仿宋_GB2312"/>
        </w:rPr>
      </w:pPr>
      <w:r>
        <w:rPr>
          <w:rFonts w:hint="eastAsia" w:ascii="黑体" w:hAnsi="黑体" w:eastAsia="黑体" w:cs="黑体"/>
        </w:rPr>
        <w:t>第八条</w:t>
      </w:r>
      <w:r>
        <w:rPr>
          <w:rFonts w:hint="eastAsia" w:ascii="仿宋_GB2312"/>
        </w:rPr>
        <w:t xml:space="preserve"> </w:t>
      </w:r>
      <w:bookmarkStart w:id="9" w:name="_Hlk87880940"/>
      <w:r>
        <w:rPr>
          <w:rFonts w:hint="eastAsia" w:ascii="仿宋_GB2312"/>
        </w:rPr>
        <w:t>加氢站新建和改（扩）建，建设单位应当按照规定</w:t>
      </w:r>
      <w:r>
        <w:rPr>
          <w:rFonts w:hint="eastAsia" w:ascii="仿宋_GB2312"/>
          <w:spacing w:val="-6"/>
        </w:rPr>
        <w:t>选择具有相应等级资质的单位进行工程设计，并负责组织竣工验收。</w:t>
      </w:r>
      <w:bookmarkEnd w:id="9"/>
    </w:p>
    <w:p>
      <w:pPr>
        <w:spacing w:line="560" w:lineRule="exact"/>
        <w:ind w:firstLine="640" w:firstLineChars="200"/>
        <w:rPr>
          <w:rFonts w:ascii="仿宋_GB2312"/>
        </w:rPr>
      </w:pPr>
      <w:r>
        <w:rPr>
          <w:rFonts w:hint="eastAsia" w:ascii="黑体" w:hAnsi="黑体" w:eastAsia="黑体" w:cs="黑体"/>
        </w:rPr>
        <w:t xml:space="preserve">第九条 </w:t>
      </w:r>
      <w:bookmarkStart w:id="10" w:name="_Hlk87880958"/>
      <w:r>
        <w:rPr>
          <w:rFonts w:hint="eastAsia" w:ascii="仿宋_GB2312"/>
        </w:rPr>
        <w:t>加氢站新建和改（扩）建，建设单位应当按照国家和本市档案管理规定，收集、整理项目建设各环节的文件资料，建立健全项目建设档案，并在项目竣工验收后6个月内向城市建设档案机构移交齐全、准确的项目建设档案。</w:t>
      </w:r>
    </w:p>
    <w:bookmarkEnd w:id="10"/>
    <w:p>
      <w:pPr>
        <w:spacing w:line="560" w:lineRule="exact"/>
        <w:ind w:firstLine="640" w:firstLineChars="200"/>
        <w:rPr>
          <w:rFonts w:ascii="仿宋_GB2312"/>
        </w:rPr>
      </w:pPr>
      <w:r>
        <w:rPr>
          <w:rFonts w:hint="eastAsia" w:ascii="仿宋_GB2312"/>
        </w:rPr>
        <w:t>对站内设施实施更新改造的，应当在竣工验收后更新设施的建设档案，并办理建设档案移交手续。</w:t>
      </w:r>
    </w:p>
    <w:p>
      <w:pPr>
        <w:spacing w:after="0" w:line="560" w:lineRule="exact"/>
        <w:ind w:firstLine="320" w:firstLineChars="100"/>
      </w:pPr>
    </w:p>
    <w:p>
      <w:pPr>
        <w:spacing w:line="560" w:lineRule="exact"/>
        <w:jc w:val="center"/>
        <w:outlineLvl w:val="0"/>
        <w:rPr>
          <w:rFonts w:ascii="黑体" w:hAnsi="黑体" w:eastAsia="黑体" w:cs="黑体"/>
          <w:bCs/>
        </w:rPr>
      </w:pPr>
      <w:r>
        <w:rPr>
          <w:rFonts w:hint="eastAsia" w:ascii="黑体" w:hAnsi="黑体" w:eastAsia="黑体" w:cs="黑体"/>
          <w:bCs/>
        </w:rPr>
        <w:t>第三章 新建加氢站审批程序</w:t>
      </w:r>
    </w:p>
    <w:p>
      <w:pPr>
        <w:spacing w:line="560" w:lineRule="exact"/>
        <w:ind w:firstLine="640" w:firstLineChars="200"/>
        <w:rPr>
          <w:rFonts w:ascii="仿宋_GB2312"/>
        </w:rPr>
      </w:pPr>
    </w:p>
    <w:p>
      <w:pPr>
        <w:spacing w:line="560" w:lineRule="exact"/>
        <w:ind w:firstLine="640" w:firstLineChars="200"/>
        <w:rPr>
          <w:rFonts w:ascii="仿宋_GB2312"/>
        </w:rPr>
      </w:pPr>
      <w:r>
        <w:rPr>
          <w:rFonts w:hint="eastAsia" w:ascii="黑体" w:hAnsi="黑体" w:eastAsia="黑体"/>
        </w:rPr>
        <w:t xml:space="preserve">第十条 </w:t>
      </w:r>
      <w:bookmarkStart w:id="11" w:name="_Hlk87857355"/>
      <w:r>
        <w:rPr>
          <w:rFonts w:hint="eastAsia" w:ascii="仿宋_GB2312"/>
        </w:rPr>
        <w:t>加氢站建设用地应为本市国土空间规划确定为城乡建设用地，利用已有土地开发建设的，应提供土地出让合同、划拨决定书、不动产权证书等材料。</w:t>
      </w:r>
      <w:bookmarkEnd w:id="11"/>
      <w:r>
        <w:rPr>
          <w:rFonts w:hint="eastAsia" w:ascii="仿宋_GB2312"/>
        </w:rPr>
        <w:t>项目单位依法向规划自然资源部门提出加氢站建设用地申请。</w:t>
      </w:r>
    </w:p>
    <w:p>
      <w:pPr>
        <w:spacing w:line="560" w:lineRule="exact"/>
        <w:ind w:firstLine="640" w:firstLineChars="200"/>
        <w:rPr>
          <w:rFonts w:ascii="仿宋_GB2312"/>
        </w:rPr>
      </w:pPr>
      <w:r>
        <w:rPr>
          <w:rFonts w:hint="eastAsia" w:ascii="仿宋_GB2312"/>
        </w:rPr>
        <w:t>国有建设用地使用权按照国家土地管理相关规定执行，以出让形式取得。经依法登记的集体经营性建设用地，土地所有权人可以通过出让、出租等方式交由单位或者个人使用，并应当签订书面合同，载明土地界址、面积、动工期限、使用期限、土地用途、规划条件和双方其他权利义务。</w:t>
      </w:r>
    </w:p>
    <w:p>
      <w:pPr>
        <w:spacing w:line="560" w:lineRule="exact"/>
        <w:ind w:firstLine="640" w:firstLineChars="200"/>
        <w:rPr>
          <w:rFonts w:ascii="仿宋_GB2312"/>
        </w:rPr>
      </w:pPr>
      <w:r>
        <w:rPr>
          <w:rFonts w:hint="eastAsia" w:ascii="黑体" w:hAnsi="黑体" w:eastAsia="黑体" w:cs="黑体"/>
        </w:rPr>
        <w:t xml:space="preserve">第十一条 </w:t>
      </w:r>
      <w:r>
        <w:rPr>
          <w:rFonts w:hint="eastAsia" w:ascii="仿宋_GB2312"/>
        </w:rPr>
        <w:t>加氢站建设需办理的手续。</w:t>
      </w:r>
    </w:p>
    <w:p>
      <w:pPr>
        <w:spacing w:line="560" w:lineRule="exact"/>
        <w:ind w:firstLine="640" w:firstLineChars="200"/>
        <w:rPr>
          <w:rFonts w:ascii="仿宋_GB2312"/>
        </w:rPr>
      </w:pPr>
      <w:r>
        <w:rPr>
          <w:rFonts w:hint="eastAsia" w:ascii="仿宋_GB2312"/>
        </w:rPr>
        <w:t>（一）项目可行性意见。</w:t>
      </w:r>
    </w:p>
    <w:p>
      <w:pPr>
        <w:spacing w:line="560" w:lineRule="exact"/>
        <w:ind w:firstLine="640" w:firstLineChars="200"/>
        <w:rPr>
          <w:rFonts w:ascii="仿宋_GB2312"/>
        </w:rPr>
      </w:pPr>
      <w:r>
        <w:rPr>
          <w:rFonts w:hint="eastAsia" w:ascii="仿宋_GB2312"/>
        </w:rPr>
        <w:t>市城市管理委结合本市加氢站发展规划，对项目位置、场地条件、服务对象等内容提出可行性意见。</w:t>
      </w:r>
    </w:p>
    <w:p>
      <w:pPr>
        <w:spacing w:line="560" w:lineRule="exact"/>
        <w:ind w:firstLine="640" w:firstLineChars="200"/>
        <w:rPr>
          <w:rFonts w:ascii="仿宋_GB2312"/>
        </w:rPr>
      </w:pPr>
      <w:r>
        <w:rPr>
          <w:rFonts w:hint="eastAsia" w:ascii="仿宋_GB2312"/>
        </w:rPr>
        <w:t>（二）项目开工建设前办理下列手续：</w:t>
      </w:r>
    </w:p>
    <w:p>
      <w:pPr>
        <w:spacing w:line="560" w:lineRule="exact"/>
        <w:ind w:firstLine="640" w:firstLineChars="200"/>
        <w:rPr>
          <w:rFonts w:ascii="仿宋_GB2312"/>
        </w:rPr>
      </w:pPr>
      <w:r>
        <w:rPr>
          <w:rFonts w:hint="eastAsia" w:ascii="仿宋_GB2312"/>
        </w:rPr>
        <w:t>规划自然资源部门办理多规合一审查意见、选址意见书、建设工程规划许可等规划手续及消防设计审查。</w:t>
      </w:r>
    </w:p>
    <w:p>
      <w:pPr>
        <w:snapToGrid w:val="0"/>
        <w:spacing w:line="560" w:lineRule="exact"/>
        <w:ind w:firstLine="640" w:firstLineChars="200"/>
        <w:rPr>
          <w:rFonts w:ascii="仿宋_GB2312"/>
          <w:b/>
          <w:bCs/>
        </w:rPr>
      </w:pPr>
      <w:r>
        <w:rPr>
          <w:rFonts w:hint="eastAsia" w:ascii="仿宋_GB2312"/>
        </w:rPr>
        <w:t>发展改革部门进行项目备案，对综合能源站中除加氢部分外的设施按照对应法规制度进行审批管理。</w:t>
      </w:r>
    </w:p>
    <w:p>
      <w:pPr>
        <w:spacing w:line="560" w:lineRule="exact"/>
        <w:ind w:firstLine="640" w:firstLineChars="200"/>
        <w:rPr>
          <w:rFonts w:ascii="仿宋_GB2312"/>
        </w:rPr>
      </w:pPr>
      <w:r>
        <w:rPr>
          <w:rFonts w:hint="eastAsia" w:ascii="仿宋_GB2312"/>
        </w:rPr>
        <w:t>以下手续可并联办理：</w:t>
      </w:r>
    </w:p>
    <w:p>
      <w:pPr>
        <w:spacing w:line="560" w:lineRule="exact"/>
        <w:ind w:firstLine="640" w:firstLineChars="200"/>
        <w:rPr>
          <w:rFonts w:ascii="仿宋_GB2312"/>
        </w:rPr>
      </w:pPr>
      <w:r>
        <w:rPr>
          <w:rFonts w:hint="eastAsia" w:ascii="仿宋_GB2312"/>
        </w:rPr>
        <w:t>应急部门配合城市管理部门参加安全预评价和安全设施设计评审。</w:t>
      </w:r>
    </w:p>
    <w:p>
      <w:pPr>
        <w:spacing w:line="560" w:lineRule="exact"/>
        <w:ind w:firstLine="640" w:firstLineChars="200"/>
        <w:rPr>
          <w:rFonts w:ascii="仿宋_GB2312"/>
        </w:rPr>
      </w:pPr>
      <w:r>
        <w:rPr>
          <w:rFonts w:hint="eastAsia" w:ascii="仿宋_GB2312"/>
        </w:rPr>
        <w:t>气象部门出具《雷电防护装置设计核准意见书》。</w:t>
      </w:r>
    </w:p>
    <w:p>
      <w:pPr>
        <w:spacing w:line="560" w:lineRule="exact"/>
        <w:ind w:firstLine="640" w:firstLineChars="200"/>
        <w:rPr>
          <w:rFonts w:ascii="仿宋_GB2312"/>
        </w:rPr>
      </w:pPr>
      <w:r>
        <w:rPr>
          <w:rFonts w:hint="eastAsia" w:ascii="仿宋_GB2312"/>
        </w:rPr>
        <w:t>公安交管部门办理《影响交通安全的占道施工许可证》。</w:t>
      </w:r>
    </w:p>
    <w:p>
      <w:pPr>
        <w:spacing w:line="560" w:lineRule="exact"/>
        <w:ind w:firstLine="640" w:firstLineChars="200"/>
        <w:rPr>
          <w:rFonts w:ascii="仿宋_GB2312"/>
        </w:rPr>
      </w:pPr>
      <w:r>
        <w:rPr>
          <w:rFonts w:hint="eastAsia" w:ascii="仿宋_GB2312"/>
        </w:rPr>
        <w:t>住房城乡建设部门依法对配套房屋建筑工程办理《建筑工程施工许可证》。</w:t>
      </w:r>
    </w:p>
    <w:p>
      <w:pPr>
        <w:spacing w:line="560" w:lineRule="exact"/>
        <w:ind w:firstLine="640" w:firstLineChars="200"/>
        <w:rPr>
          <w:rFonts w:ascii="仿宋_GB2312"/>
        </w:rPr>
      </w:pPr>
      <w:r>
        <w:rPr>
          <w:rFonts w:hint="eastAsia" w:ascii="仿宋_GB2312"/>
        </w:rPr>
        <w:t>（三）项目开展建设，竣工验收后办理下列手续：</w:t>
      </w:r>
    </w:p>
    <w:p>
      <w:pPr>
        <w:spacing w:line="560" w:lineRule="exact"/>
        <w:ind w:firstLine="640" w:firstLineChars="200"/>
        <w:rPr>
          <w:rFonts w:ascii="仿宋_GB2312"/>
        </w:rPr>
      </w:pPr>
      <w:r>
        <w:rPr>
          <w:rFonts w:hint="eastAsia" w:ascii="仿宋_GB2312"/>
        </w:rPr>
        <w:t>规划自然资源部门办理相应规划核验手续。</w:t>
      </w:r>
    </w:p>
    <w:p>
      <w:pPr>
        <w:spacing w:line="560" w:lineRule="exact"/>
        <w:ind w:firstLine="640" w:firstLineChars="200"/>
        <w:rPr>
          <w:rFonts w:ascii="仿宋_GB2312"/>
        </w:rPr>
      </w:pPr>
      <w:r>
        <w:rPr>
          <w:rFonts w:hint="eastAsia" w:ascii="仿宋_GB2312"/>
        </w:rPr>
        <w:t>住房城乡建设部门依法对未申请联合验收的配套房屋建筑工程办理工程竣工验收备案手续，对申请联合验收的配套房屋建筑工程牵头开展联合验收工作，依法、依职责开展建设工程消防验收工作，办理《建设工程消防验收意见书》。</w:t>
      </w:r>
    </w:p>
    <w:p>
      <w:pPr>
        <w:spacing w:line="560" w:lineRule="exact"/>
        <w:ind w:firstLine="640" w:firstLineChars="200"/>
        <w:rPr>
          <w:rFonts w:ascii="仿宋_GB2312"/>
        </w:rPr>
      </w:pPr>
      <w:r>
        <w:rPr>
          <w:rFonts w:hint="eastAsia" w:ascii="仿宋_GB2312"/>
        </w:rPr>
        <w:t>以下手续可并联办理：</w:t>
      </w:r>
    </w:p>
    <w:p>
      <w:pPr>
        <w:spacing w:line="560" w:lineRule="exact"/>
        <w:ind w:firstLine="640" w:firstLineChars="200"/>
        <w:rPr>
          <w:rFonts w:ascii="仿宋_GB2312"/>
        </w:rPr>
      </w:pPr>
      <w:r>
        <w:rPr>
          <w:rFonts w:hint="eastAsia" w:ascii="仿宋_GB2312"/>
        </w:rPr>
        <w:t>气象部门出具《雷电防护装置验收意见书》。</w:t>
      </w:r>
    </w:p>
    <w:p>
      <w:pPr>
        <w:spacing w:line="560" w:lineRule="exact"/>
        <w:ind w:firstLine="640" w:firstLineChars="200"/>
        <w:rPr>
          <w:rFonts w:ascii="仿宋_GB2312"/>
        </w:rPr>
      </w:pPr>
      <w:r>
        <w:rPr>
          <w:rFonts w:hint="eastAsia" w:ascii="仿宋_GB2312"/>
        </w:rPr>
        <w:t>市场监管部门负责依法办理</w:t>
      </w:r>
      <w:bookmarkStart w:id="12" w:name="_Hlk128037754"/>
      <w:r>
        <w:rPr>
          <w:rFonts w:hint="eastAsia" w:ascii="仿宋_GB2312"/>
        </w:rPr>
        <w:t>《特种设备使用登记证》和《气瓶充装许可证》</w:t>
      </w:r>
      <w:bookmarkEnd w:id="12"/>
      <w:r>
        <w:rPr>
          <w:rFonts w:hint="eastAsia" w:ascii="仿宋_GB2312"/>
        </w:rPr>
        <w:t>，依法发放特种设备作业人员证书，办理《营业执照》。</w:t>
      </w:r>
    </w:p>
    <w:p>
      <w:pPr>
        <w:spacing w:line="560" w:lineRule="exact"/>
        <w:ind w:firstLine="640" w:firstLineChars="200"/>
        <w:rPr>
          <w:rFonts w:ascii="仿宋_GB2312"/>
        </w:rPr>
      </w:pPr>
      <w:r>
        <w:rPr>
          <w:rFonts w:hint="eastAsia" w:ascii="仿宋_GB2312"/>
        </w:rPr>
        <w:t>交通部门办理加氢站开设道口占掘路行政许可手续。</w:t>
      </w:r>
    </w:p>
    <w:p>
      <w:pPr>
        <w:spacing w:line="560" w:lineRule="exact"/>
        <w:ind w:firstLine="640" w:firstLineChars="200"/>
        <w:rPr>
          <w:rFonts w:ascii="仿宋_GB2312"/>
        </w:rPr>
      </w:pPr>
      <w:r>
        <w:rPr>
          <w:rFonts w:hint="eastAsia" w:ascii="仿宋_GB2312"/>
        </w:rPr>
        <w:t>城市管理部门根据《北京市燃气管理条例》，办理《燃气经营许可》（氢燃料电池汽车车用加氢站）；涉及综合能源站加气部分的储供气装置及管线新建、改（扩）建的，办理《燃气经营许可》（燃气汽车加气站）。</w:t>
      </w:r>
    </w:p>
    <w:p>
      <w:pPr>
        <w:spacing w:line="560" w:lineRule="exact"/>
        <w:ind w:firstLine="640" w:firstLineChars="200"/>
        <w:rPr>
          <w:rFonts w:ascii="仿宋_GB2312"/>
        </w:rPr>
      </w:pPr>
      <w:r>
        <w:rPr>
          <w:rFonts w:hint="eastAsia" w:ascii="黑体" w:hAnsi="黑体" w:eastAsia="黑体" w:cs="黑体"/>
        </w:rPr>
        <w:t xml:space="preserve">第十二条 </w:t>
      </w:r>
      <w:r>
        <w:rPr>
          <w:rFonts w:hint="eastAsia" w:ascii="仿宋_GB2312"/>
        </w:rPr>
        <w:t>综合能源站中加氢以外部分的建设按照本市现行建设审批规定执行。</w:t>
      </w:r>
    </w:p>
    <w:p>
      <w:pPr>
        <w:spacing w:line="560" w:lineRule="exact"/>
        <w:rPr>
          <w:rFonts w:ascii="黑体" w:hAnsi="黑体" w:eastAsia="黑体" w:cs="黑体"/>
          <w:bCs/>
        </w:rPr>
      </w:pPr>
    </w:p>
    <w:p>
      <w:pPr>
        <w:spacing w:line="560" w:lineRule="exact"/>
        <w:jc w:val="center"/>
        <w:outlineLvl w:val="0"/>
        <w:rPr>
          <w:rFonts w:ascii="黑体" w:hAnsi="黑体" w:eastAsia="黑体" w:cs="黑体"/>
          <w:bCs/>
        </w:rPr>
      </w:pPr>
      <w:r>
        <w:rPr>
          <w:rFonts w:hint="eastAsia" w:ascii="黑体" w:hAnsi="黑体" w:eastAsia="黑体" w:cs="黑体"/>
          <w:bCs/>
        </w:rPr>
        <w:t xml:space="preserve">第四章 </w:t>
      </w:r>
      <w:r>
        <w:rPr>
          <w:rFonts w:ascii="黑体" w:hAnsi="黑体" w:eastAsia="黑体" w:cs="黑体"/>
          <w:bCs/>
        </w:rPr>
        <w:t>改</w:t>
      </w:r>
      <w:r>
        <w:rPr>
          <w:rFonts w:hint="eastAsia" w:ascii="黑体" w:hAnsi="黑体" w:eastAsia="黑体" w:cs="黑体"/>
          <w:bCs/>
        </w:rPr>
        <w:t>（</w:t>
      </w:r>
      <w:r>
        <w:rPr>
          <w:rFonts w:ascii="黑体" w:hAnsi="黑体" w:eastAsia="黑体" w:cs="黑体"/>
          <w:bCs/>
        </w:rPr>
        <w:t>扩</w:t>
      </w:r>
      <w:r>
        <w:rPr>
          <w:rFonts w:hint="eastAsia" w:ascii="黑体" w:hAnsi="黑体" w:eastAsia="黑体" w:cs="黑体"/>
          <w:bCs/>
        </w:rPr>
        <w:t>）</w:t>
      </w:r>
      <w:r>
        <w:rPr>
          <w:rFonts w:ascii="黑体" w:hAnsi="黑体" w:eastAsia="黑体" w:cs="黑体"/>
          <w:bCs/>
        </w:rPr>
        <w:t>建</w:t>
      </w:r>
      <w:r>
        <w:rPr>
          <w:rFonts w:hint="eastAsia" w:ascii="黑体" w:hAnsi="黑体" w:eastAsia="黑体" w:cs="黑体"/>
          <w:bCs/>
        </w:rPr>
        <w:t>加氢站审批程序</w:t>
      </w:r>
    </w:p>
    <w:p>
      <w:pPr>
        <w:spacing w:after="0" w:line="560" w:lineRule="exact"/>
      </w:pPr>
    </w:p>
    <w:p>
      <w:pPr>
        <w:spacing w:line="560" w:lineRule="exact"/>
        <w:ind w:firstLine="640" w:firstLineChars="200"/>
        <w:rPr>
          <w:rFonts w:ascii="仿宋_GB2312"/>
        </w:rPr>
      </w:pPr>
      <w:r>
        <w:rPr>
          <w:rFonts w:hint="eastAsia" w:ascii="黑体" w:hAnsi="黑体" w:eastAsia="黑体" w:cs="黑体"/>
          <w:bCs/>
        </w:rPr>
        <w:t xml:space="preserve">第十三条 </w:t>
      </w:r>
      <w:r>
        <w:rPr>
          <w:rFonts w:hint="eastAsia" w:ascii="仿宋_GB2312"/>
        </w:rPr>
        <w:t>改（</w:t>
      </w:r>
      <w:r>
        <w:rPr>
          <w:rFonts w:ascii="仿宋_GB2312"/>
        </w:rPr>
        <w:t>扩</w:t>
      </w:r>
      <w:r>
        <w:rPr>
          <w:rFonts w:hint="eastAsia" w:ascii="仿宋_GB2312"/>
        </w:rPr>
        <w:t>）</w:t>
      </w:r>
      <w:r>
        <w:rPr>
          <w:rFonts w:ascii="仿宋_GB2312"/>
        </w:rPr>
        <w:t>建</w:t>
      </w:r>
      <w:r>
        <w:rPr>
          <w:rFonts w:hint="eastAsia" w:ascii="仿宋_GB2312"/>
        </w:rPr>
        <w:t>加氢站参照新建加氢站审批程序办理。</w:t>
      </w:r>
    </w:p>
    <w:p>
      <w:pPr>
        <w:spacing w:line="560" w:lineRule="exact"/>
        <w:ind w:firstLine="640" w:firstLineChars="200"/>
        <w:rPr>
          <w:rFonts w:ascii="仿宋_GB2312"/>
        </w:rPr>
      </w:pPr>
      <w:r>
        <w:rPr>
          <w:rFonts w:hint="eastAsia" w:ascii="仿宋_GB2312"/>
        </w:rPr>
        <w:t>加氢站建（构）筑物改（</w:t>
      </w:r>
      <w:r>
        <w:rPr>
          <w:rFonts w:ascii="仿宋_GB2312"/>
        </w:rPr>
        <w:t>扩</w:t>
      </w:r>
      <w:r>
        <w:rPr>
          <w:rFonts w:hint="eastAsia" w:ascii="仿宋_GB2312"/>
        </w:rPr>
        <w:t>）</w:t>
      </w:r>
      <w:r>
        <w:rPr>
          <w:rFonts w:ascii="仿宋_GB2312"/>
        </w:rPr>
        <w:t>建</w:t>
      </w:r>
      <w:r>
        <w:rPr>
          <w:rFonts w:hint="eastAsia" w:ascii="仿宋_GB2312"/>
        </w:rPr>
        <w:t>，经本市相关部门办理变更和验收手续后即可运营。</w:t>
      </w:r>
    </w:p>
    <w:p>
      <w:pPr>
        <w:spacing w:line="560" w:lineRule="exact"/>
        <w:ind w:firstLine="642"/>
        <w:rPr>
          <w:rFonts w:ascii="仿宋_GB2312"/>
        </w:rPr>
      </w:pPr>
      <w:r>
        <w:rPr>
          <w:rFonts w:hint="eastAsia" w:ascii="仿宋_GB2312"/>
        </w:rPr>
        <w:t>加氢站设施、设备类（储供氢装置、压力管道、压缩机、加</w:t>
      </w:r>
      <w:r>
        <w:rPr>
          <w:rFonts w:hint="eastAsia" w:ascii="仿宋_GB2312"/>
          <w:spacing w:val="-6"/>
        </w:rPr>
        <w:t>氢机等）改造，经本市相关部门依法、依职责开展变更和验收工作。</w:t>
      </w:r>
    </w:p>
    <w:p>
      <w:pPr>
        <w:spacing w:line="560" w:lineRule="exact"/>
        <w:ind w:firstLine="640" w:firstLineChars="200"/>
        <w:rPr>
          <w:rFonts w:ascii="仿宋_GB2312"/>
        </w:rPr>
      </w:pPr>
      <w:r>
        <w:rPr>
          <w:rFonts w:hint="eastAsia" w:ascii="黑体" w:hAnsi="黑体" w:eastAsia="黑体" w:cs="黑体"/>
        </w:rPr>
        <w:t>第十四条</w:t>
      </w:r>
      <w:r>
        <w:rPr>
          <w:rFonts w:hint="eastAsia" w:ascii="仿宋_GB2312"/>
        </w:rPr>
        <w:t xml:space="preserve"> </w:t>
      </w:r>
      <w:bookmarkStart w:id="13" w:name="_Hlk87881570"/>
      <w:r>
        <w:rPr>
          <w:rFonts w:hint="eastAsia" w:ascii="仿宋_GB2312"/>
        </w:rPr>
        <w:t>既有加油站进行加油加氢合建</w:t>
      </w:r>
      <w:bookmarkEnd w:id="13"/>
      <w:r>
        <w:rPr>
          <w:rFonts w:hint="eastAsia" w:ascii="仿宋_GB2312"/>
        </w:rPr>
        <w:t>需办理的手续。</w:t>
      </w:r>
    </w:p>
    <w:p>
      <w:pPr>
        <w:spacing w:line="560" w:lineRule="exact"/>
        <w:ind w:firstLine="640" w:firstLineChars="200"/>
        <w:rPr>
          <w:rFonts w:ascii="仿宋_GB2312"/>
        </w:rPr>
      </w:pPr>
      <w:r>
        <w:rPr>
          <w:rFonts w:hint="eastAsia" w:ascii="仿宋_GB2312"/>
        </w:rPr>
        <w:t>（一）本市依法取得合法用地手续的国有、集体土地上建设的既有加油站均可进行加氢加油合建，并区分国有土地及集体土地边界，应满足以下条件：</w:t>
      </w:r>
    </w:p>
    <w:p>
      <w:pPr>
        <w:spacing w:line="560" w:lineRule="exact"/>
        <w:ind w:firstLine="641"/>
        <w:rPr>
          <w:rFonts w:ascii="仿宋_GB2312"/>
        </w:rPr>
      </w:pPr>
      <w:bookmarkStart w:id="14" w:name="_Hlk87881327"/>
      <w:r>
        <w:rPr>
          <w:rFonts w:hint="eastAsia" w:ascii="仿宋_GB2312"/>
        </w:rPr>
        <w:t>1.</w:t>
      </w:r>
      <w:bookmarkStart w:id="15" w:name="_Hlk87858669"/>
      <w:r>
        <w:rPr>
          <w:rFonts w:hint="eastAsia" w:ascii="仿宋_GB2312"/>
        </w:rPr>
        <w:t>已经纳入加氢站发展规划。</w:t>
      </w:r>
    </w:p>
    <w:p>
      <w:pPr>
        <w:spacing w:line="560" w:lineRule="exact"/>
        <w:ind w:firstLine="641"/>
        <w:rPr>
          <w:rFonts w:ascii="仿宋_GB2312"/>
        </w:rPr>
      </w:pPr>
      <w:r>
        <w:rPr>
          <w:rFonts w:hint="eastAsia" w:ascii="仿宋_GB2312"/>
        </w:rPr>
        <w:t>2.既有加油站符合规划要求，立项手续、危险化学品经营许可证、营业执照和成品油零售经营批准证齐全。</w:t>
      </w:r>
    </w:p>
    <w:p>
      <w:pPr>
        <w:spacing w:line="560" w:lineRule="exact"/>
        <w:ind w:firstLine="641"/>
        <w:rPr>
          <w:rFonts w:ascii="仿宋_GB2312"/>
        </w:rPr>
      </w:pPr>
      <w:r>
        <w:rPr>
          <w:rFonts w:hint="eastAsia" w:ascii="仿宋_GB2312"/>
        </w:rPr>
        <w:t>3.增加的加氢设备、设施按照《汽车加油加气加氢站技术标准》（G</w:t>
      </w:r>
      <w:r>
        <w:rPr>
          <w:rFonts w:ascii="仿宋_GB2312"/>
        </w:rPr>
        <w:t>B50156</w:t>
      </w:r>
      <w:r>
        <w:rPr>
          <w:rFonts w:hint="eastAsia" w:ascii="仿宋_GB2312"/>
        </w:rPr>
        <w:t>）等规范要求与加油站现有设备、设施及周边建（构）筑物等保持合理的安全间距。</w:t>
      </w:r>
    </w:p>
    <w:bookmarkEnd w:id="14"/>
    <w:bookmarkEnd w:id="15"/>
    <w:p>
      <w:pPr>
        <w:spacing w:line="560" w:lineRule="exact"/>
        <w:ind w:firstLine="641"/>
        <w:rPr>
          <w:rFonts w:ascii="仿宋_GB2312"/>
        </w:rPr>
      </w:pPr>
      <w:r>
        <w:rPr>
          <w:rFonts w:hint="eastAsia" w:ascii="仿宋_GB2312"/>
        </w:rPr>
        <w:t>（二）</w:t>
      </w:r>
      <w:bookmarkStart w:id="16" w:name="_Hlk87881468"/>
      <w:r>
        <w:rPr>
          <w:rFonts w:hint="eastAsia" w:ascii="仿宋_GB2312"/>
        </w:rPr>
        <w:t>有</w:t>
      </w:r>
      <w:bookmarkStart w:id="17" w:name="_Hlk87881596"/>
      <w:r>
        <w:rPr>
          <w:rFonts w:hint="eastAsia" w:ascii="仿宋_GB2312"/>
        </w:rPr>
        <w:t>新增建（构）筑物</w:t>
      </w:r>
      <w:bookmarkEnd w:id="17"/>
      <w:r>
        <w:rPr>
          <w:rFonts w:hint="eastAsia" w:ascii="仿宋_GB2312"/>
        </w:rPr>
        <w:t>的，办理手续同新建加氢站。</w:t>
      </w:r>
      <w:bookmarkEnd w:id="16"/>
    </w:p>
    <w:p>
      <w:pPr>
        <w:spacing w:line="560" w:lineRule="exact"/>
        <w:ind w:firstLine="641"/>
        <w:rPr>
          <w:rFonts w:ascii="仿宋_GB2312"/>
        </w:rPr>
      </w:pPr>
      <w:r>
        <w:rPr>
          <w:rFonts w:hint="eastAsia" w:ascii="仿宋_GB2312"/>
        </w:rPr>
        <w:t>（三）</w:t>
      </w:r>
      <w:bookmarkStart w:id="18" w:name="_Hlk87881747"/>
      <w:r>
        <w:rPr>
          <w:rFonts w:hint="eastAsia" w:ascii="仿宋_GB2312"/>
        </w:rPr>
        <w:t>没有新增建（构）筑物</w:t>
      </w:r>
      <w:bookmarkEnd w:id="18"/>
      <w:r>
        <w:rPr>
          <w:rFonts w:hint="eastAsia" w:ascii="仿宋_GB2312"/>
        </w:rPr>
        <w:t>的，办理下列手续：</w:t>
      </w:r>
    </w:p>
    <w:p>
      <w:pPr>
        <w:spacing w:line="560" w:lineRule="exact"/>
        <w:ind w:firstLine="640" w:firstLineChars="200"/>
        <w:rPr>
          <w:rFonts w:ascii="仿宋_GB2312"/>
        </w:rPr>
      </w:pPr>
      <w:r>
        <w:rPr>
          <w:rFonts w:hint="eastAsia" w:ascii="仿宋_GB2312"/>
        </w:rPr>
        <w:t>1.项目可行性意见。</w:t>
      </w:r>
    </w:p>
    <w:p>
      <w:pPr>
        <w:spacing w:line="560" w:lineRule="exact"/>
        <w:ind w:firstLine="640" w:firstLineChars="200"/>
        <w:rPr>
          <w:rFonts w:ascii="仿宋_GB2312"/>
        </w:rPr>
      </w:pPr>
      <w:r>
        <w:rPr>
          <w:rFonts w:hint="eastAsia" w:ascii="仿宋_GB2312"/>
        </w:rPr>
        <w:t>市城市管理委根据本市加氢站发展规划，对项目位置、场地条件、服务对象等内容提出可行性意见。</w:t>
      </w:r>
    </w:p>
    <w:p>
      <w:pPr>
        <w:spacing w:line="560" w:lineRule="exact"/>
        <w:ind w:firstLine="640" w:firstLineChars="200"/>
        <w:rPr>
          <w:rFonts w:ascii="仿宋_GB2312"/>
        </w:rPr>
      </w:pPr>
      <w:r>
        <w:rPr>
          <w:rFonts w:hint="eastAsia" w:ascii="仿宋_GB2312"/>
        </w:rPr>
        <w:t>2.项目开工建设前。</w:t>
      </w:r>
    </w:p>
    <w:p>
      <w:pPr>
        <w:spacing w:line="560" w:lineRule="exact"/>
        <w:ind w:firstLine="640" w:firstLineChars="200"/>
        <w:rPr>
          <w:rFonts w:ascii="仿宋_GB2312"/>
          <w:color w:val="FF0000"/>
        </w:rPr>
      </w:pPr>
      <w:r>
        <w:rPr>
          <w:rFonts w:hint="eastAsia" w:ascii="仿宋_GB2312"/>
        </w:rPr>
        <w:t>规划自然资源部门无需办理规划许可手续，但应出具规划意见和消防设计审查意见。其中，规划意见应明确该项目用地的规划情况，消防设计审查意见应明确加氢站设计方案是否符合消防设计要求。</w:t>
      </w:r>
    </w:p>
    <w:p>
      <w:pPr>
        <w:spacing w:line="560" w:lineRule="exact"/>
        <w:ind w:firstLine="640" w:firstLineChars="200"/>
        <w:rPr>
          <w:rFonts w:ascii="仿宋_GB2312"/>
        </w:rPr>
      </w:pPr>
      <w:r>
        <w:rPr>
          <w:rFonts w:hint="eastAsia" w:ascii="仿宋_GB2312"/>
        </w:rPr>
        <w:t>发展改革部门对新增加氢部分进行项目备案。</w:t>
      </w:r>
    </w:p>
    <w:p>
      <w:pPr>
        <w:spacing w:line="560" w:lineRule="exact"/>
        <w:ind w:firstLine="640" w:firstLineChars="200"/>
        <w:rPr>
          <w:rFonts w:ascii="仿宋_GB2312"/>
        </w:rPr>
      </w:pPr>
      <w:r>
        <w:rPr>
          <w:rFonts w:hint="eastAsia" w:ascii="仿宋_GB2312"/>
        </w:rPr>
        <w:t>以下手续可并联办理：</w:t>
      </w:r>
    </w:p>
    <w:p>
      <w:pPr>
        <w:spacing w:line="560" w:lineRule="exact"/>
        <w:ind w:firstLine="640" w:firstLineChars="200"/>
        <w:rPr>
          <w:rFonts w:ascii="仿宋_GB2312"/>
          <w:color w:val="000000"/>
        </w:rPr>
      </w:pPr>
      <w:r>
        <w:rPr>
          <w:rFonts w:hint="eastAsia" w:ascii="仿宋_GB2312"/>
          <w:color w:val="000000"/>
        </w:rPr>
        <w:t>应急部门配合城市管理部门参加安全预</w:t>
      </w:r>
      <w:r>
        <w:rPr>
          <w:rFonts w:hint="eastAsia" w:ascii="仿宋_GB2312"/>
        </w:rPr>
        <w:t>评价和安全设施设计评审</w:t>
      </w:r>
      <w:r>
        <w:rPr>
          <w:rFonts w:hint="eastAsia" w:ascii="仿宋_GB2312"/>
          <w:color w:val="000000"/>
        </w:rPr>
        <w:t>。</w:t>
      </w:r>
    </w:p>
    <w:p>
      <w:pPr>
        <w:spacing w:line="560" w:lineRule="exact"/>
        <w:ind w:firstLine="640" w:firstLineChars="200"/>
        <w:rPr>
          <w:rFonts w:ascii="仿宋_GB2312"/>
        </w:rPr>
      </w:pPr>
      <w:r>
        <w:rPr>
          <w:rFonts w:hint="eastAsia" w:ascii="仿宋_GB2312"/>
        </w:rPr>
        <w:t>气象部门出具《雷电防护装置设计核准意见书》。</w:t>
      </w:r>
    </w:p>
    <w:p>
      <w:pPr>
        <w:spacing w:line="560" w:lineRule="exact"/>
        <w:ind w:firstLine="640" w:firstLineChars="200"/>
        <w:rPr>
          <w:rFonts w:ascii="仿宋_GB2312"/>
        </w:rPr>
      </w:pPr>
      <w:r>
        <w:rPr>
          <w:rFonts w:hint="eastAsia" w:ascii="仿宋_GB2312"/>
        </w:rPr>
        <w:t>3.项目开展建设，竣工验收后办理下列手续：</w:t>
      </w:r>
    </w:p>
    <w:p>
      <w:pPr>
        <w:spacing w:line="560" w:lineRule="exact"/>
        <w:ind w:firstLine="640" w:firstLineChars="200"/>
        <w:rPr>
          <w:rFonts w:ascii="仿宋_GB2312"/>
        </w:rPr>
      </w:pPr>
      <w:r>
        <w:rPr>
          <w:rFonts w:hint="eastAsia" w:ascii="仿宋_GB2312"/>
        </w:rPr>
        <w:t>住房城乡建设部门依法、依职责开展建设工程消防验收工作。</w:t>
      </w:r>
    </w:p>
    <w:p>
      <w:pPr>
        <w:spacing w:line="560" w:lineRule="exact"/>
        <w:ind w:firstLine="640" w:firstLineChars="200"/>
        <w:rPr>
          <w:rFonts w:ascii="仿宋_GB2312"/>
        </w:rPr>
      </w:pPr>
      <w:r>
        <w:rPr>
          <w:rFonts w:hint="eastAsia" w:ascii="仿宋_GB2312"/>
        </w:rPr>
        <w:t>以下手续可并联办理：</w:t>
      </w:r>
    </w:p>
    <w:p>
      <w:pPr>
        <w:spacing w:line="560" w:lineRule="exact"/>
        <w:ind w:firstLine="640" w:firstLineChars="200"/>
        <w:rPr>
          <w:rFonts w:ascii="仿宋_GB2312"/>
        </w:rPr>
      </w:pPr>
      <w:r>
        <w:rPr>
          <w:rFonts w:hint="eastAsia" w:ascii="仿宋_GB2312"/>
        </w:rPr>
        <w:t>气象部门出具《雷电防护装置验收意见书》。</w:t>
      </w:r>
    </w:p>
    <w:p>
      <w:pPr>
        <w:spacing w:line="560" w:lineRule="exact"/>
        <w:ind w:firstLine="640" w:firstLineChars="200"/>
        <w:rPr>
          <w:rFonts w:ascii="仿宋_GB2312"/>
        </w:rPr>
      </w:pPr>
      <w:r>
        <w:rPr>
          <w:rFonts w:hint="eastAsia" w:ascii="仿宋_GB2312"/>
        </w:rPr>
        <w:t>建设单位将《安全评价报告》报应急部门备案。</w:t>
      </w:r>
    </w:p>
    <w:p>
      <w:pPr>
        <w:spacing w:line="560" w:lineRule="exact"/>
        <w:ind w:firstLine="640" w:firstLineChars="200"/>
        <w:rPr>
          <w:rFonts w:ascii="仿宋_GB2312"/>
        </w:rPr>
      </w:pPr>
      <w:r>
        <w:rPr>
          <w:rFonts w:hint="eastAsia" w:ascii="仿宋_GB2312"/>
        </w:rPr>
        <w:t>市场监管部门负责依法办理《特种设备使用登记证》和《气瓶充装许可证》，依法发放特种设备作业人员证书，办理《营业执照》经营范围变更登记。</w:t>
      </w:r>
    </w:p>
    <w:p>
      <w:pPr>
        <w:spacing w:line="560" w:lineRule="exact"/>
        <w:ind w:firstLine="640" w:firstLineChars="200"/>
        <w:rPr>
          <w:rFonts w:ascii="仿宋_GB2312"/>
        </w:rPr>
      </w:pPr>
      <w:r>
        <w:rPr>
          <w:rFonts w:hint="eastAsia" w:ascii="仿宋_GB2312"/>
        </w:rPr>
        <w:t>城市管理部门根据《北京市燃气管理条例》，办理《燃气经营许可》（氢燃料电池汽车车用加氢站）。</w:t>
      </w:r>
    </w:p>
    <w:p>
      <w:pPr>
        <w:spacing w:after="0" w:line="560" w:lineRule="exact"/>
        <w:ind w:firstLine="640" w:firstLineChars="200"/>
        <w:rPr>
          <w:rFonts w:ascii="仿宋_GB2312"/>
          <w:bCs/>
        </w:rPr>
      </w:pPr>
      <w:r>
        <w:rPr>
          <w:rFonts w:hint="eastAsia" w:ascii="黑体" w:hAnsi="黑体" w:eastAsia="黑体" w:cs="黑体"/>
          <w:bCs/>
        </w:rPr>
        <w:t xml:space="preserve">第十五条 </w:t>
      </w:r>
      <w:r>
        <w:rPr>
          <w:rFonts w:ascii="仿宋_GB2312"/>
          <w:bCs/>
        </w:rPr>
        <w:t>既有</w:t>
      </w:r>
      <w:r>
        <w:rPr>
          <w:rFonts w:hint="eastAsia" w:ascii="仿宋_GB2312"/>
          <w:bCs/>
        </w:rPr>
        <w:t>综合能源站开展加氢建设，参照本办法第十四条执行。</w:t>
      </w:r>
    </w:p>
    <w:p>
      <w:pPr>
        <w:spacing w:after="0" w:line="560" w:lineRule="exact"/>
        <w:ind w:firstLine="641"/>
        <w:jc w:val="center"/>
        <w:rPr>
          <w:rFonts w:ascii="仿宋_GB2312"/>
          <w:b/>
          <w:bCs/>
        </w:rPr>
      </w:pPr>
    </w:p>
    <w:p>
      <w:pPr>
        <w:spacing w:line="560" w:lineRule="exact"/>
        <w:jc w:val="center"/>
        <w:outlineLvl w:val="0"/>
        <w:rPr>
          <w:rFonts w:ascii="黑体" w:hAnsi="黑体" w:eastAsia="黑体" w:cs="黑体"/>
          <w:bCs/>
        </w:rPr>
      </w:pPr>
      <w:r>
        <w:rPr>
          <w:rFonts w:hint="eastAsia" w:ascii="黑体" w:hAnsi="黑体" w:eastAsia="黑体" w:cs="黑体"/>
          <w:bCs/>
        </w:rPr>
        <w:t>第五章 内部加氢站建设审批程序</w:t>
      </w:r>
    </w:p>
    <w:p>
      <w:pPr>
        <w:spacing w:after="0" w:line="560" w:lineRule="exact"/>
        <w:jc w:val="center"/>
        <w:rPr>
          <w:rFonts w:ascii="仿宋_GB2312"/>
          <w:b/>
          <w:bCs/>
        </w:rPr>
      </w:pPr>
    </w:p>
    <w:p>
      <w:pPr>
        <w:spacing w:line="560" w:lineRule="exact"/>
        <w:ind w:firstLine="640" w:firstLineChars="200"/>
        <w:rPr>
          <w:rFonts w:ascii="仿宋_GB2312"/>
        </w:rPr>
      </w:pPr>
      <w:r>
        <w:rPr>
          <w:rFonts w:hint="eastAsia" w:ascii="黑体" w:hAnsi="黑体" w:eastAsia="黑体" w:cs="黑体"/>
          <w:bCs/>
        </w:rPr>
        <w:t>第十六条</w:t>
      </w:r>
      <w:r>
        <w:rPr>
          <w:rFonts w:hint="eastAsia" w:ascii="仿宋_GB2312"/>
        </w:rPr>
        <w:t xml:space="preserve"> </w:t>
      </w:r>
      <w:bookmarkStart w:id="19" w:name="_Hlk87881858"/>
      <w:r>
        <w:rPr>
          <w:rFonts w:hint="eastAsia" w:ascii="仿宋_GB2312"/>
        </w:rPr>
        <w:t>内部加氢站是指为公交、环卫、物流等公共服务车辆提供加氢服务，以及利用企业或产业园（区）内部自有或租赁场地建设，且不向社会车辆提供经营服务的加氢站。内部加氢站无需办理《营业执照》等经营手续。</w:t>
      </w:r>
      <w:bookmarkEnd w:id="19"/>
    </w:p>
    <w:p>
      <w:pPr>
        <w:spacing w:line="560" w:lineRule="exact"/>
        <w:ind w:firstLine="640" w:firstLineChars="200"/>
        <w:rPr>
          <w:rFonts w:ascii="仿宋_GB2312"/>
        </w:rPr>
      </w:pPr>
      <w:bookmarkStart w:id="20" w:name="_Hlk87881905"/>
      <w:r>
        <w:rPr>
          <w:rFonts w:hint="eastAsia" w:ascii="仿宋_GB2312"/>
        </w:rPr>
        <w:t>内部加氢站如对社会车辆提供商业化加氢服务保障，按照本办法规定的新建、改（扩）建加氢站审批程序完善相应手续。</w:t>
      </w:r>
      <w:bookmarkEnd w:id="20"/>
    </w:p>
    <w:p>
      <w:pPr>
        <w:spacing w:line="560" w:lineRule="exact"/>
        <w:ind w:firstLine="640" w:firstLineChars="200"/>
        <w:rPr>
          <w:rFonts w:ascii="仿宋_GB2312"/>
        </w:rPr>
      </w:pPr>
      <w:r>
        <w:rPr>
          <w:rFonts w:hint="eastAsia" w:ascii="黑体" w:hAnsi="黑体" w:eastAsia="黑体" w:cs="黑体"/>
          <w:bCs/>
        </w:rPr>
        <w:t>第十七条</w:t>
      </w:r>
      <w:bookmarkStart w:id="21" w:name="_Hlk87881968"/>
      <w:r>
        <w:rPr>
          <w:rFonts w:hint="eastAsia" w:ascii="仿宋_GB2312"/>
          <w:b/>
        </w:rPr>
        <w:t xml:space="preserve"> </w:t>
      </w:r>
      <w:bookmarkStart w:id="22" w:name="_Hlk87859007"/>
      <w:r>
        <w:rPr>
          <w:rFonts w:hint="eastAsia" w:ascii="仿宋_GB2312"/>
        </w:rPr>
        <w:t>无土地使用权出让（划拨）合同或租赁协议的土</w:t>
      </w:r>
      <w:r>
        <w:rPr>
          <w:rFonts w:hint="eastAsia" w:ascii="仿宋_GB2312"/>
          <w:spacing w:val="-6"/>
        </w:rPr>
        <w:t>地，原则上不能进行加氢站建设</w:t>
      </w:r>
      <w:bookmarkEnd w:id="22"/>
      <w:r>
        <w:rPr>
          <w:rFonts w:hint="eastAsia" w:ascii="仿宋_GB2312"/>
          <w:spacing w:val="-6"/>
        </w:rPr>
        <w:t>。特殊情况确需建设的，另行研究。</w:t>
      </w:r>
      <w:bookmarkEnd w:id="21"/>
    </w:p>
    <w:p>
      <w:pPr>
        <w:spacing w:line="560" w:lineRule="exact"/>
        <w:ind w:firstLine="640" w:firstLineChars="200"/>
        <w:jc w:val="center"/>
        <w:rPr>
          <w:rFonts w:ascii="仿宋_GB2312"/>
        </w:rPr>
      </w:pPr>
    </w:p>
    <w:p>
      <w:pPr>
        <w:spacing w:line="560" w:lineRule="exact"/>
        <w:jc w:val="center"/>
        <w:outlineLvl w:val="0"/>
        <w:rPr>
          <w:rFonts w:ascii="黑体" w:hAnsi="黑体" w:eastAsia="黑体" w:cs="黑体"/>
          <w:bCs/>
        </w:rPr>
      </w:pPr>
      <w:r>
        <w:rPr>
          <w:rFonts w:hint="eastAsia" w:ascii="黑体" w:hAnsi="黑体" w:eastAsia="黑体" w:cs="黑体"/>
          <w:bCs/>
        </w:rPr>
        <w:t>第</w:t>
      </w:r>
      <w:r>
        <w:rPr>
          <w:rFonts w:ascii="黑体" w:hAnsi="黑体" w:eastAsia="黑体" w:cs="黑体"/>
          <w:bCs/>
        </w:rPr>
        <w:t>六</w:t>
      </w:r>
      <w:r>
        <w:rPr>
          <w:rFonts w:hint="eastAsia" w:ascii="黑体" w:hAnsi="黑体" w:eastAsia="黑体" w:cs="黑体"/>
          <w:bCs/>
        </w:rPr>
        <w:t>章 附 则</w:t>
      </w:r>
    </w:p>
    <w:p>
      <w:pPr>
        <w:spacing w:line="560" w:lineRule="exact"/>
        <w:jc w:val="center"/>
        <w:rPr>
          <w:rFonts w:ascii="仿宋_GB2312"/>
          <w:b/>
          <w:bCs/>
        </w:rPr>
      </w:pPr>
    </w:p>
    <w:p>
      <w:pPr>
        <w:spacing w:line="560" w:lineRule="exact"/>
        <w:ind w:firstLine="640" w:firstLineChars="200"/>
        <w:rPr>
          <w:rFonts w:ascii="方正黑体_GBK" w:hAnsi="方正黑体_GBK" w:eastAsia="方正黑体_GBK" w:cs="方正黑体_GBK"/>
          <w:kern w:val="2"/>
        </w:rPr>
      </w:pPr>
      <w:r>
        <w:rPr>
          <w:rFonts w:hint="eastAsia" w:ascii="黑体" w:hAnsi="黑体" w:eastAsia="黑体"/>
        </w:rPr>
        <w:t>第十八条</w:t>
      </w:r>
      <w:r>
        <w:rPr>
          <w:rFonts w:hint="eastAsia" w:ascii="仿宋_GB2312"/>
        </w:rPr>
        <w:t xml:space="preserve"> </w:t>
      </w:r>
      <w:r>
        <w:rPr>
          <w:rFonts w:hint="eastAsia" w:ascii="仿宋_GB2312" w:hAnsi="黑体" w:cs="黑体"/>
        </w:rPr>
        <w:t>本办法具体解释工作由市城市管理、发展改革、规划自然资源、住房城乡建设、交通、市场监管、公安交管、气象部门承担，自印发之日起施行。</w:t>
      </w:r>
    </w:p>
    <w:p>
      <w:pPr>
        <w:adjustRightInd w:val="0"/>
        <w:snapToGrid w:val="0"/>
        <w:spacing w:line="560" w:lineRule="exact"/>
        <w:textAlignment w:val="baseline"/>
        <w:rPr>
          <w:rFonts w:ascii="仿宋_GB2312"/>
        </w:rPr>
      </w:pPr>
    </w:p>
    <w:p>
      <w:pPr>
        <w:tabs>
          <w:tab w:val="left" w:pos="1215"/>
        </w:tabs>
        <w:spacing w:line="560" w:lineRule="exact"/>
        <w:ind w:firstLine="640" w:firstLineChars="200"/>
        <w:rPr>
          <w:rFonts w:ascii="仿宋_GB2312" w:hAnsi="黑体" w:cs="黑体"/>
          <w:bCs/>
          <w:snapToGrid/>
          <w:kern w:val="2"/>
        </w:rPr>
      </w:pPr>
      <w:r>
        <w:rPr>
          <w:rFonts w:hint="eastAsia" w:ascii="仿宋_GB2312" w:hAnsi="黑体" w:cs="黑体"/>
          <w:bCs/>
          <w:snapToGrid/>
          <w:kern w:val="2"/>
        </w:rPr>
        <w:t>附件：加氢站建设审批流程图</w:t>
      </w:r>
    </w:p>
    <w:p>
      <w:pPr>
        <w:adjustRightInd w:val="0"/>
        <w:snapToGrid w:val="0"/>
        <w:spacing w:line="540" w:lineRule="exact"/>
        <w:textAlignment w:val="baseline"/>
        <w:rPr>
          <w:rFonts w:ascii="仿宋_GB2312"/>
        </w:rPr>
      </w:pPr>
    </w:p>
    <w:p>
      <w:pPr>
        <w:adjustRightInd w:val="0"/>
        <w:snapToGrid w:val="0"/>
        <w:spacing w:line="540" w:lineRule="exact"/>
        <w:textAlignment w:val="baseline"/>
        <w:rPr>
          <w:rFonts w:ascii="仿宋_GB2312"/>
        </w:rPr>
      </w:pPr>
    </w:p>
    <w:p>
      <w:pPr>
        <w:adjustRightInd w:val="0"/>
        <w:snapToGrid w:val="0"/>
        <w:spacing w:line="540" w:lineRule="exact"/>
        <w:textAlignment w:val="baseline"/>
        <w:rPr>
          <w:rFonts w:ascii="仿宋_GB2312"/>
        </w:rPr>
        <w:sectPr>
          <w:footerReference r:id="rId3" w:type="default"/>
          <w:pgSz w:w="11906" w:h="16838"/>
          <w:pgMar w:top="2098" w:right="1474" w:bottom="1985" w:left="1588" w:header="851" w:footer="1587" w:gutter="0"/>
          <w:pgNumType w:fmt="decimal"/>
          <w:cols w:space="425" w:num="1"/>
          <w:docGrid w:type="lines" w:linePitch="435" w:charSpace="0"/>
        </w:sectPr>
      </w:pPr>
    </w:p>
    <w:p>
      <w:pPr>
        <w:pStyle w:val="9"/>
        <w:ind w:firstLine="0" w:firstLineChars="0"/>
        <w:rPr>
          <w:rFonts w:ascii="黑体" w:hAnsi="黑体" w:eastAsia="黑体" w:cs="黑体"/>
        </w:rPr>
      </w:pPr>
      <w:r>
        <w:rPr>
          <w:rFonts w:hint="eastAsia" w:ascii="黑体" w:hAnsi="黑体" w:eastAsia="黑体" w:cs="黑体"/>
        </w:rPr>
        <w:t>附件</w:t>
      </w:r>
    </w:p>
    <w:p>
      <w:pPr>
        <w:pStyle w:val="9"/>
        <w:ind w:firstLine="0" w:firstLineChars="0"/>
        <w:jc w:val="center"/>
        <w:rPr>
          <w:rFonts w:ascii="方正小标宋简体" w:hAnsi="方正小标宋简体" w:eastAsia="方正小标宋简体" w:cs="方正小标宋简体"/>
          <w:sz w:val="44"/>
          <w:szCs w:val="44"/>
        </w:rPr>
      </w:pPr>
      <w:bookmarkStart w:id="23" w:name="_Hlk128728490"/>
      <w:r>
        <w:rPr>
          <w:rFonts w:hint="eastAsia" w:ascii="方正小标宋简体" w:hAnsi="方正小标宋简体" w:eastAsia="方正小标宋简体" w:cs="方正小标宋简体"/>
          <w:sz w:val="44"/>
          <w:szCs w:val="44"/>
        </w:rPr>
        <w:t>加氢站建设审批流程图</w:t>
      </w:r>
    </w:p>
    <w:bookmarkEnd w:id="23"/>
    <w:p>
      <w:pPr>
        <w:snapToGrid w:val="0"/>
        <w:jc w:val="center"/>
      </w:pPr>
      <w:r>
        <w:object>
          <v:shape id="_x0000_i1025" o:spt="75" type="#_x0000_t75" style="height:351.4pt;width:298.7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o:LockedField>false</o:LockedField>
          </o:OLEObject>
        </w:object>
      </w:r>
    </w:p>
    <w:p>
      <w:pPr>
        <w:snapToGrid w:val="0"/>
        <w:jc w:val="center"/>
        <w:sectPr>
          <w:footerReference r:id="rId4" w:type="default"/>
          <w:pgSz w:w="11906" w:h="16838"/>
          <w:pgMar w:top="2098" w:right="1474" w:bottom="1985" w:left="1588" w:header="851" w:footer="1587" w:gutter="0"/>
          <w:pgNumType w:fmt="decimal"/>
          <w:cols w:space="425" w:num="1"/>
          <w:docGrid w:type="lines" w:linePitch="435" w:charSpace="0"/>
        </w:sectPr>
      </w:pPr>
    </w:p>
    <w:p>
      <w:pPr>
        <w:snapToGrid w:val="0"/>
        <w:jc w:val="center"/>
      </w:pPr>
      <w:r>
        <w:rPr>
          <w:rFonts w:hint="eastAsia"/>
        </w:rPr>
        <w:pict>
          <v:shape id="_x0000_s2050" o:spid="_x0000_s2050" o:spt="75" type="#_x0000_t75" style="position:absolute;left:0pt;margin-left:2pt;margin-top:-24.75pt;height:467.25pt;width:615.7pt;mso-wrap-distance-bottom:0pt;mso-wrap-distance-top:0pt;z-index:251664384;mso-width-relative:page;mso-height-relative:page;" o:ole="t" filled="f" o:preferrelative="t" stroked="f" coordsize="21600,21600">
            <v:path/>
            <v:fill on="f" focussize="0,0"/>
            <v:stroke on="f"/>
            <v:imagedata r:id="rId7" o:title=""/>
            <o:lock v:ext="edit" aspectratio="t"/>
            <w10:wrap type="topAndBottom"/>
          </v:shape>
          <o:OLEObject Type="Embed" ProgID="Visio.Drawing.11" ShapeID="_x0000_s2050" DrawAspect="Content" ObjectID="_1468075726">
            <o:LockedField>false</o:LockedField>
          </o:OLEObject>
        </w:pict>
      </w:r>
    </w:p>
    <w:p>
      <w:pPr>
        <w:tabs>
          <w:tab w:val="left" w:pos="1215"/>
        </w:tabs>
        <w:jc w:val="center"/>
        <w:rPr>
          <w:rFonts w:hint="eastAsia"/>
          <w:lang w:eastAsia="zh-CN"/>
        </w:rPr>
      </w:pPr>
      <w:r>
        <w:object>
          <v:shape id="_x0000_i1026" o:spt="75" type="#_x0000_t75" style="height:441.4pt;width:531.15pt;" o:ole="t" filled="f" o:preferrelative="t" stroked="f" coordsize="21600,21600">
            <v:path/>
            <v:fill on="f" focussize="0,0"/>
            <v:stroke on="f" joinstyle="miter"/>
            <v:imagedata r:id="rId8" o:title=""/>
            <o:lock v:ext="edit" aspectratio="t"/>
            <w10:wrap type="none"/>
            <w10:anchorlock/>
          </v:shape>
          <o:OLEObject Type="Embed" ProgID="Visio.Drawing.15" ShapeID="_x0000_i1026" DrawAspect="Content" ObjectID="_1468075727">
            <o:LockedField>false</o:LockedField>
          </o:OLEObject>
        </w:object>
      </w:r>
    </w:p>
    <w:sectPr>
      <w:pgSz w:w="16838" w:h="11906" w:orient="landscape"/>
      <w:pgMar w:top="1587" w:right="2098" w:bottom="1474" w:left="1985" w:header="851" w:footer="992" w:gutter="0"/>
      <w:pgNumType w:fmt="decimal"/>
      <w:cols w:space="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Cambria">
    <w:altName w:val="Noto Sans Syriac Eastern"/>
    <w:panose1 w:val="02040503050406030204"/>
    <w:charset w:val="00"/>
    <w:family w:val="roman"/>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320" w:leftChars="100" w:right="320" w:right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p>
                          <w:pPr>
                            <w:pStyle w:val="6"/>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6"/>
                      <w:ind w:left="320" w:leftChars="100" w:right="320" w:right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p>
                    <w:pPr>
                      <w:pStyle w:val="6"/>
                    </w:pP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116330" cy="197485"/>
              <wp:effectExtent l="0" t="0" r="0" b="0"/>
              <wp:wrapNone/>
              <wp:docPr id="4" name="文本框 4"/>
              <wp:cNvGraphicFramePr/>
              <a:graphic xmlns:a="http://schemas.openxmlformats.org/drawingml/2006/main">
                <a:graphicData uri="http://schemas.microsoft.com/office/word/2010/wordprocessingShape">
                  <wps:wsp>
                    <wps:cNvSpPr txBox="true">
                      <a:spLocks noChangeArrowheads="true"/>
                    </wps:cNvSpPr>
                    <wps:spPr bwMode="auto">
                      <a:xfrm>
                        <a:off x="0" y="0"/>
                        <a:ext cx="1116330" cy="197485"/>
                      </a:xfrm>
                      <a:prstGeom prst="rect">
                        <a:avLst/>
                      </a:prstGeom>
                      <a:noFill/>
                      <a:ln>
                        <a:noFill/>
                      </a:ln>
                    </wps:spPr>
                    <wps:txbx>
                      <w:txbxContent>
                        <w:p>
                          <w:pPr>
                            <w:pStyle w:val="6"/>
                            <w:ind w:left="320" w:leftChars="100" w:right="320" w:right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p>
                          <w:pPr>
                            <w:snapToGrid w:val="0"/>
                            <w:rPr>
                              <w:rFonts w:eastAsia="宋体" w:cs="宋体"/>
                              <w:sz w:val="24"/>
                              <w:szCs w:val="24"/>
                              <w:lang w:val="zh-CN"/>
                            </w:rPr>
                          </w:pPr>
                        </w:p>
                      </w:txbxContent>
                    </wps:txbx>
                    <wps:bodyPr rot="0" vert="horz" wrap="square" lIns="0" tIns="0" rIns="0" bIns="0" anchor="t" anchorCtr="false" upright="true">
                      <a:spAutoFit/>
                    </wps:bodyPr>
                  </wps:wsp>
                </a:graphicData>
              </a:graphic>
            </wp:anchor>
          </w:drawing>
        </mc:Choice>
        <mc:Fallback>
          <w:pict>
            <v:shape id="_x0000_s1026" o:spid="_x0000_s1026" o:spt="202" type="#_x0000_t202" style="position:absolute;left:0pt;margin-top:0pt;height:15.55pt;width:87.9pt;mso-position-horizontal:outside;mso-position-horizontal-relative:margin;z-index:251665408;mso-width-relative:page;mso-height-relative:page;" filled="f" stroked="f" coordsize="21600,21600" o:gfxdata="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9E/Hf0wAAAAQBAAAPAAAAAAAAAAEAIAAAADgA&#10;AABkcnMvZG93bnJldi54bWxQSwECFAAUAAAACACHTuJA4XZ5BPgBAADEAwAADgAAAAAAAAABACAA&#10;AAA4AQAAZHJzL2Uyb0RvYy54bWxQSwUGAAAAAAYABgBZAQAAogUAAAAA&#10;">
              <v:fill on="f" focussize="0,0"/>
              <v:stroke on="f"/>
              <v:imagedata o:title=""/>
              <o:lock v:ext="edit" aspectratio="f"/>
              <v:textbox inset="0mm,0mm,0mm,0mm" style="mso-fit-shape-to-text:t;">
                <w:txbxContent>
                  <w:p>
                    <w:pPr>
                      <w:pStyle w:val="6"/>
                      <w:ind w:left="320" w:leftChars="100" w:right="320" w:right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p>
                    <w:pPr>
                      <w:snapToGrid w:val="0"/>
                      <w:rPr>
                        <w:rFonts w:eastAsia="宋体" w:cs="宋体"/>
                        <w:sz w:val="24"/>
                        <w:szCs w:val="24"/>
                        <w:lang w:val="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70253A"/>
    <w:multiLevelType w:val="multilevel"/>
    <w:tmpl w:val="4C70253A"/>
    <w:lvl w:ilvl="0" w:tentative="0">
      <w:start w:val="1"/>
      <w:numFmt w:val="chineseCountingThousand"/>
      <w:pStyle w:val="4"/>
      <w:suff w:val="nothing"/>
      <w:lvlText w:val="%1、 "/>
      <w:lvlJc w:val="left"/>
      <w:pPr>
        <w:ind w:left="426" w:firstLine="0"/>
      </w:pPr>
      <w:rPr>
        <w:rFonts w:hint="eastAsia"/>
      </w:rPr>
    </w:lvl>
    <w:lvl w:ilvl="1" w:tentative="0">
      <w:start w:val="1"/>
      <w:numFmt w:val="chineseCountingThousand"/>
      <w:suff w:val="nothing"/>
      <w:lvlText w:val="（%2）"/>
      <w:lvlJc w:val="left"/>
      <w:pPr>
        <w:ind w:left="-993" w:firstLine="0"/>
      </w:pPr>
      <w:rPr>
        <w:rFonts w:hint="eastAsia" w:eastAsia="仿宋_GB2312"/>
        <w:sz w:val="28"/>
        <w:szCs w:val="28"/>
      </w:rPr>
    </w:lvl>
    <w:lvl w:ilvl="2" w:tentative="0">
      <w:start w:val="1"/>
      <w:numFmt w:val="decimal"/>
      <w:suff w:val="nothing"/>
      <w:lvlText w:val="（%3）、"/>
      <w:lvlJc w:val="left"/>
      <w:pPr>
        <w:ind w:left="-993" w:firstLine="0"/>
      </w:pPr>
      <w:rPr>
        <w:rFonts w:hint="eastAsia"/>
      </w:rPr>
    </w:lvl>
    <w:lvl w:ilvl="3" w:tentative="0">
      <w:start w:val="1"/>
      <w:numFmt w:val="decimal"/>
      <w:suff w:val="nothing"/>
      <w:lvlText w:val="%3.%4  "/>
      <w:lvlJc w:val="left"/>
      <w:pPr>
        <w:ind w:left="-993" w:firstLine="0"/>
      </w:pPr>
      <w:rPr>
        <w:rFonts w:hint="eastAsia"/>
      </w:rPr>
    </w:lvl>
    <w:lvl w:ilvl="4" w:tentative="0">
      <w:start w:val="1"/>
      <w:numFmt w:val="none"/>
      <w:suff w:val="nothing"/>
      <w:lvlText w:val=""/>
      <w:lvlJc w:val="left"/>
      <w:pPr>
        <w:ind w:left="-993" w:firstLine="0"/>
      </w:pPr>
      <w:rPr>
        <w:rFonts w:hint="eastAsia"/>
      </w:rPr>
    </w:lvl>
    <w:lvl w:ilvl="5" w:tentative="0">
      <w:start w:val="1"/>
      <w:numFmt w:val="none"/>
      <w:suff w:val="nothing"/>
      <w:lvlText w:val=""/>
      <w:lvlJc w:val="left"/>
      <w:pPr>
        <w:ind w:left="-993" w:firstLine="0"/>
      </w:pPr>
      <w:rPr>
        <w:rFonts w:hint="eastAsia"/>
      </w:rPr>
    </w:lvl>
    <w:lvl w:ilvl="6" w:tentative="0">
      <w:start w:val="1"/>
      <w:numFmt w:val="none"/>
      <w:suff w:val="nothing"/>
      <w:lvlText w:val=""/>
      <w:lvlJc w:val="left"/>
      <w:pPr>
        <w:ind w:left="-993" w:firstLine="0"/>
      </w:pPr>
      <w:rPr>
        <w:rFonts w:hint="eastAsia"/>
      </w:rPr>
    </w:lvl>
    <w:lvl w:ilvl="7" w:tentative="0">
      <w:start w:val="1"/>
      <w:numFmt w:val="none"/>
      <w:suff w:val="nothing"/>
      <w:lvlText w:val=""/>
      <w:lvlJc w:val="left"/>
      <w:pPr>
        <w:ind w:left="-993" w:firstLine="0"/>
      </w:pPr>
      <w:rPr>
        <w:rFonts w:hint="eastAsia"/>
      </w:rPr>
    </w:lvl>
    <w:lvl w:ilvl="8" w:tentative="0">
      <w:start w:val="1"/>
      <w:numFmt w:val="none"/>
      <w:suff w:val="nothing"/>
      <w:lvlText w:val=""/>
      <w:lvlJc w:val="left"/>
      <w:pPr>
        <w:ind w:left="-993" w:firstLine="0"/>
      </w:pPr>
      <w:rPr>
        <w:rFonts w:hint="eastAsia"/>
      </w:rPr>
    </w:lvl>
  </w:abstractNum>
  <w:abstractNum w:abstractNumId="1">
    <w:nsid w:val="5DD34159"/>
    <w:multiLevelType w:val="singleLevel"/>
    <w:tmpl w:val="5DD34159"/>
    <w:lvl w:ilvl="0" w:tentative="0">
      <w:start w:val="1"/>
      <w:numFmt w:val="chineseCounting"/>
      <w:pStyle w:val="19"/>
      <w:suff w:val="nothing"/>
      <w:lvlText w:val="（%1）"/>
      <w:lvlJc w:val="left"/>
      <w:pPr>
        <w:ind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ZWZlNTU0MWY1NTMxMTViOGEwOTY3NDI2ZTliOWQifQ=="/>
  </w:docVars>
  <w:rsids>
    <w:rsidRoot w:val="00000000"/>
    <w:rsid w:val="001D6159"/>
    <w:rsid w:val="02381583"/>
    <w:rsid w:val="05516DEE"/>
    <w:rsid w:val="06B220EC"/>
    <w:rsid w:val="0A480A0C"/>
    <w:rsid w:val="0BA17BF7"/>
    <w:rsid w:val="0CBB349F"/>
    <w:rsid w:val="10CC760B"/>
    <w:rsid w:val="11A742C1"/>
    <w:rsid w:val="12043372"/>
    <w:rsid w:val="131C585C"/>
    <w:rsid w:val="13AB4903"/>
    <w:rsid w:val="145D505F"/>
    <w:rsid w:val="15B56E89"/>
    <w:rsid w:val="17A83CC5"/>
    <w:rsid w:val="18A06026"/>
    <w:rsid w:val="19D100E0"/>
    <w:rsid w:val="1A167D34"/>
    <w:rsid w:val="1D383A57"/>
    <w:rsid w:val="1E8328FC"/>
    <w:rsid w:val="1F544923"/>
    <w:rsid w:val="20C529B6"/>
    <w:rsid w:val="23B64F58"/>
    <w:rsid w:val="24087FDD"/>
    <w:rsid w:val="25A177FB"/>
    <w:rsid w:val="25C37138"/>
    <w:rsid w:val="27756B9D"/>
    <w:rsid w:val="28E36D0F"/>
    <w:rsid w:val="296357B8"/>
    <w:rsid w:val="29B0556B"/>
    <w:rsid w:val="2F781FA9"/>
    <w:rsid w:val="31B24E41"/>
    <w:rsid w:val="3603403B"/>
    <w:rsid w:val="374FC4BC"/>
    <w:rsid w:val="37EF4736"/>
    <w:rsid w:val="39D25B93"/>
    <w:rsid w:val="3B3001F3"/>
    <w:rsid w:val="3B515867"/>
    <w:rsid w:val="3C7D6FA3"/>
    <w:rsid w:val="3D097B41"/>
    <w:rsid w:val="45734A86"/>
    <w:rsid w:val="48C844DD"/>
    <w:rsid w:val="4AB34C3E"/>
    <w:rsid w:val="4BA57A79"/>
    <w:rsid w:val="4FC3080C"/>
    <w:rsid w:val="50D22ACB"/>
    <w:rsid w:val="51DE2E78"/>
    <w:rsid w:val="522354BD"/>
    <w:rsid w:val="52F8230D"/>
    <w:rsid w:val="531D56F3"/>
    <w:rsid w:val="53AA3367"/>
    <w:rsid w:val="53E82388"/>
    <w:rsid w:val="542F3E5B"/>
    <w:rsid w:val="57104C13"/>
    <w:rsid w:val="58D03FB4"/>
    <w:rsid w:val="59642300"/>
    <w:rsid w:val="5ABF2CCA"/>
    <w:rsid w:val="5CD2245B"/>
    <w:rsid w:val="5DC43C3B"/>
    <w:rsid w:val="609F3343"/>
    <w:rsid w:val="61380441"/>
    <w:rsid w:val="631420CB"/>
    <w:rsid w:val="64F56B4A"/>
    <w:rsid w:val="65424284"/>
    <w:rsid w:val="67A27F62"/>
    <w:rsid w:val="690C7089"/>
    <w:rsid w:val="6A7F1B30"/>
    <w:rsid w:val="6A9B0E22"/>
    <w:rsid w:val="6AA10F8D"/>
    <w:rsid w:val="6BD839B3"/>
    <w:rsid w:val="6E7167AE"/>
    <w:rsid w:val="725C785B"/>
    <w:rsid w:val="73A05E00"/>
    <w:rsid w:val="73E20C98"/>
    <w:rsid w:val="74152285"/>
    <w:rsid w:val="75EB1664"/>
    <w:rsid w:val="77A74343"/>
    <w:rsid w:val="78184E57"/>
    <w:rsid w:val="798D40AD"/>
    <w:rsid w:val="7A0D0355"/>
    <w:rsid w:val="7B9721A5"/>
    <w:rsid w:val="7D174976"/>
    <w:rsid w:val="7E556DF4"/>
    <w:rsid w:val="7EE27377"/>
    <w:rsid w:val="FFAB1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14"/>
    </w:pPr>
    <w:rPr>
      <w:rFonts w:hint="eastAsia" w:eastAsia="宋体"/>
      <w:sz w:val="3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Body Text Indent"/>
    <w:basedOn w:val="1"/>
    <w:qFormat/>
    <w:uiPriority w:val="0"/>
    <w:pPr>
      <w:spacing w:line="360" w:lineRule="auto"/>
      <w:ind w:firstLine="600" w:firstLineChars="200"/>
    </w:pPr>
    <w:rPr>
      <w:rFonts w:ascii="仿宋_GB2312"/>
      <w:sz w:val="30"/>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qFormat/>
    <w:uiPriority w:val="0"/>
    <w:pPr>
      <w:spacing w:after="140" w:line="276" w:lineRule="auto"/>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无间隔1"/>
    <w:basedOn w:val="1"/>
    <w:qFormat/>
    <w:uiPriority w:val="0"/>
    <w:pPr>
      <w:spacing w:line="400" w:lineRule="exact"/>
    </w:pPr>
    <w:rPr>
      <w:sz w:val="24"/>
    </w:rPr>
  </w:style>
  <w:style w:type="paragraph" w:customStyle="1" w:styleId="15">
    <w:name w:val="toc 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customStyle="1" w:styleId="16">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17">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8">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9">
    <w:name w:val="Heading2"/>
    <w:basedOn w:val="1"/>
    <w:next w:val="1"/>
    <w:qFormat/>
    <w:uiPriority w:val="0"/>
    <w:pPr>
      <w:keepNext/>
      <w:keepLines/>
      <w:numPr>
        <w:ilvl w:val="0"/>
        <w:numId w:val="2"/>
      </w:numPr>
      <w:spacing w:before="120" w:after="120"/>
      <w:jc w:val="both"/>
      <w:textAlignment w:val="baseline"/>
    </w:pPr>
    <w:rPr>
      <w:rFonts w:ascii="Cambria" w:hAnsi="Cambria" w:eastAsia="楷体"/>
      <w:kern w:val="2"/>
      <w:sz w:val="21"/>
      <w:szCs w:val="24"/>
      <w:lang w:val="en-US" w:eastAsia="zh-CN" w:bidi="ar-SA"/>
    </w:rPr>
  </w:style>
  <w:style w:type="paragraph" w:customStyle="1" w:styleId="20">
    <w:name w:val="列表段落1"/>
    <w:basedOn w:val="1"/>
    <w:qFormat/>
    <w:uiPriority w:val="34"/>
    <w:pPr>
      <w:ind w:firstLine="420" w:firstLineChars="200"/>
    </w:pPr>
  </w:style>
  <w:style w:type="paragraph" w:customStyle="1" w:styleId="21">
    <w:name w:val="公文正文"/>
    <w:basedOn w:val="1"/>
    <w:qFormat/>
    <w:uiPriority w:val="0"/>
    <w:pPr>
      <w:adjustRightInd w:val="0"/>
      <w:snapToGrid w:val="0"/>
      <w:spacing w:line="560" w:lineRule="exact"/>
      <w:ind w:firstLine="56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6850</Words>
  <Characters>7098</Characters>
  <Lines>0</Lines>
  <Paragraphs>0</Paragraphs>
  <TotalTime>2</TotalTime>
  <ScaleCrop>false</ScaleCrop>
  <LinksUpToDate>false</LinksUpToDate>
  <CharactersWithSpaces>7255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2020-09-03T00:56:00Z</dcterms:created>
  <dc:creator>admin</dc:creator>
  <cp:lastModifiedBy> </cp:lastModifiedBy>
  <cp:lastPrinted>2024-05-21T00:12:00Z</cp:lastPrinted>
  <dcterms:modified xsi:type="dcterms:W3CDTF">2024-08-08T11:06:21Z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E63C74EF86634828AFCC56168295534D</vt:lpwstr>
  </property>
</Properties>
</file>