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北京市氢燃料电池汽车车用加氢站</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运营管理暂行办法</w:t>
      </w:r>
    </w:p>
    <w:p>
      <w:pPr>
        <w:spacing w:beforeLines="0" w:afterLines="0" w:line="520" w:lineRule="exact"/>
        <w:jc w:val="center"/>
        <w:outlineLvl w:val="0"/>
        <w:rPr>
          <w:rFonts w:ascii="黑体" w:hAnsi="黑体" w:eastAsia="黑体" w:cs="黑体"/>
          <w:bCs/>
          <w:snapToGrid/>
          <w:kern w:val="2"/>
          <w:sz w:val="44"/>
          <w:szCs w:val="44"/>
        </w:rPr>
      </w:pPr>
    </w:p>
    <w:p>
      <w:pPr>
        <w:spacing w:beforeLines="0" w:afterLines="0" w:line="520" w:lineRule="exact"/>
        <w:jc w:val="center"/>
        <w:outlineLvl w:val="0"/>
        <w:rPr>
          <w:rFonts w:ascii="黑体" w:hAnsi="黑体" w:eastAsia="黑体" w:cs="黑体"/>
          <w:bCs/>
          <w:snapToGrid/>
          <w:kern w:val="2"/>
        </w:rPr>
      </w:pPr>
      <w:r>
        <w:rPr>
          <w:rFonts w:hint="eastAsia" w:ascii="黑体" w:hAnsi="黑体" w:eastAsia="黑体" w:cs="黑体"/>
          <w:bCs/>
          <w:snapToGrid/>
          <w:kern w:val="2"/>
        </w:rPr>
        <w:t>第一章 总 则</w:t>
      </w:r>
    </w:p>
    <w:p>
      <w:pPr>
        <w:spacing w:beforeLines="0" w:afterLines="0" w:line="520" w:lineRule="exact"/>
        <w:rPr>
          <w:rFonts w:ascii="黑体" w:hAnsi="黑体" w:eastAsia="黑体" w:cs="黑体"/>
          <w:snapToGrid/>
          <w:kern w:val="2"/>
        </w:rPr>
      </w:pPr>
    </w:p>
    <w:p>
      <w:pPr>
        <w:spacing w:beforeLines="0" w:afterLines="0" w:line="520" w:lineRule="exact"/>
        <w:ind w:firstLine="640" w:firstLineChars="200"/>
        <w:rPr>
          <w:rFonts w:ascii="仿宋_GB2312" w:cs="Calibri"/>
          <w:snapToGrid/>
          <w:kern w:val="2"/>
        </w:rPr>
      </w:pPr>
      <w:r>
        <w:rPr>
          <w:rFonts w:hint="eastAsia" w:ascii="黑体" w:hAnsi="黑体" w:eastAsia="黑体" w:cs="黑体"/>
          <w:snapToGrid/>
          <w:kern w:val="2"/>
        </w:rPr>
        <w:t>第一条</w:t>
      </w:r>
      <w:r>
        <w:rPr>
          <w:rFonts w:hint="eastAsia" w:ascii="仿宋_GB2312" w:cs="宋体"/>
          <w:b/>
          <w:bCs/>
          <w:snapToGrid/>
          <w:kern w:val="2"/>
        </w:rPr>
        <w:t xml:space="preserve"> </w:t>
      </w:r>
      <w:r>
        <w:rPr>
          <w:rFonts w:hint="eastAsia" w:ascii="仿宋_GB2312" w:cs="Calibri"/>
          <w:snapToGrid/>
          <w:kern w:val="2"/>
        </w:rPr>
        <w:t>为规范本市氢燃料电池汽车车用加氢站（以下简称加氢站）的运营管理，促进氢能产业健康发展，按照规范经营、提升服务、科学管理、确保安全的原则，根据相关法律法规及技术标准规定，结合本市实际，制定本办法。</w:t>
      </w:r>
      <w:bookmarkStart w:id="4" w:name="_GoBack"/>
      <w:bookmarkEnd w:id="4"/>
    </w:p>
    <w:p>
      <w:pPr>
        <w:spacing w:beforeLines="0" w:afterLines="0" w:line="520" w:lineRule="exact"/>
        <w:ind w:firstLine="640" w:firstLineChars="200"/>
        <w:rPr>
          <w:rFonts w:ascii="仿宋_GB2312" w:cs="Calibri"/>
          <w:snapToGrid/>
          <w:kern w:val="2"/>
        </w:rPr>
      </w:pPr>
      <w:r>
        <w:rPr>
          <w:rFonts w:hint="eastAsia" w:ascii="黑体" w:hAnsi="黑体" w:eastAsia="黑体" w:cs="黑体"/>
          <w:snapToGrid/>
          <w:kern w:val="2"/>
        </w:rPr>
        <w:t>第二条</w:t>
      </w:r>
      <w:r>
        <w:rPr>
          <w:rFonts w:hint="eastAsia" w:ascii="仿宋_GB2312" w:cs="宋体"/>
          <w:b/>
          <w:bCs/>
          <w:snapToGrid/>
          <w:kern w:val="2"/>
        </w:rPr>
        <w:t xml:space="preserve"> </w:t>
      </w:r>
      <w:r>
        <w:rPr>
          <w:rFonts w:hint="eastAsia" w:ascii="仿宋_GB2312" w:cs="Calibri"/>
          <w:snapToGrid/>
          <w:kern w:val="2"/>
        </w:rPr>
        <w:t>本办法适用于本市行政区域内加氢站的运营监督管理，以及《燃气经营许可》（氢燃料电池汽车车用加氢站）的申请、受理等行为。</w:t>
      </w:r>
    </w:p>
    <w:p>
      <w:pPr>
        <w:spacing w:beforeLines="0" w:afterLines="0" w:line="520" w:lineRule="exact"/>
        <w:ind w:firstLine="640" w:firstLineChars="200"/>
        <w:rPr>
          <w:rFonts w:ascii="黑体" w:hAnsi="黑体" w:eastAsia="黑体" w:cs="黑体"/>
          <w:snapToGrid/>
          <w:kern w:val="2"/>
        </w:rPr>
      </w:pPr>
      <w:r>
        <w:rPr>
          <w:rFonts w:hint="eastAsia" w:ascii="黑体" w:hAnsi="黑体" w:eastAsia="黑体" w:cs="黑体"/>
        </w:rPr>
        <w:t xml:space="preserve">第三条 </w:t>
      </w:r>
      <w:r>
        <w:rPr>
          <w:rFonts w:hint="eastAsia" w:ascii="仿宋_GB2312"/>
        </w:rPr>
        <w:t>本办法所称加氢站，是指为氢燃料电池汽车储氢瓶充装氢燃料的专门场所，包括单独建设的加氢站和综合能源站中的加氢部分。其中，</w:t>
      </w:r>
      <w:r>
        <w:rPr>
          <w:rFonts w:hint="eastAsia" w:ascii="仿宋_GB2312" w:hAnsi="黑体" w:cs="黑体"/>
          <w:bCs/>
          <w:snapToGrid/>
          <w:kern w:val="2"/>
        </w:rPr>
        <w:t>综合能源站是新型交通能源供应站，是集充（换）电、加汽（柴）油、加气和加氢等两种或两种以上供给服务功能为一体的综合能源基础服务设施。</w:t>
      </w:r>
    </w:p>
    <w:p>
      <w:pPr>
        <w:spacing w:beforeLines="0" w:afterLines="0" w:line="520" w:lineRule="exact"/>
        <w:ind w:firstLine="640" w:firstLineChars="200"/>
        <w:rPr>
          <w:rFonts w:ascii="仿宋_GB2312"/>
        </w:rPr>
      </w:pPr>
      <w:r>
        <w:rPr>
          <w:rFonts w:hint="eastAsia" w:ascii="黑体" w:hAnsi="黑体" w:eastAsia="黑体" w:cs="黑体"/>
        </w:rPr>
        <w:t>第四条</w:t>
      </w:r>
      <w:r>
        <w:rPr>
          <w:rFonts w:hint="eastAsia" w:ascii="仿宋_GB2312" w:cs="宋体"/>
          <w:b/>
          <w:bCs/>
        </w:rPr>
        <w:t xml:space="preserve"> </w:t>
      </w:r>
      <w:r>
        <w:rPr>
          <w:rFonts w:hint="eastAsia" w:ascii="仿宋_GB2312"/>
        </w:rPr>
        <w:t>城市管理部门负责本市加氢站的运营监督管理工作。应急、市场监管、消防及其</w:t>
      </w:r>
      <w:r>
        <w:rPr>
          <w:rFonts w:hint="eastAsia" w:ascii="仿宋_GB2312"/>
          <w:lang w:eastAsia="zh-Hans"/>
        </w:rPr>
        <w:t>他</w:t>
      </w:r>
      <w:r>
        <w:rPr>
          <w:rFonts w:hint="eastAsia" w:ascii="仿宋_GB2312"/>
        </w:rPr>
        <w:t>有关部门依照有关法律法规在各自职责范围内负责加氢站管理相关工作。</w:t>
      </w:r>
    </w:p>
    <w:p>
      <w:pPr>
        <w:spacing w:beforeLines="0" w:afterLines="0" w:line="520" w:lineRule="exact"/>
        <w:ind w:firstLine="640" w:firstLineChars="200"/>
        <w:rPr>
          <w:rFonts w:ascii="仿宋_GB2312"/>
        </w:rPr>
      </w:pPr>
      <w:r>
        <w:rPr>
          <w:rFonts w:hint="eastAsia" w:ascii="仿宋_GB2312"/>
        </w:rPr>
        <w:t>加氢站运营企业承担安全生产的主体责任，应将加氢站安全运营纳入本企业的安全生产管理，并对氢气供应安全负责，加强对加氢站安全运行的技术保障。</w:t>
      </w:r>
    </w:p>
    <w:p>
      <w:pPr>
        <w:pStyle w:val="12"/>
        <w:spacing w:beforeLines="0" w:after="0" w:afterLines="0" w:line="520" w:lineRule="exact"/>
        <w:ind w:firstLine="320"/>
        <w:rPr>
          <w:sz w:val="32"/>
        </w:rPr>
      </w:pPr>
    </w:p>
    <w:p>
      <w:pPr>
        <w:spacing w:beforeLines="0" w:afterLines="0" w:line="520" w:lineRule="exact"/>
        <w:jc w:val="center"/>
        <w:outlineLvl w:val="0"/>
        <w:rPr>
          <w:rFonts w:ascii="黑体" w:hAnsi="黑体" w:eastAsia="黑体" w:cs="黑体"/>
          <w:bCs/>
          <w:snapToGrid/>
          <w:kern w:val="2"/>
        </w:rPr>
      </w:pPr>
      <w:r>
        <w:rPr>
          <w:rFonts w:hint="eastAsia" w:ascii="黑体" w:hAnsi="黑体" w:eastAsia="黑体" w:cs="黑体"/>
          <w:bCs/>
          <w:snapToGrid/>
          <w:kern w:val="2"/>
        </w:rPr>
        <w:t>第二章 加氢站经营许可管理</w:t>
      </w:r>
    </w:p>
    <w:p>
      <w:pPr>
        <w:spacing w:beforeLines="0" w:afterLines="0" w:line="520" w:lineRule="exact"/>
        <w:ind w:firstLine="640" w:firstLineChars="200"/>
        <w:rPr>
          <w:rFonts w:ascii="黑体" w:hAnsi="黑体" w:eastAsia="黑体" w:cs="黑体"/>
          <w:snapToGrid/>
          <w:kern w:val="2"/>
        </w:rPr>
      </w:pPr>
    </w:p>
    <w:p>
      <w:pPr>
        <w:spacing w:beforeLines="0" w:afterLines="0" w:line="520" w:lineRule="exact"/>
        <w:ind w:firstLine="640" w:firstLineChars="200"/>
        <w:rPr>
          <w:rFonts w:ascii="仿宋_GB2312" w:cs="Calibri"/>
          <w:snapToGrid/>
          <w:kern w:val="2"/>
        </w:rPr>
      </w:pPr>
      <w:r>
        <w:rPr>
          <w:rFonts w:hint="eastAsia" w:ascii="黑体" w:hAnsi="黑体" w:eastAsia="黑体" w:cs="黑体"/>
          <w:snapToGrid/>
          <w:kern w:val="2"/>
        </w:rPr>
        <w:t>第五条</w:t>
      </w:r>
      <w:r>
        <w:rPr>
          <w:rFonts w:hint="eastAsia" w:ascii="仿宋_GB2312" w:cs="宋体"/>
          <w:b/>
          <w:bCs/>
          <w:snapToGrid/>
          <w:kern w:val="2"/>
        </w:rPr>
        <w:t xml:space="preserve"> </w:t>
      </w:r>
      <w:r>
        <w:rPr>
          <w:rFonts w:hint="eastAsia" w:ascii="仿宋_GB2312" w:cs="Calibri"/>
          <w:snapToGrid/>
          <w:kern w:val="2"/>
        </w:rPr>
        <w:t>在本市建设加氢站并提供加氢服务的，应按照《北京市燃气管理条例》规定，向区城市管理委申请并取得《燃气经营许可证》（氢燃料电池汽车车用加氢站）（以下简称经营许可）</w:t>
      </w:r>
      <w:r>
        <w:rPr>
          <w:rFonts w:ascii="仿宋_GB2312" w:cs="Calibri"/>
          <w:snapToGrid/>
          <w:kern w:val="2"/>
        </w:rPr>
        <w:t>。</w:t>
      </w:r>
    </w:p>
    <w:p>
      <w:pPr>
        <w:spacing w:beforeLines="0" w:afterLines="0" w:line="520" w:lineRule="exact"/>
        <w:ind w:firstLine="640" w:firstLineChars="200"/>
        <w:rPr>
          <w:rFonts w:ascii="仿宋_GB2312"/>
        </w:rPr>
      </w:pPr>
      <w:r>
        <w:rPr>
          <w:rFonts w:hint="eastAsia" w:ascii="仿宋_GB2312"/>
        </w:rPr>
        <w:t>申请经营许可应当具备下列条件:</w:t>
      </w:r>
    </w:p>
    <w:p>
      <w:pPr>
        <w:spacing w:beforeLines="0" w:afterLines="0" w:line="520" w:lineRule="exact"/>
        <w:ind w:firstLine="640" w:firstLineChars="200"/>
        <w:rPr>
          <w:rFonts w:ascii="仿宋_GB2312"/>
        </w:rPr>
      </w:pPr>
      <w:r>
        <w:rPr>
          <w:rFonts w:hint="eastAsia" w:ascii="仿宋_GB2312"/>
        </w:rPr>
        <w:t>（一）经依法登记的企业，并符合本市加氢站发展规划要求。</w:t>
      </w:r>
    </w:p>
    <w:p>
      <w:pPr>
        <w:spacing w:beforeLines="0" w:afterLines="0" w:line="520" w:lineRule="exact"/>
        <w:ind w:firstLine="640" w:firstLineChars="200"/>
        <w:rPr>
          <w:rFonts w:ascii="仿宋_GB2312"/>
        </w:rPr>
      </w:pPr>
      <w:r>
        <w:rPr>
          <w:rFonts w:hint="eastAsia" w:ascii="仿宋_GB2312"/>
        </w:rPr>
        <w:t>（二）有稳定且符合国家标准的氢气气源，并建立氢气气质定期检测制度。</w:t>
      </w:r>
    </w:p>
    <w:p>
      <w:pPr>
        <w:spacing w:beforeLines="0" w:afterLines="0" w:line="520" w:lineRule="exact"/>
        <w:ind w:firstLine="640" w:firstLineChars="200"/>
        <w:rPr>
          <w:rFonts w:ascii="仿宋_GB2312"/>
        </w:rPr>
      </w:pPr>
      <w:r>
        <w:rPr>
          <w:rFonts w:hint="eastAsia" w:ascii="仿宋_GB2312"/>
        </w:rPr>
        <w:t>（三）加氢站经营场所、站内设施符合国家和本市的有关规定；场站内安装公共图像视频信息系统，并与有关部门联网，保持系统正常运行。</w:t>
      </w:r>
    </w:p>
    <w:p>
      <w:pPr>
        <w:spacing w:beforeLines="0" w:afterLines="0" w:line="520" w:lineRule="exact"/>
        <w:ind w:firstLine="640" w:firstLineChars="200"/>
        <w:rPr>
          <w:rFonts w:ascii="仿宋_GB2312"/>
        </w:rPr>
      </w:pPr>
      <w:r>
        <w:rPr>
          <w:rFonts w:hint="eastAsia" w:ascii="仿宋_GB2312"/>
        </w:rPr>
        <w:t>（四）企业主要负责人、安全生产管理人员，以及运行、维护和抢修人员经专业培训并考核合格。</w:t>
      </w:r>
    </w:p>
    <w:p>
      <w:pPr>
        <w:spacing w:beforeLines="0" w:afterLines="0" w:line="520" w:lineRule="exact"/>
        <w:ind w:firstLine="640" w:firstLineChars="200"/>
        <w:rPr>
          <w:rFonts w:ascii="仿宋_GB2312"/>
        </w:rPr>
      </w:pPr>
      <w:r>
        <w:rPr>
          <w:rFonts w:hint="eastAsia" w:ascii="仿宋_GB2312"/>
        </w:rPr>
        <w:t>（五）具有与业务规模相适应的偿债和抗风险能力。</w:t>
      </w:r>
    </w:p>
    <w:p>
      <w:pPr>
        <w:spacing w:beforeLines="0" w:afterLines="0" w:line="520" w:lineRule="exact"/>
        <w:ind w:firstLine="640" w:firstLineChars="200"/>
        <w:rPr>
          <w:rFonts w:ascii="仿宋_GB2312"/>
        </w:rPr>
      </w:pPr>
      <w:r>
        <w:rPr>
          <w:rFonts w:hint="eastAsia" w:ascii="仿宋_GB2312"/>
        </w:rPr>
        <w:t>（六）有完善的经营管理体系和安全管理制度。</w:t>
      </w:r>
    </w:p>
    <w:p>
      <w:pPr>
        <w:spacing w:beforeLines="0" w:afterLines="0" w:line="520" w:lineRule="exact"/>
        <w:ind w:firstLine="640" w:firstLineChars="200"/>
        <w:rPr>
          <w:rFonts w:ascii="仿宋_GB2312"/>
        </w:rPr>
      </w:pPr>
      <w:r>
        <w:rPr>
          <w:rFonts w:hint="eastAsia" w:ascii="仿宋_GB2312"/>
        </w:rPr>
        <w:t>（七）有健全的加氢站应急预案，具有与供气规模相适应的抢险能力。</w:t>
      </w:r>
    </w:p>
    <w:p>
      <w:pPr>
        <w:spacing w:beforeLines="0" w:afterLines="0" w:line="520" w:lineRule="exact"/>
        <w:ind w:firstLine="640" w:firstLineChars="200"/>
        <w:rPr>
          <w:rFonts w:ascii="仿宋_GB2312"/>
        </w:rPr>
      </w:pPr>
      <w:r>
        <w:rPr>
          <w:rFonts w:hint="eastAsia" w:ascii="仿宋_GB2312"/>
        </w:rPr>
        <w:t>（八）有安全评价机构出具的安全评价报告，并达到安全运行要求。</w:t>
      </w:r>
    </w:p>
    <w:p>
      <w:pPr>
        <w:spacing w:beforeLines="0" w:afterLines="0" w:line="520" w:lineRule="exact"/>
        <w:ind w:firstLine="640" w:firstLineChars="200"/>
        <w:rPr>
          <w:rFonts w:ascii="仿宋_GB2312"/>
          <w:color w:val="C00000"/>
        </w:rPr>
      </w:pPr>
      <w:r>
        <w:rPr>
          <w:rFonts w:hint="eastAsia" w:ascii="黑体" w:hAnsi="黑体" w:eastAsia="黑体" w:cs="黑体"/>
        </w:rPr>
        <w:t xml:space="preserve">第六条 </w:t>
      </w:r>
      <w:r>
        <w:rPr>
          <w:rFonts w:hint="eastAsia" w:ascii="仿宋_GB2312"/>
        </w:rPr>
        <w:t>申请经营许可，申请人应按照要求向区城市管理委提交申请材料，并对其真实性、合法性、有效性负责。区城市管理委应当自受理经营许可申请之日起</w:t>
      </w:r>
      <w:r>
        <w:rPr>
          <w:rFonts w:hint="eastAsia" w:ascii="仿宋_GB2312"/>
          <w:color w:val="000000"/>
        </w:rPr>
        <w:t>9个工作日</w:t>
      </w:r>
      <w:r>
        <w:rPr>
          <w:rFonts w:hint="eastAsia" w:ascii="仿宋_GB2312"/>
        </w:rPr>
        <w:t>内作出行政许可决定。</w:t>
      </w:r>
    </w:p>
    <w:p>
      <w:pPr>
        <w:spacing w:beforeLines="0" w:afterLines="0" w:line="520" w:lineRule="exact"/>
        <w:ind w:firstLine="643"/>
        <w:rPr>
          <w:rFonts w:ascii="仿宋_GB2312"/>
        </w:rPr>
      </w:pPr>
      <w:r>
        <w:rPr>
          <w:rFonts w:hint="eastAsia" w:ascii="黑体" w:hAnsi="黑体" w:eastAsia="黑体" w:cs="黑体"/>
        </w:rPr>
        <w:t>第七条</w:t>
      </w:r>
      <w:r>
        <w:rPr>
          <w:rFonts w:hint="eastAsia" w:ascii="仿宋_GB2312"/>
        </w:rPr>
        <w:t xml:space="preserve"> 提供加氢服务的企业应按照经营许可决定的要求从事经营活动。</w:t>
      </w:r>
    </w:p>
    <w:p>
      <w:pPr>
        <w:spacing w:beforeLines="0" w:afterLines="0" w:line="520" w:lineRule="exact"/>
        <w:ind w:firstLine="643"/>
        <w:rPr>
          <w:rFonts w:ascii="仿宋_GB2312"/>
        </w:rPr>
      </w:pPr>
    </w:p>
    <w:p>
      <w:pPr>
        <w:spacing w:beforeLines="0" w:afterLines="0" w:line="520" w:lineRule="exact"/>
        <w:jc w:val="center"/>
        <w:outlineLvl w:val="0"/>
        <w:rPr>
          <w:rFonts w:ascii="黑体" w:hAnsi="黑体" w:eastAsia="黑体" w:cs="黑体"/>
        </w:rPr>
      </w:pPr>
      <w:r>
        <w:rPr>
          <w:rFonts w:hint="eastAsia" w:ascii="黑体" w:hAnsi="黑体" w:eastAsia="黑体" w:cs="黑体"/>
        </w:rPr>
        <w:t>第三章 企业服务和安全管理</w:t>
      </w:r>
    </w:p>
    <w:p>
      <w:pPr>
        <w:spacing w:beforeLines="0" w:afterLines="0" w:line="520" w:lineRule="exact"/>
        <w:rPr>
          <w:rFonts w:ascii="仿宋_GB2312" w:cs="Calibri"/>
          <w:b/>
          <w:snapToGrid/>
          <w:kern w:val="2"/>
        </w:rPr>
      </w:pPr>
    </w:p>
    <w:p>
      <w:pPr>
        <w:spacing w:beforeLines="0" w:afterLines="0" w:line="520" w:lineRule="exact"/>
        <w:ind w:firstLine="640" w:firstLineChars="200"/>
        <w:rPr>
          <w:rFonts w:ascii="仿宋_GB2312"/>
        </w:rPr>
      </w:pPr>
      <w:r>
        <w:rPr>
          <w:rFonts w:hint="eastAsia" w:ascii="黑体" w:hAnsi="黑体" w:eastAsia="黑体" w:cs="黑体"/>
        </w:rPr>
        <w:t xml:space="preserve">第八条 </w:t>
      </w:r>
      <w:r>
        <w:rPr>
          <w:rFonts w:hint="eastAsia" w:ascii="仿宋_GB2312"/>
        </w:rPr>
        <w:t>加氢站运营企业</w:t>
      </w:r>
      <w:r>
        <w:rPr>
          <w:rFonts w:hint="eastAsia" w:ascii="仿宋_GB2312" w:hAnsi="仿宋" w:cs="仿宋"/>
          <w:shd w:val="clear" w:color="auto" w:fill="FFFFFF"/>
        </w:rPr>
        <w:t>应建立健全用户服务制度，规范服务行为，并遵守下列规定：</w:t>
      </w:r>
    </w:p>
    <w:p>
      <w:pPr>
        <w:spacing w:beforeLines="0" w:afterLines="0" w:line="520" w:lineRule="exact"/>
        <w:ind w:firstLine="640" w:firstLineChars="200"/>
        <w:rPr>
          <w:rFonts w:ascii="仿宋_GB2312"/>
          <w:snapToGrid/>
          <w:kern w:val="2"/>
        </w:rPr>
      </w:pPr>
      <w:r>
        <w:rPr>
          <w:rFonts w:hint="eastAsia" w:ascii="仿宋_GB2312"/>
          <w:snapToGrid/>
          <w:kern w:val="2"/>
        </w:rPr>
        <w:t>（一）建立健全用户服务信息系统，完善用户服务档案，</w:t>
      </w:r>
      <w:r>
        <w:rPr>
          <w:rFonts w:hint="eastAsia" w:ascii="仿宋_GB2312"/>
          <w:snapToGrid/>
          <w:kern w:val="0"/>
        </w:rPr>
        <w:t>保留原始服务记录。</w:t>
      </w:r>
    </w:p>
    <w:p>
      <w:pPr>
        <w:spacing w:beforeLines="0" w:afterLines="0" w:line="520" w:lineRule="exact"/>
        <w:ind w:firstLine="640"/>
        <w:rPr>
          <w:rFonts w:ascii="仿宋_GB2312"/>
          <w:snapToGrid/>
          <w:kern w:val="2"/>
        </w:rPr>
      </w:pPr>
      <w:r>
        <w:rPr>
          <w:rFonts w:hint="eastAsia" w:ascii="仿宋_GB2312"/>
          <w:snapToGrid/>
          <w:kern w:val="2"/>
        </w:rPr>
        <w:t>（二）氢气销售符合国家和本市价格管理有关规定，价格公开透明，并执行法定的价格干预措施、紧急措施。</w:t>
      </w:r>
    </w:p>
    <w:p>
      <w:pPr>
        <w:spacing w:beforeLines="0" w:afterLines="0" w:line="520" w:lineRule="exact"/>
        <w:ind w:firstLine="640"/>
        <w:rPr>
          <w:rFonts w:ascii="仿宋_GB2312"/>
          <w:snapToGrid/>
          <w:kern w:val="2"/>
        </w:rPr>
      </w:pPr>
      <w:bookmarkStart w:id="0" w:name="_Hlk104881187"/>
      <w:r>
        <w:rPr>
          <w:rFonts w:hint="eastAsia" w:ascii="仿宋_GB2312"/>
          <w:snapToGrid/>
          <w:kern w:val="2"/>
        </w:rPr>
        <w:t>（三）公示运营企业名称、运营时间、服务范围、业务流程、服务项目、收费标准、服务受理和投诉电话等内容，并设置</w:t>
      </w:r>
      <w:r>
        <w:rPr>
          <w:rFonts w:hint="eastAsia" w:ascii="仿宋_GB2312" w:cs="宋体"/>
          <w:snapToGrid/>
          <w:kern w:val="2"/>
        </w:rPr>
        <w:t>24</w:t>
      </w:r>
      <w:r>
        <w:rPr>
          <w:rFonts w:hint="eastAsia" w:ascii="仿宋_GB2312"/>
          <w:snapToGrid/>
          <w:kern w:val="2"/>
        </w:rPr>
        <w:t>小时有人值守的服务电话，为用户提供加氢业务咨询、投诉</w:t>
      </w:r>
      <w:r>
        <w:rPr>
          <w:rFonts w:ascii="仿宋_GB2312"/>
          <w:snapToGrid/>
          <w:kern w:val="2"/>
        </w:rPr>
        <w:t>、</w:t>
      </w:r>
      <w:r>
        <w:rPr>
          <w:rFonts w:hint="eastAsia" w:ascii="仿宋_GB2312"/>
          <w:snapToGrid/>
          <w:kern w:val="2"/>
        </w:rPr>
        <w:t>报修等服务。</w:t>
      </w:r>
    </w:p>
    <w:bookmarkEnd w:id="0"/>
    <w:p>
      <w:pPr>
        <w:spacing w:beforeLines="0" w:afterLines="0" w:line="520" w:lineRule="exact"/>
        <w:ind w:firstLine="640"/>
        <w:rPr>
          <w:rFonts w:ascii="仿宋_GB2312"/>
          <w:snapToGrid/>
          <w:kern w:val="0"/>
        </w:rPr>
      </w:pPr>
      <w:r>
        <w:rPr>
          <w:rFonts w:hint="eastAsia" w:ascii="仿宋_GB2312"/>
          <w:snapToGrid/>
          <w:kern w:val="2"/>
        </w:rPr>
        <w:t>（四）</w:t>
      </w:r>
      <w:r>
        <w:rPr>
          <w:rFonts w:hint="eastAsia" w:ascii="仿宋_GB2312"/>
          <w:snapToGrid/>
          <w:kern w:val="0"/>
        </w:rPr>
        <w:t>设置完备的加氢站标志标识，为用户提供明确的入口指示、道路引导和停车加氢等服务。</w:t>
      </w:r>
    </w:p>
    <w:p>
      <w:pPr>
        <w:widowControl/>
        <w:spacing w:beforeLines="0" w:afterLines="0" w:line="520" w:lineRule="exact"/>
        <w:ind w:firstLine="640" w:firstLineChars="200"/>
        <w:rPr>
          <w:rFonts w:ascii="仿宋_GB2312"/>
          <w:kern w:val="0"/>
        </w:rPr>
      </w:pPr>
      <w:r>
        <w:rPr>
          <w:rFonts w:hint="eastAsia" w:ascii="黑体" w:hAnsi="黑体" w:eastAsia="黑体" w:cs="黑体"/>
        </w:rPr>
        <w:t xml:space="preserve">第九条 </w:t>
      </w:r>
      <w:r>
        <w:rPr>
          <w:rFonts w:hint="eastAsia" w:ascii="仿宋_GB2312"/>
          <w:kern w:val="0"/>
        </w:rPr>
        <w:t>加氢站运营企业是加氢站运行的安全责任主体，应依法组建安全运行管理机构，建立健全相关制度，明确安全生产管理人员和职责。</w:t>
      </w:r>
    </w:p>
    <w:p>
      <w:pPr>
        <w:spacing w:beforeLines="0" w:afterLines="0" w:line="520" w:lineRule="exact"/>
        <w:ind w:firstLine="640" w:firstLineChars="200"/>
        <w:rPr>
          <w:rFonts w:ascii="仿宋_GB2312" w:cs="Calibri"/>
          <w:snapToGrid/>
          <w:kern w:val="2"/>
        </w:rPr>
      </w:pPr>
      <w:r>
        <w:rPr>
          <w:rFonts w:hint="eastAsia" w:ascii="仿宋_GB2312" w:cs="Calibri"/>
          <w:snapToGrid/>
          <w:kern w:val="2"/>
        </w:rPr>
        <w:t>企业主要负责人为企业安全责任人，负责组织制定和实施本企业安全生产规章制度和操作规程，对本企业的安全工作负责；加氢站负责人为站点安全责任人，负责落实安全生产规章制度和操作规程，对本站点的安全工作负责；加氢站应明确安全管理人员并保持在岗在位，负责监督检查安全管理措施落实，纠正违章行为。</w:t>
      </w:r>
    </w:p>
    <w:p>
      <w:pPr>
        <w:spacing w:beforeLines="0" w:afterLines="0" w:line="520" w:lineRule="exact"/>
        <w:ind w:firstLine="640" w:firstLineChars="200"/>
        <w:rPr>
          <w:rFonts w:ascii="仿宋_GB2312"/>
          <w:snapToGrid/>
          <w:kern w:val="0"/>
        </w:rPr>
      </w:pPr>
      <w:r>
        <w:rPr>
          <w:rFonts w:hint="eastAsia" w:ascii="黑体" w:hAnsi="黑体" w:eastAsia="黑体" w:cs="黑体"/>
          <w:snapToGrid/>
          <w:kern w:val="0"/>
        </w:rPr>
        <w:t xml:space="preserve">第十条 </w:t>
      </w:r>
      <w:r>
        <w:rPr>
          <w:rFonts w:hint="eastAsia" w:ascii="仿宋_GB2312"/>
          <w:snapToGrid/>
          <w:kern w:val="0"/>
        </w:rPr>
        <w:t>应定期开展安全生产知识教育培训，督促工作人员严格执行相关安全生产规章制度和操作规程；未经安全生产教育和培训合格的从业人员，不得上岗作业。</w:t>
      </w:r>
    </w:p>
    <w:p>
      <w:pPr>
        <w:spacing w:beforeLines="0" w:afterLines="0" w:line="520" w:lineRule="exact"/>
        <w:ind w:firstLine="640" w:firstLineChars="200"/>
        <w:rPr>
          <w:rFonts w:ascii="仿宋_GB2312"/>
          <w:snapToGrid/>
          <w:kern w:val="0"/>
        </w:rPr>
      </w:pPr>
      <w:r>
        <w:rPr>
          <w:rFonts w:hint="eastAsia" w:ascii="黑体" w:hAnsi="黑体" w:eastAsia="黑体" w:cs="黑体"/>
          <w:snapToGrid/>
          <w:kern w:val="0"/>
        </w:rPr>
        <w:t>第十一条</w:t>
      </w:r>
      <w:r>
        <w:rPr>
          <w:rFonts w:hint="eastAsia" w:ascii="仿宋_GB2312"/>
          <w:snapToGrid/>
          <w:kern w:val="0"/>
        </w:rPr>
        <w:t xml:space="preserve"> 加氢站内压缩机、管道管线、储氢压力容器和加氢机等设备及其配件等产品质量应符合国家和本市有关标准和规定。</w:t>
      </w:r>
    </w:p>
    <w:p>
      <w:pPr>
        <w:spacing w:beforeLines="0" w:afterLines="0" w:line="520" w:lineRule="exact"/>
        <w:ind w:firstLine="640"/>
        <w:rPr>
          <w:rFonts w:ascii="仿宋_GB2312"/>
          <w:snapToGrid/>
          <w:kern w:val="0"/>
        </w:rPr>
      </w:pPr>
      <w:r>
        <w:rPr>
          <w:rFonts w:hint="eastAsia" w:ascii="仿宋_GB2312"/>
          <w:snapToGrid/>
          <w:kern w:val="0"/>
        </w:rPr>
        <w:t>运氢车在固定停放车位停放，作为站内固定式储氢压力容器使用时，其固定停放车位与站内其他关键设备、设施保持符合规范要求的防火间距，并按规定设置安全保护措施。运营单位应对现场使用的移动式压力容器安全负责，查验并留存移动式压力容器使用登记证、有效期内的定期检验报告、安全附件校验记录、年度检查报告等文件，移动式压力容器操作应由有资质的人员进行，制定专门的操作规程和应急预案，严格按照安全技术规范的要求进行操作。</w:t>
      </w:r>
    </w:p>
    <w:p>
      <w:pPr>
        <w:spacing w:beforeLines="0" w:afterLines="0" w:line="520" w:lineRule="exact"/>
        <w:ind w:firstLine="640"/>
        <w:rPr>
          <w:rFonts w:ascii="仿宋_GB2312"/>
          <w:snapToGrid/>
          <w:kern w:val="0"/>
        </w:rPr>
      </w:pPr>
      <w:r>
        <w:rPr>
          <w:rFonts w:hint="eastAsia" w:ascii="黑体" w:hAnsi="黑体" w:eastAsia="黑体" w:cs="黑体"/>
          <w:snapToGrid/>
          <w:kern w:val="0"/>
        </w:rPr>
        <w:t xml:space="preserve">第十二条 </w:t>
      </w:r>
      <w:r>
        <w:rPr>
          <w:rFonts w:hint="eastAsia" w:ascii="仿宋_GB2312"/>
          <w:snapToGrid/>
          <w:kern w:val="0"/>
        </w:rPr>
        <w:t>加氢站运营企业应对设备、设施日常运行、维护保养、应急维修、备品备件和更新报废等明确安全管理规定，制定站内主要设备安全操作规程，在危险区域及重要设备处悬挂设备安全操作规程、相应安全警告标志，不得违规进行设备操作。</w:t>
      </w:r>
    </w:p>
    <w:p>
      <w:pPr>
        <w:spacing w:beforeLines="0" w:afterLines="0" w:line="520" w:lineRule="exact"/>
        <w:ind w:firstLine="640" w:firstLineChars="200"/>
        <w:rPr>
          <w:rFonts w:ascii="仿宋_GB2312" w:hAnsi="仿宋_GB2312" w:cs="仿宋_GB2312"/>
          <w:snapToGrid/>
          <w:kern w:val="2"/>
        </w:rPr>
      </w:pPr>
      <w:r>
        <w:rPr>
          <w:rFonts w:hint="eastAsia" w:ascii="仿宋_GB2312" w:hAnsi="仿宋_GB2312" w:cs="仿宋_GB2312"/>
          <w:snapToGrid/>
          <w:kern w:val="2"/>
        </w:rPr>
        <w:t>定期开展设备维护、保养、检验和检查，并做好相关记录。及时发现、消除安全隐患，</w:t>
      </w:r>
      <w:r>
        <w:rPr>
          <w:rFonts w:hint="eastAsia" w:ascii="仿宋_GB2312"/>
          <w:snapToGrid/>
          <w:kern w:val="0"/>
        </w:rPr>
        <w:t>不得使用存在安全隐患的</w:t>
      </w:r>
      <w:r>
        <w:rPr>
          <w:rFonts w:hint="eastAsia" w:ascii="仿宋_GB2312" w:hAnsi="仿宋_GB2312" w:cs="仿宋_GB2312"/>
          <w:snapToGrid/>
          <w:kern w:val="2"/>
        </w:rPr>
        <w:t>设备。委托外单位进行设备检修、安装等施工时，应选择符合相应资质条件的单位进行安全作业。</w:t>
      </w:r>
    </w:p>
    <w:p>
      <w:pPr>
        <w:spacing w:beforeLines="0" w:afterLines="0" w:line="520" w:lineRule="exact"/>
        <w:ind w:firstLine="640" w:firstLineChars="200"/>
        <w:rPr>
          <w:rFonts w:ascii="仿宋_GB2312"/>
          <w:snapToGrid/>
          <w:kern w:val="0"/>
        </w:rPr>
      </w:pPr>
      <w:r>
        <w:rPr>
          <w:rFonts w:hint="eastAsia" w:ascii="仿宋_GB2312" w:hAnsi="仿宋_GB2312" w:cs="仿宋_GB2312"/>
          <w:snapToGrid/>
          <w:kern w:val="2"/>
        </w:rPr>
        <w:t>应配备超压、低压报警装置，火焰报警探测装置，</w:t>
      </w:r>
      <w:r>
        <w:rPr>
          <w:rFonts w:hint="eastAsia" w:ascii="仿宋_GB2312"/>
          <w:snapToGrid/>
          <w:kern w:val="0"/>
        </w:rPr>
        <w:t>氢气浓度超限报警装置</w:t>
      </w:r>
      <w:r>
        <w:rPr>
          <w:rFonts w:hint="eastAsia" w:ascii="仿宋_GB2312" w:hAnsi="仿宋_GB2312" w:cs="仿宋_GB2312"/>
          <w:snapToGrid/>
          <w:kern w:val="2"/>
        </w:rPr>
        <w:t>，以及泄压、排风和急停等紧急处置装置，必要时可采取</w:t>
      </w:r>
      <w:r>
        <w:rPr>
          <w:rFonts w:hint="eastAsia" w:ascii="仿宋_GB2312"/>
          <w:snapToGrid/>
          <w:kern w:val="0"/>
        </w:rPr>
        <w:t>紧急切断处置。及时登记报废设备相关信息，严格按照相关规定对储氢压力容器设备进行报废处理。</w:t>
      </w:r>
    </w:p>
    <w:p>
      <w:pPr>
        <w:spacing w:beforeLines="0" w:afterLines="0" w:line="520" w:lineRule="exact"/>
        <w:ind w:firstLine="640" w:firstLineChars="200"/>
        <w:rPr>
          <w:rFonts w:ascii="仿宋_GB2312"/>
          <w:snapToGrid/>
          <w:kern w:val="0"/>
        </w:rPr>
      </w:pPr>
      <w:r>
        <w:rPr>
          <w:rFonts w:hint="eastAsia" w:ascii="黑体" w:hAnsi="黑体" w:eastAsia="黑体" w:cs="黑体"/>
          <w:snapToGrid/>
          <w:kern w:val="0"/>
        </w:rPr>
        <w:t>第十三条</w:t>
      </w:r>
      <w:r>
        <w:rPr>
          <w:rFonts w:hint="eastAsia" w:ascii="仿宋_GB2312"/>
          <w:snapToGrid/>
          <w:kern w:val="0"/>
        </w:rPr>
        <w:t xml:space="preserve"> 加氢站运营企业应定期开展加氢站安全检查，明确检查内容和检查周期。主要内容包括但不限于安全管理制度，现场环境及操作规程，设备、设施安全评估，消防器材配备管理，以及问题隐患整改等。</w:t>
      </w:r>
    </w:p>
    <w:p>
      <w:pPr>
        <w:spacing w:beforeLines="0" w:afterLines="0" w:line="520" w:lineRule="exact"/>
        <w:ind w:firstLine="640" w:firstLineChars="200"/>
        <w:rPr>
          <w:rFonts w:ascii="仿宋_GB2312"/>
          <w:snapToGrid/>
          <w:kern w:val="0"/>
        </w:rPr>
      </w:pPr>
      <w:r>
        <w:rPr>
          <w:rFonts w:hint="eastAsia" w:ascii="仿宋_GB2312"/>
          <w:snapToGrid/>
          <w:kern w:val="0"/>
        </w:rPr>
        <w:t>对检查中发现的风险隐患，应立即进行整改。对暂时无法整改的风险隐患，应制定有效防范措施，明确整改完成期限。</w:t>
      </w:r>
    </w:p>
    <w:p>
      <w:pPr>
        <w:spacing w:beforeLines="0" w:afterLines="0" w:line="520" w:lineRule="exact"/>
        <w:ind w:firstLine="640" w:firstLineChars="200"/>
        <w:rPr>
          <w:rFonts w:ascii="仿宋_GB2312"/>
          <w:snapToGrid/>
          <w:kern w:val="0"/>
        </w:rPr>
      </w:pPr>
      <w:r>
        <w:rPr>
          <w:rFonts w:hint="eastAsia" w:ascii="仿宋_GB2312"/>
          <w:snapToGrid/>
          <w:kern w:val="0"/>
        </w:rPr>
        <w:t>应每季度向区城市管理委书面报告加氢站安全检查和用户服务等情况。各区城市管理委整理汇总后，每半年向市城市管理委书面报告检查和整改情况。</w:t>
      </w:r>
    </w:p>
    <w:p>
      <w:pPr>
        <w:spacing w:beforeLines="0" w:afterLines="0" w:line="520" w:lineRule="exact"/>
        <w:ind w:firstLine="640" w:firstLineChars="200"/>
        <w:rPr>
          <w:rFonts w:ascii="仿宋_GB2312"/>
          <w:snapToGrid/>
          <w:kern w:val="0"/>
        </w:rPr>
      </w:pPr>
      <w:r>
        <w:rPr>
          <w:rFonts w:hint="eastAsia" w:ascii="黑体" w:hAnsi="黑体" w:eastAsia="黑体" w:cs="黑体"/>
          <w:snapToGrid/>
          <w:kern w:val="0"/>
        </w:rPr>
        <w:t>第十四条</w:t>
      </w:r>
      <w:r>
        <w:rPr>
          <w:rFonts w:hint="eastAsia" w:ascii="仿宋_GB2312"/>
          <w:snapToGrid/>
          <w:kern w:val="0"/>
        </w:rPr>
        <w:t xml:space="preserve"> 加氢站内氢气质量应符合国家和本市要求，外购氢气生产单位应具备相关部门颁发的许可资质，定期将氢气送往具备资质的检验机构检测并公布结果。</w:t>
      </w:r>
    </w:p>
    <w:p>
      <w:pPr>
        <w:spacing w:beforeLines="0" w:afterLines="0" w:line="520" w:lineRule="exact"/>
        <w:ind w:firstLine="640" w:firstLineChars="200"/>
        <w:rPr>
          <w:rFonts w:ascii="仿宋_GB2312"/>
          <w:snapToGrid/>
          <w:kern w:val="0"/>
        </w:rPr>
      </w:pPr>
      <w:r>
        <w:rPr>
          <w:rFonts w:hint="eastAsia" w:ascii="黑体" w:hAnsi="黑体" w:eastAsia="黑体"/>
          <w:snapToGrid/>
          <w:kern w:val="0"/>
        </w:rPr>
        <w:t>第十五条</w:t>
      </w:r>
      <w:r>
        <w:rPr>
          <w:rFonts w:hint="eastAsia" w:ascii="仿宋_GB2312"/>
          <w:snapToGrid/>
          <w:kern w:val="0"/>
        </w:rPr>
        <w:t xml:space="preserve"> 加氢站应建立和使用气瓶充装质量追溯信息系统，搭建具有自动采集、保存记录功能的信息化平台，采用信息化技术对气瓶充装过程进行管理。</w:t>
      </w:r>
    </w:p>
    <w:p>
      <w:pPr>
        <w:spacing w:beforeLines="0" w:afterLines="0" w:line="520" w:lineRule="exact"/>
        <w:ind w:firstLine="640" w:firstLineChars="200"/>
        <w:rPr>
          <w:rFonts w:ascii="仿宋_GB2312"/>
          <w:snapToGrid/>
          <w:kern w:val="0"/>
        </w:rPr>
      </w:pPr>
      <w:r>
        <w:rPr>
          <w:rFonts w:hint="eastAsia" w:ascii="仿宋_GB2312"/>
          <w:snapToGrid/>
          <w:kern w:val="0"/>
        </w:rPr>
        <w:t>加氢站运行应始终符合充装许可条件的有关要求，充装安全管理人员、作业人员具备相应特种设备作业人员证，充装场所、充装设备和安全附件符合特种设备安全的有关要求，充装质量保证体系有效实施，特种设备各项管理制度齐全。</w:t>
      </w:r>
    </w:p>
    <w:p>
      <w:pPr>
        <w:spacing w:beforeLines="0" w:afterLines="0" w:line="520" w:lineRule="exact"/>
        <w:ind w:firstLine="640" w:firstLineChars="200"/>
        <w:rPr>
          <w:rFonts w:ascii="仿宋_GB2312"/>
          <w:snapToGrid/>
          <w:kern w:val="0"/>
        </w:rPr>
      </w:pPr>
      <w:r>
        <w:rPr>
          <w:rFonts w:hint="eastAsia" w:ascii="黑体" w:hAnsi="黑体" w:eastAsia="黑体" w:cs="黑体"/>
          <w:snapToGrid/>
          <w:kern w:val="0"/>
        </w:rPr>
        <w:t xml:space="preserve">第十六条 </w:t>
      </w:r>
      <w:r>
        <w:rPr>
          <w:rFonts w:hint="eastAsia" w:ascii="仿宋_GB2312"/>
          <w:snapToGrid/>
          <w:kern w:val="0"/>
        </w:rPr>
        <w:t>应按照国家和本市消防管理相关规定，配备完善的消防设施，制定消防安全操作规程，并定期对消防设施、器材进行检查、维护与保养，填写相关记录。</w:t>
      </w:r>
    </w:p>
    <w:p>
      <w:pPr>
        <w:spacing w:beforeLines="0" w:afterLines="0" w:line="520" w:lineRule="exact"/>
        <w:ind w:firstLine="640" w:firstLineChars="200"/>
        <w:rPr>
          <w:rFonts w:ascii="仿宋_GB2312"/>
          <w:snapToGrid/>
          <w:color w:val="FF0000"/>
          <w:kern w:val="2"/>
        </w:rPr>
      </w:pPr>
      <w:r>
        <w:rPr>
          <w:rFonts w:hint="eastAsia" w:ascii="黑体" w:hAnsi="黑体" w:eastAsia="黑体" w:cs="黑体"/>
          <w:snapToGrid/>
          <w:kern w:val="0"/>
        </w:rPr>
        <w:t>第十七条</w:t>
      </w:r>
      <w:r>
        <w:rPr>
          <w:rFonts w:hint="eastAsia" w:ascii="仿宋_GB2312"/>
          <w:snapToGrid/>
          <w:kern w:val="0"/>
        </w:rPr>
        <w:t xml:space="preserve"> 应建立完善视频监控系统，监控范围覆盖全部站区，监控视频信息至少保留3个月。</w:t>
      </w:r>
      <w:r>
        <w:rPr>
          <w:rFonts w:hint="eastAsia" w:ascii="仿宋_GB2312"/>
          <w:snapToGrid/>
          <w:kern w:val="2"/>
        </w:rPr>
        <w:t>应接入相关数据信息管理服务平台，实现加氢站数据信息和运营状态的数字化安全监管。</w:t>
      </w:r>
    </w:p>
    <w:p>
      <w:pPr>
        <w:spacing w:beforeLines="0" w:afterLines="0" w:line="520" w:lineRule="exact"/>
        <w:ind w:firstLine="640" w:firstLineChars="200"/>
        <w:rPr>
          <w:rFonts w:ascii="仿宋_GB2312"/>
          <w:snapToGrid/>
          <w:kern w:val="0"/>
        </w:rPr>
      </w:pPr>
      <w:r>
        <w:rPr>
          <w:rFonts w:hint="eastAsia" w:ascii="仿宋_GB2312"/>
          <w:snapToGrid/>
          <w:kern w:val="0"/>
        </w:rPr>
        <w:t>应根据公安部门相关要求配备防暴反恐器材，放置于值班室或营业厅等便于取用的场所。</w:t>
      </w:r>
    </w:p>
    <w:p>
      <w:pPr>
        <w:spacing w:beforeLines="0" w:afterLines="0" w:line="520" w:lineRule="exact"/>
        <w:ind w:firstLine="640" w:firstLineChars="200"/>
        <w:rPr>
          <w:rFonts w:ascii="仿宋_GB2312"/>
          <w:snapToGrid/>
          <w:kern w:val="0"/>
        </w:rPr>
      </w:pPr>
    </w:p>
    <w:p>
      <w:pPr>
        <w:spacing w:beforeLines="0" w:afterLines="0" w:line="520" w:lineRule="exact"/>
        <w:jc w:val="center"/>
        <w:outlineLvl w:val="0"/>
        <w:rPr>
          <w:rFonts w:ascii="仿宋_GB2312" w:cs="Calibri"/>
          <w:snapToGrid/>
          <w:kern w:val="2"/>
        </w:rPr>
      </w:pPr>
      <w:r>
        <w:rPr>
          <w:rFonts w:hint="eastAsia" w:ascii="黑体" w:hAnsi="黑体" w:eastAsia="黑体" w:cs="黑体"/>
          <w:snapToGrid/>
          <w:kern w:val="2"/>
        </w:rPr>
        <w:t>第四章 政府监管</w:t>
      </w:r>
    </w:p>
    <w:p>
      <w:pPr>
        <w:spacing w:beforeLines="0" w:afterLines="0" w:line="520" w:lineRule="exact"/>
        <w:ind w:firstLine="640" w:firstLineChars="200"/>
        <w:rPr>
          <w:rFonts w:ascii="仿宋_GB2312" w:cs="Calibri"/>
          <w:snapToGrid/>
          <w:kern w:val="2"/>
        </w:rPr>
      </w:pPr>
    </w:p>
    <w:p>
      <w:pPr>
        <w:spacing w:beforeLines="0" w:afterLines="0" w:line="520" w:lineRule="exact"/>
        <w:ind w:firstLine="640" w:firstLineChars="200"/>
        <w:rPr>
          <w:rFonts w:ascii="仿宋_GB2312" w:hAnsi="仿宋" w:cs="仿宋"/>
          <w:shd w:val="clear" w:color="auto" w:fill="FFFFFF"/>
        </w:rPr>
      </w:pPr>
      <w:r>
        <w:rPr>
          <w:rFonts w:hint="eastAsia" w:ascii="黑体" w:hAnsi="黑体" w:eastAsia="黑体" w:cs="黑体"/>
          <w:kern w:val="0"/>
        </w:rPr>
        <w:t>第十八条</w:t>
      </w:r>
      <w:r>
        <w:rPr>
          <w:rFonts w:hint="eastAsia" w:ascii="仿宋_GB2312" w:hAnsi="仿宋" w:cs="仿宋"/>
          <w:shd w:val="clear" w:color="auto" w:fill="FFFFFF"/>
        </w:rPr>
        <w:t xml:space="preserve"> 市、区两级城市管理部门应建立健全加氢站监督管理制度和信息化管理系统，依据有关法律、法规、规章、规划、标准和规范，督促加氢站运营企业落实用户服务制度和安全管理要求。区级城市管理部门向社会公布取得经营许可证的企业名单，受理有关加氢站运营管理的举报和投诉。</w:t>
      </w:r>
    </w:p>
    <w:p>
      <w:pPr>
        <w:spacing w:beforeLines="0" w:afterLines="0" w:line="520" w:lineRule="exact"/>
        <w:ind w:firstLine="640" w:firstLineChars="200"/>
        <w:rPr>
          <w:rFonts w:ascii="黑体" w:hAnsi="黑体" w:eastAsia="黑体" w:cs="黑体"/>
          <w:kern w:val="0"/>
        </w:rPr>
      </w:pPr>
      <w:r>
        <w:rPr>
          <w:rFonts w:hint="eastAsia" w:ascii="仿宋_GB2312"/>
        </w:rPr>
        <w:t>市、区两级城市管理委应建立健全加氢站安全生产检查管理制度，定期组织对加氢站进行安全专业技术检查，并对检查中发现的风险隐患，督促企业履行整改责任；建立加氢站安全预警提示制度，在重大节日、重要活动、特殊时段之前，有针对性地部署全市加氢站安全运行工作。</w:t>
      </w:r>
    </w:p>
    <w:p>
      <w:pPr>
        <w:spacing w:beforeLines="0" w:afterLines="0" w:line="520" w:lineRule="exact"/>
        <w:ind w:firstLine="640" w:firstLineChars="200"/>
        <w:rPr>
          <w:rFonts w:ascii="仿宋_GB2312"/>
        </w:rPr>
      </w:pPr>
      <w:r>
        <w:rPr>
          <w:rFonts w:hint="eastAsia" w:ascii="黑体" w:hAnsi="黑体" w:eastAsia="黑体" w:cs="黑体"/>
          <w:kern w:val="0"/>
        </w:rPr>
        <w:t>第十九条</w:t>
      </w:r>
      <w:r>
        <w:rPr>
          <w:rFonts w:hint="eastAsia" w:ascii="仿宋_GB2312" w:hAnsi="仿宋" w:cs="仿宋"/>
          <w:shd w:val="clear" w:color="auto" w:fill="FFFFFF"/>
        </w:rPr>
        <w:t xml:space="preserve"> </w:t>
      </w:r>
      <w:r>
        <w:rPr>
          <w:rFonts w:hint="eastAsia" w:ascii="仿宋_GB2312"/>
        </w:rPr>
        <w:t>应急部门负责依法对本行政区域内安全生产工作实施综合监督管理，指导、协调、监督本级人民政府有关部门和下级人民政府履行安全生产监督管理职责</w:t>
      </w:r>
      <w:r>
        <w:rPr>
          <w:rFonts w:hint="eastAsia" w:ascii="仿宋_GB2312" w:hAnsi="仿宋_GB2312" w:cs="仿宋_GB2312"/>
          <w:kern w:val="2"/>
        </w:rPr>
        <w:t>。</w:t>
      </w:r>
      <w:r>
        <w:rPr>
          <w:rFonts w:hint="eastAsia" w:ascii="仿宋_GB2312"/>
        </w:rPr>
        <w:t>市场监管部门负责督促加氢站加强压力容器、压力管道等特种设备的安全管理，对加氢站</w:t>
      </w:r>
      <w:r>
        <w:rPr>
          <w:rFonts w:ascii="仿宋_GB2312"/>
        </w:rPr>
        <w:t>(</w:t>
      </w:r>
      <w:r>
        <w:rPr>
          <w:rFonts w:hint="eastAsia" w:ascii="仿宋_GB2312"/>
        </w:rPr>
        <w:t>除内部加氢站外)内氢气质量实施随机抽查，依法查处违法违规行为。消防救援部门负责对加氢站运营管理单位遵守消防法律、法规的情况依法进行监督检查。城管执法、应急和市场监管等部门的综合执法队伍</w:t>
      </w:r>
      <w:r>
        <w:rPr>
          <w:rFonts w:hint="eastAsia" w:ascii="仿宋_GB2312"/>
          <w:color w:val="000000"/>
        </w:rPr>
        <w:t>依法</w:t>
      </w:r>
      <w:r>
        <w:rPr>
          <w:rFonts w:hint="eastAsia" w:ascii="仿宋_GB2312"/>
        </w:rPr>
        <w:t>行使行政处罚权。其他有关部门依照有关法律、法规和本办法的规定，在各自职责范围内负责有关加氢站的管理工作，对各自行业领域加氢站运营的安全生产工作实施监督管理。各专业车辆行业主管部门对各自行业领域内部加氢站的安全生产运营工作实施监督管理。</w:t>
      </w:r>
    </w:p>
    <w:p>
      <w:pPr>
        <w:spacing w:beforeLines="0" w:afterLines="0" w:line="520" w:lineRule="exact"/>
        <w:ind w:firstLine="640" w:firstLineChars="200"/>
        <w:rPr>
          <w:rFonts w:ascii="仿宋_GB2312" w:hAnsi="仿宋" w:cs="仿宋"/>
          <w:shd w:val="clear" w:color="auto" w:fill="FFFFFF"/>
        </w:rPr>
      </w:pPr>
      <w:r>
        <w:rPr>
          <w:rFonts w:hint="eastAsia" w:ascii="黑体" w:hAnsi="黑体" w:eastAsia="黑体" w:cs="黑体"/>
          <w:kern w:val="0"/>
        </w:rPr>
        <w:t xml:space="preserve">第二十条 </w:t>
      </w:r>
      <w:r>
        <w:rPr>
          <w:rFonts w:hint="eastAsia" w:ascii="仿宋_GB2312" w:hAnsi="仿宋" w:cs="仿宋"/>
          <w:shd w:val="clear" w:color="auto" w:fill="FFFFFF"/>
        </w:rPr>
        <w:t>城市管理部门及其他有关部门在履行职责中发现加氢站存在安全生产事故隐患的，应责令立即排除；有重大安全生产事故隐患的，应责令暂时停产停业或者停止使用相关氢气设备、设施。</w:t>
      </w:r>
    </w:p>
    <w:p>
      <w:pPr>
        <w:spacing w:beforeLines="0" w:afterLines="0" w:line="520" w:lineRule="exact"/>
        <w:ind w:firstLine="640" w:firstLineChars="200"/>
        <w:rPr>
          <w:rFonts w:ascii="仿宋_GB2312" w:hAnsi="仿宋" w:cs="仿宋"/>
          <w:shd w:val="clear" w:color="auto" w:fill="FFFFFF"/>
        </w:rPr>
      </w:pPr>
      <w:r>
        <w:rPr>
          <w:rFonts w:hint="eastAsia" w:ascii="黑体" w:hAnsi="黑体" w:eastAsia="黑体" w:cs="黑体"/>
          <w:kern w:val="0"/>
        </w:rPr>
        <w:t xml:space="preserve">第二十一条 </w:t>
      </w:r>
      <w:r>
        <w:rPr>
          <w:rFonts w:hint="eastAsia" w:ascii="仿宋_GB2312" w:hAnsi="仿宋" w:cs="仿宋"/>
          <w:shd w:val="clear" w:color="auto" w:fill="FFFFFF"/>
        </w:rPr>
        <w:t>加氢站所在属地政府（含产业园区管委会）应加强对本辖区加氢站的运营服务和安全运行监管。任何单位和个人发现加氢站事故、事故隐患以及危害加氢站设备、设施安全的情况，应立即向相关企业或者政府有关部门报告。</w:t>
      </w:r>
    </w:p>
    <w:p>
      <w:pPr>
        <w:spacing w:beforeLines="0" w:afterLines="0" w:line="520" w:lineRule="exact"/>
        <w:rPr>
          <w:rFonts w:ascii="仿宋_GB2312" w:cs="Calibri"/>
          <w:snapToGrid/>
          <w:kern w:val="2"/>
        </w:rPr>
      </w:pPr>
    </w:p>
    <w:p>
      <w:pPr>
        <w:spacing w:beforeLines="0" w:afterLines="0" w:line="520" w:lineRule="exact"/>
        <w:jc w:val="center"/>
        <w:outlineLvl w:val="0"/>
        <w:rPr>
          <w:rFonts w:ascii="仿宋_GB2312" w:cs="Calibri"/>
          <w:snapToGrid/>
          <w:kern w:val="2"/>
        </w:rPr>
      </w:pPr>
      <w:r>
        <w:rPr>
          <w:rFonts w:hint="eastAsia" w:ascii="黑体" w:hAnsi="黑体" w:eastAsia="黑体" w:cs="黑体"/>
          <w:snapToGrid/>
          <w:kern w:val="2"/>
        </w:rPr>
        <w:t>第五章 应急预案与事故处置</w:t>
      </w:r>
    </w:p>
    <w:p>
      <w:pPr>
        <w:spacing w:beforeLines="0" w:afterLines="0" w:line="520" w:lineRule="exact"/>
        <w:rPr>
          <w:rFonts w:ascii="仿宋_GB2312" w:cs="宋体"/>
          <w:b/>
          <w:bCs/>
          <w:snapToGrid/>
          <w:kern w:val="2"/>
        </w:rPr>
      </w:pPr>
    </w:p>
    <w:p>
      <w:pPr>
        <w:spacing w:beforeLines="0" w:afterLines="0" w:line="520" w:lineRule="exact"/>
        <w:ind w:firstLine="640" w:firstLineChars="200"/>
        <w:rPr>
          <w:rFonts w:ascii="仿宋_GB2312" w:hAnsi="仿宋" w:cs="仿宋"/>
          <w:snapToGrid/>
          <w:kern w:val="2"/>
          <w:shd w:val="clear" w:color="auto" w:fill="FFFFFF"/>
        </w:rPr>
      </w:pPr>
      <w:r>
        <w:rPr>
          <w:rFonts w:hint="eastAsia" w:ascii="黑体" w:hAnsi="黑体" w:eastAsia="黑体" w:cs="黑体"/>
          <w:snapToGrid/>
          <w:kern w:val="0"/>
        </w:rPr>
        <w:t xml:space="preserve">第二十二条 </w:t>
      </w:r>
      <w:bookmarkStart w:id="1" w:name="_Hlk97820052"/>
      <w:r>
        <w:rPr>
          <w:rFonts w:hint="eastAsia" w:ascii="仿宋_GB2312" w:hAnsi="仿宋" w:cs="仿宋"/>
          <w:snapToGrid/>
          <w:kern w:val="2"/>
          <w:shd w:val="clear" w:color="auto" w:fill="FFFFFF"/>
        </w:rPr>
        <w:t>市城市管理委应会同市应急局、市市场监管局、市消防救援总队等部门制定市级加氢站应急预案，报市政府批准后组织实施。区政府应组织有关部门编制本行政区域内的加氢站应急预案，并报市政府备案。</w:t>
      </w:r>
    </w:p>
    <w:p>
      <w:pPr>
        <w:widowControl/>
        <w:spacing w:beforeLines="0" w:afterLines="0" w:line="520" w:lineRule="exact"/>
        <w:ind w:firstLine="640" w:firstLineChars="200"/>
        <w:rPr>
          <w:rFonts w:ascii="仿宋_GB2312" w:hAnsi="仿宋" w:cs="仿宋"/>
          <w:snapToGrid/>
          <w:kern w:val="0"/>
          <w:shd w:val="clear" w:color="auto" w:fill="FFFFFF"/>
        </w:rPr>
      </w:pPr>
      <w:r>
        <w:rPr>
          <w:rFonts w:hint="eastAsia" w:ascii="仿宋_GB2312" w:hAnsi="仿宋" w:cs="仿宋"/>
          <w:snapToGrid/>
          <w:kern w:val="0"/>
          <w:shd w:val="clear" w:color="auto" w:fill="FFFFFF"/>
        </w:rPr>
        <w:t>加氢站运营企业应根据市、区应急预案的规定，制定本企业加氢站应急预案</w:t>
      </w:r>
      <w:bookmarkEnd w:id="1"/>
      <w:r>
        <w:rPr>
          <w:rFonts w:hint="eastAsia" w:ascii="仿宋_GB2312" w:hAnsi="仿宋" w:cs="仿宋"/>
          <w:snapToGrid/>
          <w:kern w:val="0"/>
          <w:shd w:val="clear" w:color="auto" w:fill="FFFFFF"/>
        </w:rPr>
        <w:t>；应配备足够的应急抢险物资，建立重要应急物资的监管、储备和使用管理制度；设置并向社会公布抢险、抢修电话，并保持通信畅通。</w:t>
      </w:r>
    </w:p>
    <w:p>
      <w:pPr>
        <w:widowControl/>
        <w:spacing w:beforeLines="0" w:afterLines="0" w:line="520" w:lineRule="exact"/>
        <w:ind w:firstLine="640" w:firstLineChars="200"/>
        <w:rPr>
          <w:rFonts w:ascii="仿宋_GB2312" w:hAnsi="仿宋" w:cs="仿宋"/>
          <w:snapToGrid/>
          <w:kern w:val="0"/>
          <w:shd w:val="clear" w:color="auto" w:fill="FFFFFF"/>
        </w:rPr>
      </w:pPr>
      <w:r>
        <w:rPr>
          <w:rFonts w:hint="eastAsia" w:ascii="黑体" w:hAnsi="黑体" w:eastAsia="黑体" w:cs="黑体"/>
          <w:snapToGrid/>
          <w:kern w:val="0"/>
        </w:rPr>
        <w:t xml:space="preserve">第二十三条 </w:t>
      </w:r>
      <w:bookmarkStart w:id="2" w:name="_Hlk97820109"/>
      <w:r>
        <w:rPr>
          <w:rFonts w:hint="eastAsia" w:ascii="仿宋_GB2312" w:hAnsi="仿宋" w:cs="仿宋"/>
          <w:snapToGrid/>
          <w:kern w:val="0"/>
          <w:shd w:val="clear" w:color="auto" w:fill="FFFFFF"/>
        </w:rPr>
        <w:t>市、区政府有关部门以及加氢站运营企业，应有计划、有重点地进行加氢站应急预案演练，并根据实际情况及时修订应急预案。</w:t>
      </w:r>
      <w:bookmarkEnd w:id="2"/>
    </w:p>
    <w:p>
      <w:pPr>
        <w:spacing w:beforeLines="0" w:afterLines="0" w:line="520" w:lineRule="exact"/>
        <w:ind w:firstLine="640" w:firstLineChars="200"/>
        <w:rPr>
          <w:rFonts w:ascii="仿宋_GB2312" w:cs="宋体"/>
          <w:b/>
          <w:bCs/>
          <w:snapToGrid/>
          <w:kern w:val="2"/>
        </w:rPr>
      </w:pPr>
      <w:r>
        <w:rPr>
          <w:rFonts w:hint="eastAsia" w:ascii="黑体" w:hAnsi="黑体" w:eastAsia="黑体" w:cs="黑体"/>
          <w:snapToGrid/>
          <w:kern w:val="2"/>
        </w:rPr>
        <w:t xml:space="preserve">第二十四条 </w:t>
      </w:r>
      <w:bookmarkStart w:id="3" w:name="_Hlk97820153"/>
      <w:r>
        <w:rPr>
          <w:rFonts w:hint="eastAsia" w:ascii="仿宋_GB2312" w:cs="Calibri"/>
          <w:snapToGrid/>
          <w:kern w:val="2"/>
        </w:rPr>
        <w:t>加氢站内发生泄漏、火灾、爆炸或其他突发事件时，</w:t>
      </w:r>
      <w:bookmarkEnd w:id="3"/>
      <w:r>
        <w:rPr>
          <w:rFonts w:hint="eastAsia" w:ascii="仿宋_GB2312" w:cs="Calibri"/>
          <w:snapToGrid/>
          <w:kern w:val="2"/>
        </w:rPr>
        <w:t>加氢站运营企业应立即启动应急预案，组织抢险、抢修，并根据事件等级，按照程序向城市管理、应急、市场监管、消防救援等有关部门报告，</w:t>
      </w:r>
      <w:r>
        <w:rPr>
          <w:rFonts w:hint="eastAsia" w:ascii="仿宋_GB2312" w:hAnsi="仿宋" w:cs="仿宋"/>
          <w:snapToGrid/>
          <w:kern w:val="2"/>
          <w:shd w:val="clear" w:color="auto" w:fill="FFFFFF"/>
        </w:rPr>
        <w:t>不得迟报、漏报、谎报或者瞒报。</w:t>
      </w:r>
    </w:p>
    <w:p>
      <w:pPr>
        <w:widowControl/>
        <w:spacing w:beforeLines="0" w:afterLines="0" w:line="520" w:lineRule="exact"/>
        <w:ind w:firstLine="640" w:firstLineChars="200"/>
        <w:rPr>
          <w:rFonts w:ascii="仿宋_GB2312" w:hAnsi="仿宋" w:cs="仿宋"/>
          <w:snapToGrid/>
          <w:kern w:val="0"/>
          <w:shd w:val="clear" w:color="auto" w:fill="FFFFFF"/>
        </w:rPr>
      </w:pPr>
      <w:r>
        <w:rPr>
          <w:rFonts w:hint="eastAsia" w:ascii="仿宋_GB2312" w:hAnsi="仿宋" w:cs="仿宋"/>
          <w:snapToGrid/>
          <w:kern w:val="0"/>
          <w:shd w:val="clear" w:color="auto" w:fill="FFFFFF"/>
        </w:rPr>
        <w:t>政府有关部门应根据事件等级，依照加氢站应急预案，按照各自职责和业务范围，密切配合，做好安全突发事件的指挥、处置等工作。</w:t>
      </w:r>
    </w:p>
    <w:p>
      <w:pPr>
        <w:spacing w:beforeLines="0" w:afterLines="0" w:line="520" w:lineRule="exact"/>
        <w:ind w:firstLine="640" w:firstLineChars="200"/>
        <w:rPr>
          <w:rFonts w:ascii="仿宋_GB2312" w:hAnsi="黑体" w:cs="黑体"/>
        </w:rPr>
      </w:pPr>
      <w:r>
        <w:rPr>
          <w:rFonts w:hint="eastAsia" w:ascii="黑体" w:hAnsi="黑体" w:eastAsia="黑体" w:cs="黑体"/>
        </w:rPr>
        <w:t>第二十</w:t>
      </w:r>
      <w:r>
        <w:rPr>
          <w:rFonts w:hint="eastAsia" w:ascii="黑体" w:hAnsi="黑体" w:eastAsia="黑体" w:cs="黑体"/>
          <w:snapToGrid/>
          <w:kern w:val="2"/>
        </w:rPr>
        <w:t>五</w:t>
      </w:r>
      <w:r>
        <w:rPr>
          <w:rFonts w:hint="eastAsia" w:ascii="黑体" w:hAnsi="黑体" w:eastAsia="黑体" w:cs="黑体"/>
        </w:rPr>
        <w:t xml:space="preserve">条 </w:t>
      </w:r>
      <w:r>
        <w:rPr>
          <w:rFonts w:hint="eastAsia" w:ascii="仿宋_GB2312" w:hAnsi="仿宋" w:cs="仿宋"/>
          <w:shd w:val="clear" w:color="auto" w:fill="FFFFFF"/>
        </w:rPr>
        <w:t>应急部门应依法依规开展加氢站生产安全事故调查。</w:t>
      </w:r>
      <w:r>
        <w:rPr>
          <w:rFonts w:hint="eastAsia" w:ascii="仿宋_GB2312" w:hAnsi="黑体" w:cs="黑体"/>
        </w:rPr>
        <w:t>城市管理部门应汇集各有关部门掌握的加氢站安全事故信息，建立健全加氢站安全事故统计分析报告制度，组织制定有针对性的防范措施。</w:t>
      </w:r>
    </w:p>
    <w:p>
      <w:pPr>
        <w:spacing w:beforeLines="0" w:afterLines="0" w:line="520" w:lineRule="exact"/>
        <w:ind w:firstLine="640" w:firstLineChars="200"/>
        <w:rPr>
          <w:rFonts w:ascii="仿宋_GB2312" w:hAnsi="仿宋" w:cs="仿宋"/>
          <w:snapToGrid/>
          <w:kern w:val="2"/>
          <w:shd w:val="clear" w:color="auto" w:fill="FFFFFF"/>
        </w:rPr>
      </w:pPr>
      <w:r>
        <w:rPr>
          <w:rFonts w:hint="eastAsia" w:ascii="黑体" w:hAnsi="黑体" w:eastAsia="黑体" w:cs="黑体"/>
          <w:snapToGrid/>
          <w:kern w:val="2"/>
        </w:rPr>
        <w:t xml:space="preserve">第二十六条 </w:t>
      </w:r>
      <w:r>
        <w:rPr>
          <w:rFonts w:hint="eastAsia" w:ascii="仿宋_GB2312" w:hAnsi="黑体" w:cs="黑体"/>
          <w:snapToGrid/>
          <w:kern w:val="2"/>
        </w:rPr>
        <w:t>加氢站</w:t>
      </w:r>
      <w:r>
        <w:rPr>
          <w:rFonts w:hint="eastAsia" w:ascii="仿宋_GB2312" w:hAnsi="仿宋" w:cs="仿宋"/>
          <w:snapToGrid/>
          <w:kern w:val="2"/>
          <w:shd w:val="clear" w:color="auto" w:fill="FFFFFF"/>
        </w:rPr>
        <w:t>主动关停或者受到责令停产停业、吊销经营许可处罚的，城市管理部门应会同应急、市场监管、城管执法等部门，指导督促加氢站运营企业做好站内相关设备、设施的安全处置工作，及时排查并消除安全隐患。</w:t>
      </w:r>
    </w:p>
    <w:p>
      <w:pPr>
        <w:pStyle w:val="12"/>
        <w:spacing w:beforeLines="0" w:after="0" w:afterLines="0" w:line="520" w:lineRule="exact"/>
        <w:ind w:firstLine="320"/>
        <w:rPr>
          <w:sz w:val="32"/>
        </w:rPr>
      </w:pPr>
    </w:p>
    <w:p>
      <w:pPr>
        <w:pStyle w:val="12"/>
        <w:spacing w:beforeLines="0" w:after="0" w:afterLines="0" w:line="520" w:lineRule="exact"/>
        <w:ind w:firstLine="320"/>
        <w:rPr>
          <w:sz w:val="32"/>
        </w:rPr>
      </w:pPr>
    </w:p>
    <w:p>
      <w:pPr>
        <w:spacing w:beforeLines="0" w:afterLines="0" w:line="520" w:lineRule="exact"/>
        <w:jc w:val="center"/>
        <w:outlineLvl w:val="0"/>
        <w:rPr>
          <w:rFonts w:ascii="黑体" w:hAnsi="黑体" w:eastAsia="黑体" w:cs="黑体"/>
          <w:bCs/>
          <w:snapToGrid/>
          <w:kern w:val="2"/>
        </w:rPr>
      </w:pPr>
      <w:r>
        <w:rPr>
          <w:rFonts w:hint="eastAsia" w:ascii="黑体" w:hAnsi="黑体" w:eastAsia="黑体" w:cs="黑体"/>
          <w:bCs/>
          <w:snapToGrid/>
          <w:kern w:val="2"/>
        </w:rPr>
        <w:t>第六章 法律责任</w:t>
      </w:r>
    </w:p>
    <w:p>
      <w:pPr>
        <w:spacing w:beforeLines="0" w:afterLines="0" w:line="520" w:lineRule="exact"/>
        <w:jc w:val="center"/>
        <w:rPr>
          <w:rFonts w:ascii="仿宋_GB2312" w:cs="Calibri"/>
          <w:b/>
          <w:snapToGrid/>
          <w:kern w:val="2"/>
        </w:rPr>
      </w:pPr>
    </w:p>
    <w:p>
      <w:pPr>
        <w:spacing w:beforeLines="0" w:afterLines="0" w:line="520" w:lineRule="exact"/>
        <w:ind w:firstLine="640" w:firstLineChars="200"/>
        <w:rPr>
          <w:rFonts w:ascii="黑体" w:hAnsi="黑体" w:eastAsia="黑体" w:cs="黑体"/>
        </w:rPr>
      </w:pPr>
      <w:r>
        <w:rPr>
          <w:rFonts w:hint="eastAsia" w:ascii="黑体" w:hAnsi="黑体" w:eastAsia="黑体" w:cs="黑体"/>
        </w:rPr>
        <w:t xml:space="preserve">第二十七条 </w:t>
      </w:r>
      <w:r>
        <w:rPr>
          <w:rFonts w:hint="eastAsia" w:ascii="仿宋_GB2312" w:hAnsi="黑体" w:cs="黑体"/>
        </w:rPr>
        <w:t>对违反本办法的行为，按照《北京市燃气管理条例》等有关规定进行处罚。</w:t>
      </w:r>
    </w:p>
    <w:p>
      <w:pPr>
        <w:spacing w:beforeLines="0" w:afterLines="0" w:line="520" w:lineRule="exact"/>
        <w:ind w:firstLine="640" w:firstLineChars="200"/>
        <w:rPr>
          <w:rFonts w:ascii="仿宋_GB2312" w:hAnsi="黑体" w:cs="黑体"/>
        </w:rPr>
      </w:pPr>
      <w:r>
        <w:rPr>
          <w:rFonts w:hint="eastAsia" w:ascii="仿宋_GB2312" w:hAnsi="黑体" w:cs="黑体"/>
        </w:rPr>
        <w:t>涉及消防救援、应急、市场监管等有关部门管理规定的，由相关行政主管部门依法处理。</w:t>
      </w:r>
    </w:p>
    <w:p>
      <w:pPr>
        <w:spacing w:beforeLines="0" w:afterLines="0" w:line="520" w:lineRule="exact"/>
        <w:ind w:firstLine="640" w:firstLineChars="200"/>
        <w:rPr>
          <w:rFonts w:ascii="仿宋_GB2312" w:cs="Calibri"/>
          <w:snapToGrid/>
          <w:kern w:val="2"/>
        </w:rPr>
      </w:pPr>
    </w:p>
    <w:p>
      <w:pPr>
        <w:spacing w:beforeLines="0" w:afterLines="0" w:line="520" w:lineRule="exact"/>
        <w:jc w:val="center"/>
        <w:outlineLvl w:val="0"/>
        <w:rPr>
          <w:rFonts w:ascii="黑体" w:hAnsi="黑体" w:eastAsia="黑体" w:cs="黑体"/>
          <w:bCs/>
          <w:snapToGrid/>
          <w:kern w:val="2"/>
        </w:rPr>
      </w:pPr>
      <w:r>
        <w:rPr>
          <w:rFonts w:hint="eastAsia" w:ascii="黑体" w:hAnsi="黑体" w:eastAsia="黑体" w:cs="黑体"/>
          <w:bCs/>
          <w:snapToGrid/>
          <w:kern w:val="2"/>
        </w:rPr>
        <w:t>第七章 附</w:t>
      </w:r>
      <w:r>
        <w:rPr>
          <w:rFonts w:ascii="黑体" w:hAnsi="黑体" w:eastAsia="黑体" w:cs="黑体"/>
          <w:bCs/>
          <w:snapToGrid/>
          <w:kern w:val="2"/>
        </w:rPr>
        <w:t xml:space="preserve"> </w:t>
      </w:r>
      <w:r>
        <w:rPr>
          <w:rFonts w:hint="eastAsia" w:ascii="黑体" w:hAnsi="黑体" w:eastAsia="黑体" w:cs="黑体"/>
          <w:bCs/>
          <w:snapToGrid/>
          <w:kern w:val="2"/>
        </w:rPr>
        <w:t>则</w:t>
      </w:r>
    </w:p>
    <w:p>
      <w:pPr>
        <w:tabs>
          <w:tab w:val="left" w:pos="1215"/>
        </w:tabs>
        <w:spacing w:beforeLines="0" w:afterLines="0" w:line="520" w:lineRule="exact"/>
        <w:ind w:firstLine="640" w:firstLineChars="200"/>
        <w:rPr>
          <w:rFonts w:ascii="黑体" w:hAnsi="黑体" w:eastAsia="黑体" w:cs="黑体"/>
          <w:snapToGrid/>
          <w:kern w:val="2"/>
        </w:rPr>
      </w:pPr>
    </w:p>
    <w:p>
      <w:pPr>
        <w:tabs>
          <w:tab w:val="left" w:pos="1215"/>
        </w:tabs>
        <w:spacing w:beforeLines="0" w:afterLines="0" w:line="520" w:lineRule="exact"/>
        <w:ind w:firstLine="640" w:firstLineChars="200"/>
      </w:pPr>
      <w:r>
        <w:rPr>
          <w:rFonts w:hint="eastAsia" w:ascii="黑体" w:hAnsi="黑体" w:eastAsia="黑体" w:cs="黑体"/>
          <w:snapToGrid/>
          <w:kern w:val="2"/>
        </w:rPr>
        <w:t xml:space="preserve">第二十八条 </w:t>
      </w:r>
      <w:r>
        <w:rPr>
          <w:rFonts w:hint="eastAsia" w:ascii="仿宋_GB2312" w:cs="Calibri"/>
          <w:snapToGrid/>
          <w:kern w:val="2"/>
        </w:rPr>
        <w:t>本办法具体解释工作由城市管理、应急、市场监管、消防救援部门承担，自印发之日起实施。</w:t>
      </w:r>
    </w:p>
    <w:p>
      <w:pPr>
        <w:rPr>
          <w:rFonts w:hint="default"/>
          <w:lang w:val="en-US" w:eastAsia="zh-CN"/>
        </w:rPr>
      </w:pPr>
    </w:p>
    <w:p>
      <w:pPr>
        <w:pStyle w:val="2"/>
        <w:rPr>
          <w:rFonts w:hint="default"/>
          <w:lang w:val="en-US" w:eastAsia="zh-CN"/>
        </w:rPr>
      </w:pPr>
    </w:p>
    <w:p>
      <w:pPr>
        <w:pStyle w:val="3"/>
        <w:rPr>
          <w:rFonts w:hint="default"/>
          <w:lang w:val="en-US" w:eastAsia="zh-CN"/>
        </w:rPr>
      </w:pPr>
    </w:p>
    <w:p>
      <w:pPr>
        <w:snapToGrid w:val="0"/>
        <w:spacing w:before="48" w:beforeLines="20" w:line="440" w:lineRule="exact"/>
        <w:ind w:right="-51" w:firstLine="320" w:firstLineChars="100"/>
        <w:rPr>
          <w:rFonts w:hint="eastAsia"/>
          <w:lang w:val="en-US" w:eastAsia="zh-CN"/>
        </w:rPr>
      </w:pPr>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ind w:left="320" w:leftChars="100" w:right="32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180" w:firstLineChars="100"/>
                            <w:jc w:val="both"/>
                            <w:textAlignment w:val="auto"/>
                            <w:outlineLvl w:val="9"/>
                            <w:rPr>
                              <w:rFonts w:hint="eastAsia" w:eastAsia="仿宋_GB2312"/>
                              <w:sz w:val="1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9"/>
                      <w:ind w:left="320" w:leftChars="100" w:right="32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180" w:firstLineChars="100"/>
                      <w:jc w:val="both"/>
                      <w:textAlignment w:val="auto"/>
                      <w:outlineLvl w:val="9"/>
                      <w:rPr>
                        <w:rFonts w:hint="eastAsia" w:eastAsia="仿宋_GB2312"/>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Zjg3MzU4ZjcyOTYxZjA4NWZiM2M2Y2ZmNDE4NjIifQ=="/>
  </w:docVars>
  <w:rsids>
    <w:rsidRoot w:val="00000000"/>
    <w:rsid w:val="006907E2"/>
    <w:rsid w:val="00C43CDB"/>
    <w:rsid w:val="010D5895"/>
    <w:rsid w:val="01384483"/>
    <w:rsid w:val="03854FD5"/>
    <w:rsid w:val="03AD71E3"/>
    <w:rsid w:val="0861672C"/>
    <w:rsid w:val="09860953"/>
    <w:rsid w:val="0C4A00F5"/>
    <w:rsid w:val="0CBB349F"/>
    <w:rsid w:val="0D6A0CC4"/>
    <w:rsid w:val="0E4A57BA"/>
    <w:rsid w:val="0EB32658"/>
    <w:rsid w:val="102D24BB"/>
    <w:rsid w:val="10CC760B"/>
    <w:rsid w:val="11A34BE7"/>
    <w:rsid w:val="11B272B6"/>
    <w:rsid w:val="127F5CCB"/>
    <w:rsid w:val="15CF7121"/>
    <w:rsid w:val="181A5B41"/>
    <w:rsid w:val="1B162618"/>
    <w:rsid w:val="1B7F26D4"/>
    <w:rsid w:val="1C027836"/>
    <w:rsid w:val="1CBF3656"/>
    <w:rsid w:val="1D37025D"/>
    <w:rsid w:val="1D383A57"/>
    <w:rsid w:val="1D915257"/>
    <w:rsid w:val="1F9368F3"/>
    <w:rsid w:val="20535BB9"/>
    <w:rsid w:val="25A177FB"/>
    <w:rsid w:val="263F35A4"/>
    <w:rsid w:val="266026E6"/>
    <w:rsid w:val="27C355E9"/>
    <w:rsid w:val="28BC0BC5"/>
    <w:rsid w:val="29106FA9"/>
    <w:rsid w:val="2A5041D6"/>
    <w:rsid w:val="2D5401B2"/>
    <w:rsid w:val="2EDF030D"/>
    <w:rsid w:val="30923481"/>
    <w:rsid w:val="31B64987"/>
    <w:rsid w:val="348E462A"/>
    <w:rsid w:val="35173D62"/>
    <w:rsid w:val="362D66DA"/>
    <w:rsid w:val="37591D5A"/>
    <w:rsid w:val="37DC1F5D"/>
    <w:rsid w:val="3A4B0A4F"/>
    <w:rsid w:val="3AB0254A"/>
    <w:rsid w:val="3B6D2DCA"/>
    <w:rsid w:val="3DCF313E"/>
    <w:rsid w:val="3E194BC1"/>
    <w:rsid w:val="3EB04CBF"/>
    <w:rsid w:val="40974583"/>
    <w:rsid w:val="409754FF"/>
    <w:rsid w:val="40E40736"/>
    <w:rsid w:val="41087FF9"/>
    <w:rsid w:val="43973BF7"/>
    <w:rsid w:val="443B369F"/>
    <w:rsid w:val="45F96BBB"/>
    <w:rsid w:val="487E7CF3"/>
    <w:rsid w:val="4AAF4B24"/>
    <w:rsid w:val="4B1629DE"/>
    <w:rsid w:val="4C343CCD"/>
    <w:rsid w:val="4DEF209A"/>
    <w:rsid w:val="4EA5172B"/>
    <w:rsid w:val="51192561"/>
    <w:rsid w:val="523B6EE3"/>
    <w:rsid w:val="52576A5A"/>
    <w:rsid w:val="52632A1B"/>
    <w:rsid w:val="52792186"/>
    <w:rsid w:val="52F8230D"/>
    <w:rsid w:val="53D41857"/>
    <w:rsid w:val="54225097"/>
    <w:rsid w:val="542F3E5B"/>
    <w:rsid w:val="56C52753"/>
    <w:rsid w:val="57AA2BB8"/>
    <w:rsid w:val="57AE05F5"/>
    <w:rsid w:val="58BC1562"/>
    <w:rsid w:val="59DC06F4"/>
    <w:rsid w:val="5A113FC1"/>
    <w:rsid w:val="5C2855E4"/>
    <w:rsid w:val="5D983F46"/>
    <w:rsid w:val="5DC74686"/>
    <w:rsid w:val="5E3905A2"/>
    <w:rsid w:val="609A4830"/>
    <w:rsid w:val="623222E6"/>
    <w:rsid w:val="64F56B4A"/>
    <w:rsid w:val="65424284"/>
    <w:rsid w:val="655A14E9"/>
    <w:rsid w:val="66503D75"/>
    <w:rsid w:val="669C1C17"/>
    <w:rsid w:val="671C494B"/>
    <w:rsid w:val="676E33A1"/>
    <w:rsid w:val="67920ADD"/>
    <w:rsid w:val="68402C60"/>
    <w:rsid w:val="68684D3C"/>
    <w:rsid w:val="6B3B5383"/>
    <w:rsid w:val="6BD839B3"/>
    <w:rsid w:val="6CE37CA4"/>
    <w:rsid w:val="6F6A1B19"/>
    <w:rsid w:val="70B6155F"/>
    <w:rsid w:val="711C51A1"/>
    <w:rsid w:val="716C2BDE"/>
    <w:rsid w:val="725C785B"/>
    <w:rsid w:val="731E07E4"/>
    <w:rsid w:val="739C09CF"/>
    <w:rsid w:val="73A05E00"/>
    <w:rsid w:val="75EB1664"/>
    <w:rsid w:val="761902C9"/>
    <w:rsid w:val="77A74343"/>
    <w:rsid w:val="780A5250"/>
    <w:rsid w:val="798D40AD"/>
    <w:rsid w:val="79EA45AE"/>
    <w:rsid w:val="7A0D0355"/>
    <w:rsid w:val="7CBA7331"/>
    <w:rsid w:val="7CCB1E2A"/>
    <w:rsid w:val="7D795083"/>
    <w:rsid w:val="7DC16A64"/>
    <w:rsid w:val="7EB72D23"/>
    <w:rsid w:val="7F16216E"/>
    <w:rsid w:val="7F791185"/>
    <w:rsid w:val="DAB73DBB"/>
    <w:rsid w:val="FE5781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cs="Times New Roman"/>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after="120" w:line="240" w:lineRule="auto"/>
      <w:jc w:val="both"/>
    </w:pPr>
    <w:rPr>
      <w:rFonts w:ascii="宋体" w:hAnsi="宋体" w:eastAsia="宋体"/>
      <w:kern w:val="2"/>
      <w:sz w:val="21"/>
      <w:lang w:val="en-US" w:eastAsia="zh-CN"/>
    </w:rPr>
  </w:style>
  <w:style w:type="paragraph" w:customStyle="1" w:styleId="3">
    <w:name w:val="UserStyle_4"/>
    <w:next w:val="1"/>
    <w:qFormat/>
    <w:uiPriority w:val="0"/>
    <w:pPr>
      <w:jc w:val="both"/>
      <w:textAlignment w:val="baseline"/>
    </w:pPr>
    <w:rPr>
      <w:rFonts w:ascii="Calibri" w:hAnsi="Calibri" w:eastAsia="宋体" w:cs="Times New Roman"/>
      <w:sz w:val="21"/>
      <w:szCs w:val="22"/>
      <w:lang w:val="en-US" w:eastAsia="zh-CN" w:bidi="ar-SA"/>
    </w:rPr>
  </w:style>
  <w:style w:type="paragraph" w:styleId="5">
    <w:name w:val="Body Text"/>
    <w:basedOn w:val="1"/>
    <w:next w:val="6"/>
    <w:qFormat/>
    <w:uiPriority w:val="0"/>
    <w:pPr>
      <w:ind w:left="114"/>
    </w:pPr>
    <w:rPr>
      <w:rFonts w:hint="eastAsia" w:eastAsia="宋体"/>
      <w:sz w:val="30"/>
    </w:rPr>
  </w:style>
  <w:style w:type="paragraph" w:customStyle="1" w:styleId="6">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ody Text Indent"/>
    <w:basedOn w:val="1"/>
    <w:qFormat/>
    <w:uiPriority w:val="0"/>
    <w:pPr>
      <w:spacing w:line="360" w:lineRule="auto"/>
      <w:ind w:firstLine="600" w:firstLineChars="200"/>
    </w:pPr>
    <w:rPr>
      <w:rFonts w:ascii="仿宋_GB2312"/>
      <w:sz w:val="30"/>
    </w:rPr>
  </w:style>
  <w:style w:type="paragraph" w:styleId="8">
    <w:name w:val="Plain Text"/>
    <w:basedOn w:val="1"/>
    <w:qFormat/>
    <w:uiPriority w:val="0"/>
    <w:rPr>
      <w:rFonts w:ascii="宋体" w:hAnsi="Courier New" w:eastAsia="宋体" w:cs="Courier New"/>
      <w:kern w:val="2"/>
      <w:sz w:val="21"/>
      <w:szCs w:val="21"/>
      <w:lang w:val="en-US" w:eastAsia="zh-CN" w:bidi="ar-SA"/>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qFormat/>
    <w:uiPriority w:val="0"/>
    <w:pPr>
      <w:spacing w:after="140" w:line="276" w:lineRule="auto"/>
      <w:ind w:firstLine="420" w:firstLineChars="100"/>
    </w:pPr>
  </w:style>
  <w:style w:type="character" w:styleId="15">
    <w:name w:val="page number"/>
    <w:basedOn w:val="14"/>
    <w:qFormat/>
    <w:uiPriority w:val="0"/>
  </w:style>
  <w:style w:type="paragraph" w:customStyle="1" w:styleId="1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7">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customStyle="1" w:styleId="18">
    <w:name w:val="无间隔1"/>
    <w:basedOn w:val="1"/>
    <w:qFormat/>
    <w:uiPriority w:val="0"/>
    <w:pPr>
      <w:spacing w:line="400" w:lineRule="exact"/>
    </w:pPr>
    <w:rPr>
      <w:sz w:val="24"/>
    </w:rPr>
  </w:style>
  <w:style w:type="character" w:customStyle="1" w:styleId="19">
    <w:name w:val="NormalCharacter"/>
    <w:link w:val="20"/>
    <w:qFormat/>
    <w:uiPriority w:val="0"/>
    <w:rPr>
      <w:sz w:val="21"/>
      <w:szCs w:val="22"/>
    </w:rPr>
  </w:style>
  <w:style w:type="paragraph" w:customStyle="1" w:styleId="20">
    <w:name w:val="UserStyle_2"/>
    <w:basedOn w:val="1"/>
    <w:link w:val="19"/>
    <w:qFormat/>
    <w:uiPriority w:val="0"/>
    <w:pPr>
      <w:widowControl/>
      <w:textAlignment w:val="baseline"/>
    </w:pPr>
    <w:rPr>
      <w:sz w:val="21"/>
      <w:szCs w:val="22"/>
    </w:rPr>
  </w:style>
  <w:style w:type="paragraph" w:customStyle="1" w:styleId="21">
    <w:name w:val="正文缩进1"/>
    <w:basedOn w:val="1"/>
    <w:qFormat/>
    <w:uiPriority w:val="0"/>
    <w:pPr>
      <w:ind w:firstLine="420" w:firstLineChars="200"/>
    </w:pPr>
    <w:rPr>
      <w:rFonts w:ascii="Times New Roman" w:hAnsi="Times New Roman" w:eastAsia="宋体" w:cs="Times New Roman"/>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3">
    <w:name w:val="公文正文"/>
    <w:basedOn w:val="1"/>
    <w:qFormat/>
    <w:uiPriority w:val="0"/>
    <w:pPr>
      <w:adjustRightInd w:val="0"/>
      <w:snapToGrid w:val="0"/>
      <w:spacing w:line="560" w:lineRule="exact"/>
      <w:ind w:firstLine="56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4331</Words>
  <Characters>4368</Characters>
  <Lines>0</Lines>
  <Paragraphs>0</Paragraphs>
  <TotalTime>2</TotalTime>
  <ScaleCrop>false</ScaleCrop>
  <LinksUpToDate>false</LinksUpToDate>
  <CharactersWithSpaces>4488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2020-09-03T00:56:00Z</dcterms:created>
  <dc:creator>admin</dc:creator>
  <cp:lastModifiedBy> </cp:lastModifiedBy>
  <cp:lastPrinted>2024-01-17T01:32:00Z</cp:lastPrinted>
  <dcterms:modified xsi:type="dcterms:W3CDTF">2024-08-08T11:24:29Z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22A660361F5844DF95E4B246519FB5DD</vt:lpwstr>
  </property>
</Properties>
</file>