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4F77C">
      <w:pPr>
        <w:widowControl/>
        <w:ind w:firstLine="320" w:firstLineChars="100"/>
        <w:jc w:val="left"/>
        <w:rPr>
          <w:rFonts w:ascii="黑体" w:hAnsi="黑体" w:eastAsia="黑体" w:cs="黑体"/>
          <w:sz w:val="32"/>
          <w:szCs w:val="32"/>
        </w:rPr>
      </w:pPr>
      <w:bookmarkStart w:id="713" w:name="_GoBack"/>
      <w:bookmarkEnd w:id="713"/>
    </w:p>
    <w:p w14:paraId="7E04B217">
      <w:pPr>
        <w:widowControl/>
        <w:jc w:val="left"/>
        <w:rPr>
          <w:rFonts w:ascii="宋体" w:hAnsi="宋体" w:eastAsia="仿宋_GB2312"/>
          <w:sz w:val="24"/>
        </w:rPr>
      </w:pPr>
    </w:p>
    <w:p w14:paraId="44C49496">
      <w:pPr>
        <w:widowControl/>
        <w:jc w:val="left"/>
        <w:rPr>
          <w:rFonts w:ascii="宋体" w:hAnsi="宋体" w:eastAsia="仿宋_GB2312"/>
          <w:sz w:val="24"/>
        </w:rPr>
      </w:pPr>
    </w:p>
    <w:p w14:paraId="069DEC34">
      <w:pPr>
        <w:snapToGrid w:val="0"/>
        <w:spacing w:line="640" w:lineRule="exact"/>
        <w:jc w:val="center"/>
        <w:rPr>
          <w:rFonts w:ascii="宋体" w:hAnsi="宋体" w:eastAsia="方正小标宋简体"/>
          <w:sz w:val="44"/>
          <w:szCs w:val="44"/>
        </w:rPr>
      </w:pPr>
    </w:p>
    <w:p w14:paraId="329B1E6B">
      <w:pPr>
        <w:pStyle w:val="2"/>
        <w:numPr>
          <w:ilvl w:val="0"/>
          <w:numId w:val="0"/>
        </w:numPr>
        <w:spacing w:before="156" w:after="156"/>
        <w:rPr>
          <w:rFonts w:ascii="宋体" w:hAnsi="宋体" w:eastAsia="方正小标宋简体"/>
          <w:b w:val="0"/>
          <w:color w:val="auto"/>
          <w:sz w:val="44"/>
          <w:szCs w:val="44"/>
        </w:rPr>
      </w:pPr>
    </w:p>
    <w:p w14:paraId="0FC235C7">
      <w:pPr>
        <w:pStyle w:val="3"/>
        <w:rPr>
          <w:rFonts w:ascii="宋体" w:hAnsi="宋体"/>
        </w:rPr>
      </w:pPr>
    </w:p>
    <w:p w14:paraId="6746A0CB">
      <w:pPr>
        <w:adjustRightInd w:val="0"/>
        <w:snapToGrid w:val="0"/>
        <w:spacing w:line="600" w:lineRule="exact"/>
        <w:jc w:val="center"/>
        <w:rPr>
          <w:rFonts w:ascii="宋体" w:hAnsi="宋体" w:eastAsia="方正小标宋简体"/>
          <w:sz w:val="44"/>
          <w:szCs w:val="44"/>
        </w:rPr>
      </w:pPr>
      <w:bookmarkStart w:id="0" w:name="_Hlk519875026"/>
      <w:r>
        <w:rPr>
          <w:rFonts w:hint="eastAsia" w:ascii="宋体" w:hAnsi="宋体" w:eastAsia="方正小标宋简体"/>
          <w:sz w:val="44"/>
          <w:szCs w:val="44"/>
        </w:rPr>
        <w:t>北京市“十四五”时期城市照明发展规划</w:t>
      </w:r>
    </w:p>
    <w:p w14:paraId="2EEA9073">
      <w:pPr>
        <w:adjustRightInd w:val="0"/>
        <w:snapToGrid w:val="0"/>
        <w:spacing w:line="600" w:lineRule="exact"/>
        <w:jc w:val="center"/>
        <w:rPr>
          <w:rFonts w:ascii="宋体" w:hAnsi="宋体" w:eastAsia="楷体_GB2312" w:cs="楷体_GB2312"/>
          <w:sz w:val="32"/>
          <w:szCs w:val="32"/>
        </w:rPr>
      </w:pPr>
    </w:p>
    <w:p w14:paraId="21C3BAB6">
      <w:pPr>
        <w:jc w:val="center"/>
        <w:rPr>
          <w:rFonts w:ascii="宋体" w:hAnsi="宋体" w:eastAsia="方正小标宋简体"/>
          <w:sz w:val="44"/>
          <w:szCs w:val="44"/>
        </w:rPr>
      </w:pPr>
    </w:p>
    <w:p w14:paraId="546AE50C">
      <w:pPr>
        <w:jc w:val="center"/>
        <w:rPr>
          <w:rFonts w:ascii="宋体" w:hAnsi="宋体" w:eastAsia="方正小标宋简体"/>
          <w:sz w:val="44"/>
          <w:szCs w:val="44"/>
        </w:rPr>
      </w:pPr>
    </w:p>
    <w:p w14:paraId="53B8EA40">
      <w:pPr>
        <w:jc w:val="center"/>
        <w:rPr>
          <w:rFonts w:ascii="宋体" w:hAnsi="宋体" w:eastAsia="方正小标宋简体"/>
          <w:sz w:val="44"/>
          <w:szCs w:val="44"/>
        </w:rPr>
      </w:pPr>
    </w:p>
    <w:p w14:paraId="7E71F5A4">
      <w:pPr>
        <w:jc w:val="center"/>
        <w:rPr>
          <w:rFonts w:ascii="宋体" w:hAnsi="宋体" w:eastAsia="方正小标宋简体"/>
          <w:sz w:val="44"/>
          <w:szCs w:val="44"/>
        </w:rPr>
      </w:pPr>
    </w:p>
    <w:p w14:paraId="008B181A">
      <w:pPr>
        <w:jc w:val="center"/>
        <w:rPr>
          <w:rFonts w:ascii="宋体" w:hAnsi="宋体" w:eastAsia="方正小标宋简体"/>
          <w:sz w:val="44"/>
          <w:szCs w:val="44"/>
        </w:rPr>
      </w:pPr>
    </w:p>
    <w:p w14:paraId="3095B978">
      <w:pPr>
        <w:rPr>
          <w:rFonts w:ascii="宋体" w:hAnsi="宋体" w:eastAsia="方正小标宋简体"/>
          <w:sz w:val="44"/>
          <w:szCs w:val="44"/>
        </w:rPr>
      </w:pPr>
    </w:p>
    <w:p w14:paraId="26836168">
      <w:pPr>
        <w:jc w:val="center"/>
        <w:rPr>
          <w:rFonts w:ascii="宋体" w:hAnsi="宋体" w:eastAsia="方正小标宋简体"/>
          <w:sz w:val="44"/>
          <w:szCs w:val="44"/>
        </w:rPr>
      </w:pPr>
    </w:p>
    <w:p w14:paraId="33718A91">
      <w:pPr>
        <w:snapToGrid w:val="0"/>
        <w:jc w:val="center"/>
        <w:rPr>
          <w:rFonts w:ascii="宋体" w:hAnsi="宋体" w:eastAsia="方正小标宋简体"/>
          <w:sz w:val="32"/>
          <w:szCs w:val="32"/>
        </w:rPr>
      </w:pPr>
      <w:r>
        <w:rPr>
          <w:rFonts w:hint="eastAsia" w:ascii="宋体" w:hAnsi="宋体" w:eastAsia="方正小标宋简体"/>
          <w:sz w:val="32"/>
          <w:szCs w:val="32"/>
        </w:rPr>
        <w:t>北京市城市管理委员会</w:t>
      </w:r>
    </w:p>
    <w:p w14:paraId="3CA072D7">
      <w:pPr>
        <w:snapToGrid w:val="0"/>
        <w:jc w:val="center"/>
        <w:rPr>
          <w:rFonts w:ascii="宋体" w:hAnsi="宋体"/>
        </w:rPr>
      </w:pPr>
    </w:p>
    <w:p w14:paraId="71F9C18B">
      <w:pPr>
        <w:pStyle w:val="3"/>
        <w:rPr>
          <w:rFonts w:ascii="宋体" w:hAnsi="宋体" w:eastAsia="方正小标宋简体"/>
          <w:sz w:val="32"/>
          <w:szCs w:val="32"/>
        </w:rPr>
      </w:pPr>
    </w:p>
    <w:p w14:paraId="3F430ACC">
      <w:pPr>
        <w:rPr>
          <w:rFonts w:ascii="宋体" w:hAnsi="宋体"/>
        </w:rPr>
      </w:pPr>
    </w:p>
    <w:p w14:paraId="621D1877">
      <w:pPr>
        <w:pStyle w:val="2"/>
        <w:numPr>
          <w:ilvl w:val="0"/>
          <w:numId w:val="0"/>
        </w:numPr>
        <w:spacing w:before="156" w:after="156"/>
        <w:rPr>
          <w:rFonts w:ascii="宋体" w:hAnsi="宋体"/>
          <w:b w:val="0"/>
          <w:color w:val="auto"/>
        </w:rPr>
        <w:sectPr>
          <w:headerReference r:id="rId4" w:type="first"/>
          <w:headerReference r:id="rId3" w:type="default"/>
          <w:footerReference r:id="rId5" w:type="default"/>
          <w:pgSz w:w="11906" w:h="16838"/>
          <w:pgMar w:top="2098" w:right="1474" w:bottom="1984" w:left="1587" w:header="850" w:footer="1587" w:gutter="0"/>
          <w:pgNumType w:start="0"/>
          <w:cols w:space="0" w:num="1"/>
          <w:titlePg/>
          <w:docGrid w:type="lines" w:linePitch="312" w:charSpace="0"/>
        </w:sectPr>
      </w:pPr>
    </w:p>
    <w:p w14:paraId="491F58EF">
      <w:pPr>
        <w:pStyle w:val="2"/>
        <w:numPr>
          <w:ilvl w:val="255"/>
          <w:numId w:val="0"/>
        </w:numPr>
        <w:spacing w:before="156" w:after="156"/>
        <w:rPr>
          <w:rFonts w:ascii="宋体" w:hAnsi="宋体"/>
        </w:rPr>
        <w:sectPr>
          <w:footerReference r:id="rId6" w:type="default"/>
          <w:pgSz w:w="11906" w:h="16838"/>
          <w:pgMar w:top="2098" w:right="1474" w:bottom="1984" w:left="1587" w:header="850" w:footer="1587" w:gutter="0"/>
          <w:pgNumType w:start="1"/>
          <w:cols w:space="0" w:num="1"/>
          <w:docGrid w:type="lines" w:linePitch="312" w:charSpace="0"/>
        </w:sectPr>
      </w:pPr>
    </w:p>
    <w:p w14:paraId="316E0D8E">
      <w:pPr>
        <w:pStyle w:val="3"/>
        <w:rPr>
          <w:rFonts w:ascii="宋体" w:hAnsi="宋体"/>
        </w:rPr>
      </w:pPr>
    </w:p>
    <w:p w14:paraId="24EBFDF5">
      <w:pPr>
        <w:pStyle w:val="5"/>
        <w:keepNext w:val="0"/>
        <w:keepLines w:val="0"/>
        <w:pageBreakBefore w:val="0"/>
        <w:widowControl w:val="0"/>
        <w:numPr>
          <w:ilvl w:val="0"/>
          <w:numId w:val="0"/>
        </w:numPr>
        <w:adjustRightInd w:val="0"/>
        <w:snapToGrid w:val="0"/>
        <w:spacing w:before="0" w:after="0"/>
        <w:rPr>
          <w:rFonts w:ascii="宋体" w:hAnsi="宋体"/>
          <w:b w:val="0"/>
          <w:bCs w:val="0"/>
        </w:rPr>
      </w:pPr>
      <w:bookmarkStart w:id="1" w:name="_Toc87051117"/>
      <w:bookmarkStart w:id="2" w:name="_Toc84585578"/>
      <w:bookmarkStart w:id="3" w:name="_Toc87609318"/>
      <w:bookmarkStart w:id="4" w:name="_Toc75499179"/>
      <w:bookmarkStart w:id="5" w:name="_Toc87261827"/>
      <w:bookmarkStart w:id="6" w:name="_Toc88653434"/>
      <w:bookmarkStart w:id="7" w:name="_Toc13781"/>
      <w:bookmarkStart w:id="8" w:name="_Toc87049911"/>
      <w:bookmarkStart w:id="9" w:name="_Toc88062573"/>
      <w:bookmarkStart w:id="10" w:name="_Toc87265717"/>
      <w:bookmarkStart w:id="11" w:name="_Toc88042796"/>
      <w:bookmarkStart w:id="12" w:name="_Toc30310"/>
      <w:bookmarkStart w:id="13" w:name="_Toc60666716"/>
      <w:bookmarkStart w:id="14" w:name="_Toc88211692"/>
      <w:bookmarkStart w:id="15" w:name="_Toc87053073"/>
      <w:bookmarkStart w:id="16" w:name="_Toc88213078"/>
      <w:bookmarkStart w:id="17" w:name="_Toc84600577"/>
      <w:bookmarkStart w:id="18" w:name="_Toc87270609"/>
      <w:bookmarkStart w:id="19" w:name="_Toc87049359"/>
      <w:bookmarkStart w:id="20" w:name="_Toc88502644"/>
      <w:bookmarkStart w:id="21" w:name="_Toc17003"/>
      <w:bookmarkStart w:id="22" w:name="_Toc87053160"/>
      <w:bookmarkStart w:id="23" w:name="_Toc87049998"/>
      <w:bookmarkStart w:id="24" w:name="_Toc83737370"/>
      <w:bookmarkStart w:id="25" w:name="_Toc88656211"/>
      <w:bookmarkStart w:id="26" w:name="_Toc88041674"/>
      <w:bookmarkStart w:id="27" w:name="_Toc25618"/>
      <w:bookmarkStart w:id="28" w:name="_Toc86654458"/>
      <w:bookmarkStart w:id="29" w:name="_Toc83377201"/>
      <w:bookmarkStart w:id="30" w:name="_Toc88212835"/>
      <w:bookmarkStart w:id="31" w:name="_Toc88117745"/>
      <w:bookmarkStart w:id="32" w:name="_Toc87050153"/>
      <w:bookmarkStart w:id="33" w:name="_Toc29094"/>
      <w:bookmarkStart w:id="34" w:name="_Toc88053724"/>
      <w:bookmarkStart w:id="35" w:name="_Toc10679"/>
      <w:bookmarkStart w:id="36" w:name="_Toc88056834"/>
      <w:bookmarkStart w:id="37" w:name="_Toc84585169"/>
      <w:bookmarkStart w:id="38" w:name="_Toc88056552"/>
      <w:bookmarkStart w:id="39" w:name="_Toc30318"/>
      <w:bookmarkStart w:id="40" w:name="_Toc88034936"/>
      <w:bookmarkStart w:id="41" w:name="_Toc83734696"/>
      <w:bookmarkStart w:id="42" w:name="_Toc12384"/>
      <w:bookmarkStart w:id="43" w:name="_Toc87462448"/>
      <w:bookmarkStart w:id="44" w:name="_Toc87052116"/>
      <w:bookmarkStart w:id="45" w:name="_Toc87269486"/>
      <w:bookmarkStart w:id="46" w:name="_Toc87462331"/>
      <w:bookmarkStart w:id="47" w:name="_Toc87269571"/>
      <w:r>
        <w:rPr>
          <w:rStyle w:val="194"/>
          <w:rFonts w:hint="eastAsia" w:ascii="宋体" w:hAnsi="宋体" w:eastAsia="方正小标宋简体" w:cs="方正小标宋简体"/>
          <w:b w:val="0"/>
          <w:bCs w:val="0"/>
        </w:rPr>
        <w:t>目  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宋体" w:hAnsi="宋体"/>
          <w:b w:val="0"/>
          <w:bCs w:val="0"/>
        </w:rPr>
        <w:fldChar w:fldCharType="begin"/>
      </w:r>
      <w:r>
        <w:rPr>
          <w:rFonts w:ascii="宋体" w:hAnsi="宋体"/>
          <w:b w:val="0"/>
          <w:bCs w:val="0"/>
        </w:rPr>
        <w:instrText xml:space="preserve"> TOC \o "1-2" \h \z \u </w:instrText>
      </w:r>
      <w:r>
        <w:rPr>
          <w:rFonts w:ascii="宋体" w:hAnsi="宋体"/>
          <w:b w:val="0"/>
          <w:bCs w:val="0"/>
        </w:rPr>
        <w:fldChar w:fldCharType="separate"/>
      </w:r>
    </w:p>
    <w:p w14:paraId="67D48D86">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"_Toc10679" </w:instrText>
      </w:r>
      <w:r>
        <w:fldChar w:fldCharType="separate"/>
      </w:r>
      <w:r>
        <w:rPr>
          <w:rFonts w:hint="eastAsia" w:ascii="宋体" w:hAnsi="宋体" w:eastAsia="黑体" w:cs="黑体"/>
          <w:b w:val="0"/>
          <w:bCs/>
          <w:sz w:val="32"/>
          <w:szCs w:val="32"/>
        </w:rPr>
        <w:t>目</w:t>
      </w:r>
      <w:r>
        <w:rPr>
          <w:rFonts w:ascii="宋体" w:hAnsi="宋体" w:eastAsia="黑体" w:cs="黑体"/>
          <w:b w:val="0"/>
          <w:bCs/>
          <w:sz w:val="32"/>
          <w:szCs w:val="32"/>
        </w:rPr>
        <w:t xml:space="preserve">  </w:t>
      </w:r>
      <w:r>
        <w:rPr>
          <w:rFonts w:hint="eastAsia" w:ascii="宋体" w:hAnsi="宋体" w:eastAsia="黑体" w:cs="黑体"/>
          <w:b w:val="0"/>
          <w:bCs/>
          <w:sz w:val="32"/>
          <w:szCs w:val="32"/>
        </w:rPr>
        <w:t>录</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_Toc10679 </w:instrText>
      </w:r>
      <w:r>
        <w:rPr>
          <w:rFonts w:ascii="宋体" w:hAnsi="宋体" w:eastAsia="黑体" w:cs="黑体"/>
          <w:b w:val="0"/>
          <w:bCs/>
          <w:sz w:val="32"/>
          <w:szCs w:val="32"/>
        </w:rPr>
        <w:fldChar w:fldCharType="separate"/>
      </w:r>
      <w:r>
        <w:rPr>
          <w:rFonts w:ascii="宋体" w:hAnsi="宋体" w:eastAsia="黑体" w:cs="黑体"/>
          <w:b w:val="0"/>
          <w:bCs/>
          <w:sz w:val="32"/>
          <w:szCs w:val="32"/>
        </w:rPr>
        <w:t>2</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499EDAE2">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"_Toc26872" </w:instrText>
      </w:r>
      <w:r>
        <w:fldChar w:fldCharType="separate"/>
      </w:r>
      <w:r>
        <w:rPr>
          <w:rFonts w:hint="eastAsia" w:ascii="宋体" w:hAnsi="宋体" w:eastAsia="黑体" w:cs="黑体"/>
          <w:b w:val="0"/>
          <w:bCs/>
          <w:sz w:val="32"/>
          <w:szCs w:val="32"/>
        </w:rPr>
        <w:t>序</w:t>
      </w:r>
      <w:r>
        <w:rPr>
          <w:rFonts w:ascii="宋体" w:hAnsi="宋体" w:eastAsia="黑体" w:cs="黑体"/>
          <w:b w:val="0"/>
          <w:bCs/>
          <w:sz w:val="32"/>
          <w:szCs w:val="32"/>
        </w:rPr>
        <w:t xml:space="preserve">  </w:t>
      </w:r>
      <w:r>
        <w:rPr>
          <w:rFonts w:hint="eastAsia" w:ascii="宋体" w:hAnsi="宋体" w:eastAsia="黑体" w:cs="黑体"/>
          <w:b w:val="0"/>
          <w:bCs/>
          <w:sz w:val="32"/>
          <w:szCs w:val="32"/>
        </w:rPr>
        <w:t>言</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_Toc26872 </w:instrText>
      </w:r>
      <w:r>
        <w:rPr>
          <w:rFonts w:ascii="宋体" w:hAnsi="宋体" w:eastAsia="黑体" w:cs="黑体"/>
          <w:b w:val="0"/>
          <w:bCs/>
          <w:sz w:val="32"/>
          <w:szCs w:val="32"/>
        </w:rPr>
        <w:fldChar w:fldCharType="separate"/>
      </w:r>
      <w:r>
        <w:rPr>
          <w:rFonts w:ascii="宋体" w:hAnsi="宋体" w:eastAsia="黑体" w:cs="黑体"/>
          <w:b w:val="0"/>
          <w:bCs/>
          <w:sz w:val="32"/>
          <w:szCs w:val="32"/>
        </w:rPr>
        <w:t>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0C85F9A5">
      <w:pPr>
        <w:pStyle w:val="60"/>
        <w:tabs>
          <w:tab w:val="right" w:leader="dot" w:pos="8845"/>
          <w:tab w:val="clear" w:pos="8296"/>
        </w:tabs>
        <w:spacing w:line="560" w:lineRule="exact"/>
        <w:rPr>
          <w:rFonts w:ascii="宋体" w:hAnsi="宋体"/>
          <w:sz w:val="32"/>
          <w:szCs w:val="32"/>
        </w:rPr>
      </w:pPr>
      <w:r>
        <w:fldChar w:fldCharType="begin"/>
      </w:r>
      <w:r>
        <w:instrText xml:space="preserve"> HYPERLINK \l "_Toc20602" </w:instrText>
      </w:r>
      <w:r>
        <w:fldChar w:fldCharType="separate"/>
      </w:r>
      <w:r>
        <w:rPr>
          <w:rFonts w:hint="eastAsia" w:ascii="宋体" w:hAnsi="宋体" w:eastAsia="黑体" w:cs="黑体"/>
          <w:b w:val="0"/>
          <w:bCs/>
          <w:sz w:val="32"/>
          <w:szCs w:val="32"/>
        </w:rPr>
        <w:t>第一章</w:t>
      </w:r>
      <w:r>
        <w:rPr>
          <w:rFonts w:ascii="宋体" w:hAnsi="宋体" w:eastAsia="黑体" w:cs="黑体"/>
          <w:b w:val="0"/>
          <w:bCs/>
          <w:sz w:val="32"/>
          <w:szCs w:val="32"/>
        </w:rPr>
        <w:t xml:space="preserve"> </w:t>
      </w:r>
      <w:r>
        <w:rPr>
          <w:rFonts w:hint="eastAsia" w:ascii="宋体" w:hAnsi="宋体" w:eastAsia="黑体" w:cs="黑体"/>
          <w:b w:val="0"/>
          <w:bCs/>
          <w:sz w:val="32"/>
          <w:szCs w:val="32"/>
        </w:rPr>
        <w:t>“十三五”时期发展回顾</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_Toc20602 </w:instrText>
      </w:r>
      <w:r>
        <w:rPr>
          <w:rFonts w:ascii="宋体" w:hAnsi="宋体" w:eastAsia="黑体" w:cs="黑体"/>
          <w:b w:val="0"/>
          <w:bCs/>
          <w:sz w:val="32"/>
          <w:szCs w:val="32"/>
        </w:rPr>
        <w:fldChar w:fldCharType="separate"/>
      </w:r>
      <w:r>
        <w:rPr>
          <w:rFonts w:ascii="宋体" w:hAnsi="宋体" w:eastAsia="黑体" w:cs="黑体"/>
          <w:b w:val="0"/>
          <w:bCs/>
          <w:sz w:val="32"/>
          <w:szCs w:val="32"/>
        </w:rPr>
        <w:t>6</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44FD8B4D">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"_Toc22932" </w:instrText>
      </w:r>
      <w:r>
        <w:fldChar w:fldCharType="separate"/>
      </w:r>
      <w:r>
        <w:rPr>
          <w:rFonts w:hint="eastAsia" w:ascii="宋体" w:hAnsi="宋体" w:eastAsia="楷体_GB2312" w:cs="楷体_GB2312"/>
          <w:sz w:val="32"/>
          <w:szCs w:val="32"/>
        </w:rPr>
        <w:t>一、发展成就</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_Toc22932 </w:instrText>
      </w:r>
      <w:r>
        <w:rPr>
          <w:rFonts w:ascii="宋体" w:hAnsi="宋体" w:eastAsia="楷体_GB2312" w:cs="楷体_GB2312"/>
          <w:sz w:val="32"/>
          <w:szCs w:val="32"/>
        </w:rPr>
        <w:fldChar w:fldCharType="separate"/>
      </w:r>
      <w:r>
        <w:rPr>
          <w:rFonts w:ascii="宋体" w:hAnsi="宋体" w:eastAsia="楷体_GB2312" w:cs="楷体_GB2312"/>
          <w:sz w:val="32"/>
          <w:szCs w:val="32"/>
        </w:rPr>
        <w:t>6</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33F5DAB1">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"_Toc12564" </w:instrText>
      </w:r>
      <w:r>
        <w:fldChar w:fldCharType="separate"/>
      </w:r>
      <w:r>
        <w:rPr>
          <w:rFonts w:hint="eastAsia" w:ascii="宋体" w:hAnsi="宋体" w:eastAsia="楷体_GB2312" w:cs="楷体_GB2312"/>
          <w:sz w:val="32"/>
          <w:szCs w:val="32"/>
        </w:rPr>
        <w:t>二、主要问题</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_Toc12564 </w:instrText>
      </w:r>
      <w:r>
        <w:rPr>
          <w:rFonts w:ascii="宋体" w:hAnsi="宋体" w:eastAsia="楷体_GB2312" w:cs="楷体_GB2312"/>
          <w:sz w:val="32"/>
          <w:szCs w:val="32"/>
        </w:rPr>
        <w:fldChar w:fldCharType="separate"/>
      </w:r>
      <w:r>
        <w:rPr>
          <w:rFonts w:ascii="宋体" w:hAnsi="宋体" w:eastAsia="楷体_GB2312" w:cs="楷体_GB2312"/>
          <w:sz w:val="32"/>
          <w:szCs w:val="32"/>
        </w:rPr>
        <w:t>10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4CE376D">
      <w:pPr>
        <w:pStyle w:val="75"/>
        <w:tabs>
          <w:tab w:val="right" w:leader="dot" w:pos="8845"/>
        </w:tabs>
        <w:spacing w:line="560" w:lineRule="exact"/>
        <w:ind w:left="420"/>
        <w:rPr>
          <w:rFonts w:ascii="宋体" w:hAnsi="宋体"/>
          <w:sz w:val="32"/>
          <w:szCs w:val="32"/>
        </w:rPr>
      </w:pPr>
      <w:r>
        <w:fldChar w:fldCharType="begin"/>
      </w:r>
      <w:r>
        <w:instrText xml:space="preserve"> HYPERLINK \l "_Toc32026" </w:instrText>
      </w:r>
      <w:r>
        <w:fldChar w:fldCharType="separate"/>
      </w:r>
      <w:r>
        <w:rPr>
          <w:rFonts w:hint="eastAsia" w:ascii="宋体" w:hAnsi="宋体" w:eastAsia="楷体_GB2312" w:cs="楷体_GB2312"/>
          <w:sz w:val="32"/>
          <w:szCs w:val="32"/>
        </w:rPr>
        <w:t>三、面临形势</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_Toc32026 </w:instrText>
      </w:r>
      <w:r>
        <w:rPr>
          <w:rFonts w:ascii="宋体" w:hAnsi="宋体" w:eastAsia="楷体_GB2312" w:cs="楷体_GB2312"/>
          <w:sz w:val="32"/>
          <w:szCs w:val="32"/>
        </w:rPr>
        <w:fldChar w:fldCharType="separate"/>
      </w:r>
      <w:r>
        <w:rPr>
          <w:rFonts w:ascii="宋体" w:hAnsi="宋体" w:eastAsia="楷体_GB2312" w:cs="楷体_GB2312"/>
          <w:sz w:val="32"/>
          <w:szCs w:val="32"/>
        </w:rPr>
        <w:t>11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3E754B96">
      <w:pPr>
        <w:pStyle w:val="60"/>
        <w:tabs>
          <w:tab w:val="right" w:leader="dot" w:pos="8845"/>
          <w:tab w:val="clear" w:pos="8296"/>
        </w:tabs>
        <w:spacing w:line="560" w:lineRule="exact"/>
        <w:rPr>
          <w:rFonts w:ascii="宋体" w:hAnsi="宋体" w:eastAsia="黑体" w:cs="黑体"/>
          <w:b w:val="0"/>
          <w:sz w:val="32"/>
          <w:szCs w:val="32"/>
        </w:rPr>
      </w:pPr>
      <w:r>
        <w:fldChar w:fldCharType="begin"/>
      </w:r>
      <w:r>
        <w:instrText xml:space="preserve"> HYPERLINK \l "_Toc24741" </w:instrText>
      </w:r>
      <w:r>
        <w:fldChar w:fldCharType="separate"/>
      </w:r>
      <w:r>
        <w:rPr>
          <w:rFonts w:hint="eastAsia" w:ascii="宋体" w:hAnsi="宋体" w:eastAsia="黑体" w:cs="黑体"/>
          <w:b w:val="0"/>
          <w:sz w:val="32"/>
          <w:szCs w:val="32"/>
        </w:rPr>
        <w:t>第二章</w:t>
      </w:r>
      <w:r>
        <w:rPr>
          <w:rFonts w:ascii="宋体" w:hAnsi="宋体" w:eastAsia="黑体" w:cs="黑体"/>
          <w:b w:val="0"/>
          <w:sz w:val="32"/>
          <w:szCs w:val="32"/>
        </w:rPr>
        <w:t xml:space="preserve"> </w:t>
      </w:r>
      <w:r>
        <w:rPr>
          <w:rFonts w:hint="eastAsia" w:ascii="宋体" w:hAnsi="宋体" w:eastAsia="黑体" w:cs="黑体"/>
          <w:b w:val="0"/>
          <w:sz w:val="32"/>
          <w:szCs w:val="32"/>
        </w:rPr>
        <w:t>指导思想和发展目标</w:t>
      </w:r>
      <w:r>
        <w:rPr>
          <w:rFonts w:ascii="宋体" w:hAnsi="宋体" w:eastAsia="黑体" w:cs="黑体"/>
          <w:b w:val="0"/>
          <w:sz w:val="32"/>
          <w:szCs w:val="32"/>
        </w:rPr>
        <w:tab/>
      </w:r>
      <w:r>
        <w:rPr>
          <w:rFonts w:ascii="宋体" w:hAnsi="宋体" w:eastAsia="黑体" w:cs="黑体"/>
          <w:b w:val="0"/>
          <w:sz w:val="32"/>
          <w:szCs w:val="32"/>
        </w:rPr>
        <w:fldChar w:fldCharType="begin"/>
      </w:r>
      <w:r>
        <w:rPr>
          <w:rFonts w:ascii="宋体" w:hAnsi="宋体" w:eastAsia="黑体" w:cs="黑体"/>
          <w:b w:val="0"/>
          <w:sz w:val="32"/>
          <w:szCs w:val="32"/>
        </w:rPr>
        <w:instrText xml:space="preserve"> PAGEREF _Toc24741 </w:instrText>
      </w:r>
      <w:r>
        <w:rPr>
          <w:rFonts w:ascii="宋体" w:hAnsi="宋体" w:eastAsia="黑体" w:cs="黑体"/>
          <w:b w:val="0"/>
          <w:sz w:val="32"/>
          <w:szCs w:val="32"/>
        </w:rPr>
        <w:fldChar w:fldCharType="separate"/>
      </w:r>
      <w:r>
        <w:rPr>
          <w:rFonts w:ascii="宋体" w:hAnsi="宋体" w:eastAsia="黑体" w:cs="黑体"/>
          <w:b w:val="0"/>
          <w:sz w:val="32"/>
          <w:szCs w:val="32"/>
        </w:rPr>
        <w:t>14</w:t>
      </w:r>
      <w:r>
        <w:rPr>
          <w:rFonts w:ascii="宋体" w:hAnsi="宋体" w:eastAsia="黑体" w:cs="黑体"/>
          <w:b w:val="0"/>
          <w:sz w:val="32"/>
          <w:szCs w:val="32"/>
        </w:rPr>
        <w:fldChar w:fldCharType="end"/>
      </w:r>
      <w:r>
        <w:rPr>
          <w:rFonts w:ascii="宋体" w:hAnsi="宋体" w:eastAsia="黑体" w:cs="黑体"/>
          <w:b w:val="0"/>
          <w:sz w:val="32"/>
          <w:szCs w:val="32"/>
        </w:rPr>
        <w:fldChar w:fldCharType="end"/>
      </w:r>
    </w:p>
    <w:p w14:paraId="4A786CF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"_Toc24986" </w:instrText>
      </w:r>
      <w:r>
        <w:fldChar w:fldCharType="separate"/>
      </w:r>
      <w:r>
        <w:rPr>
          <w:rFonts w:hint="eastAsia" w:ascii="宋体" w:hAnsi="宋体" w:eastAsia="楷体_GB2312" w:cs="楷体_GB2312"/>
          <w:sz w:val="32"/>
          <w:szCs w:val="32"/>
        </w:rPr>
        <w:t>一、指导思想</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_Toc24986 </w:instrText>
      </w:r>
      <w:r>
        <w:rPr>
          <w:rFonts w:ascii="宋体" w:hAnsi="宋体" w:eastAsia="楷体_GB2312" w:cs="楷体_GB2312"/>
          <w:sz w:val="32"/>
          <w:szCs w:val="32"/>
        </w:rPr>
        <w:fldChar w:fldCharType="separate"/>
      </w:r>
      <w:r>
        <w:rPr>
          <w:rFonts w:ascii="宋体" w:hAnsi="宋体" w:eastAsia="楷体_GB2312" w:cs="楷体_GB2312"/>
          <w:sz w:val="32"/>
          <w:szCs w:val="32"/>
        </w:rPr>
        <w:t>14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481557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"_Toc5289" </w:instrText>
      </w:r>
      <w:r>
        <w:fldChar w:fldCharType="separate"/>
      </w:r>
      <w:r>
        <w:rPr>
          <w:rFonts w:hint="eastAsia" w:ascii="宋体" w:hAnsi="宋体" w:eastAsia="楷体_GB2312" w:cs="楷体_GB2312"/>
          <w:sz w:val="32"/>
          <w:szCs w:val="32"/>
        </w:rPr>
        <w:t>二、基本原则</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_Toc5289 </w:instrText>
      </w:r>
      <w:r>
        <w:rPr>
          <w:rFonts w:ascii="宋体" w:hAnsi="宋体" w:eastAsia="楷体_GB2312" w:cs="楷体_GB2312"/>
          <w:sz w:val="32"/>
          <w:szCs w:val="32"/>
        </w:rPr>
        <w:fldChar w:fldCharType="separate"/>
      </w:r>
      <w:r>
        <w:rPr>
          <w:rFonts w:ascii="宋体" w:hAnsi="宋体" w:eastAsia="楷体_GB2312" w:cs="楷体_GB2312"/>
          <w:sz w:val="32"/>
          <w:szCs w:val="32"/>
        </w:rPr>
        <w:t>14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B003F84">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"_Toc28583" </w:instrText>
      </w:r>
      <w:r>
        <w:fldChar w:fldCharType="separate"/>
      </w:r>
      <w:r>
        <w:rPr>
          <w:rFonts w:hint="eastAsia" w:ascii="宋体" w:hAnsi="宋体" w:eastAsia="楷体_GB2312" w:cs="楷体_GB2312"/>
          <w:sz w:val="32"/>
          <w:szCs w:val="32"/>
        </w:rPr>
        <w:t>三、规划依据</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_Toc28583 </w:instrText>
      </w:r>
      <w:r>
        <w:rPr>
          <w:rFonts w:ascii="宋体" w:hAnsi="宋体" w:eastAsia="楷体_GB2312" w:cs="楷体_GB2312"/>
          <w:sz w:val="32"/>
          <w:szCs w:val="32"/>
        </w:rPr>
        <w:fldChar w:fldCharType="separate"/>
      </w:r>
      <w:r>
        <w:rPr>
          <w:rFonts w:ascii="宋体" w:hAnsi="宋体" w:eastAsia="楷体_GB2312" w:cs="楷体_GB2312"/>
          <w:sz w:val="32"/>
          <w:szCs w:val="32"/>
        </w:rPr>
        <w:t>15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5714758">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"_Toc95" </w:instrText>
      </w:r>
      <w:r>
        <w:fldChar w:fldCharType="separate"/>
      </w:r>
      <w:r>
        <w:rPr>
          <w:rFonts w:hint="eastAsia" w:ascii="宋体" w:hAnsi="宋体" w:eastAsia="楷体_GB2312" w:cs="楷体_GB2312"/>
          <w:sz w:val="32"/>
          <w:szCs w:val="32"/>
        </w:rPr>
        <w:t>四、发展目标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_Toc95 </w:instrText>
      </w:r>
      <w:r>
        <w:rPr>
          <w:rFonts w:ascii="宋体" w:hAnsi="宋体" w:eastAsia="楷体_GB2312" w:cs="楷体_GB2312"/>
          <w:sz w:val="32"/>
          <w:szCs w:val="32"/>
        </w:rPr>
        <w:fldChar w:fldCharType="separate"/>
      </w:r>
      <w:r>
        <w:rPr>
          <w:rFonts w:ascii="宋体" w:hAnsi="宋体" w:eastAsia="楷体_GB2312" w:cs="楷体_GB2312"/>
          <w:sz w:val="32"/>
          <w:szCs w:val="32"/>
        </w:rPr>
        <w:t>17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FBCF14B">
      <w:pPr>
        <w:pStyle w:val="75"/>
        <w:tabs>
          <w:tab w:val="right" w:leader="dot" w:pos="8845"/>
        </w:tabs>
        <w:spacing w:line="560" w:lineRule="exact"/>
        <w:ind w:left="420"/>
        <w:rPr>
          <w:rFonts w:ascii="宋体" w:hAnsi="宋体"/>
          <w:sz w:val="32"/>
          <w:szCs w:val="32"/>
        </w:rPr>
      </w:pPr>
      <w:r>
        <w:fldChar w:fldCharType="begin"/>
      </w:r>
      <w:r>
        <w:instrText xml:space="preserve"> HYPERLINK \l "_Toc11919" </w:instrText>
      </w:r>
      <w:r>
        <w:fldChar w:fldCharType="separate"/>
      </w:r>
      <w:r>
        <w:rPr>
          <w:rFonts w:hint="eastAsia" w:ascii="宋体" w:hAnsi="宋体" w:eastAsia="楷体_GB2312" w:cs="楷体_GB2312"/>
          <w:sz w:val="32"/>
          <w:szCs w:val="32"/>
        </w:rPr>
        <w:t>五、主要指标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_Toc11919 </w:instrText>
      </w:r>
      <w:r>
        <w:rPr>
          <w:rFonts w:ascii="宋体" w:hAnsi="宋体" w:eastAsia="楷体_GB2312" w:cs="楷体_GB2312"/>
          <w:sz w:val="32"/>
          <w:szCs w:val="32"/>
        </w:rPr>
        <w:fldChar w:fldCharType="separate"/>
      </w:r>
      <w:r>
        <w:rPr>
          <w:rFonts w:ascii="宋体" w:hAnsi="宋体" w:eastAsia="楷体_GB2312" w:cs="楷体_GB2312"/>
          <w:sz w:val="32"/>
          <w:szCs w:val="32"/>
        </w:rPr>
        <w:t>18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191DD17">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"_Toc29350" </w:instrText>
      </w:r>
      <w:r>
        <w:fldChar w:fldCharType="separate"/>
      </w:r>
      <w:r>
        <w:rPr>
          <w:rFonts w:hint="eastAsia" w:ascii="宋体" w:hAnsi="宋体" w:eastAsia="黑体" w:cs="黑体"/>
          <w:b w:val="0"/>
          <w:bCs/>
          <w:sz w:val="32"/>
          <w:szCs w:val="32"/>
        </w:rPr>
        <w:t>第三章</w:t>
      </w:r>
      <w:r>
        <w:rPr>
          <w:rFonts w:ascii="宋体" w:hAnsi="宋体" w:eastAsia="黑体" w:cs="黑体"/>
          <w:b w:val="0"/>
          <w:bCs/>
          <w:sz w:val="32"/>
          <w:szCs w:val="32"/>
        </w:rPr>
        <w:t xml:space="preserve"> </w:t>
      </w:r>
      <w:r>
        <w:rPr>
          <w:rFonts w:hint="eastAsia" w:ascii="宋体" w:hAnsi="宋体" w:eastAsia="黑体" w:cs="黑体"/>
          <w:b w:val="0"/>
          <w:bCs/>
          <w:sz w:val="32"/>
          <w:szCs w:val="32"/>
        </w:rPr>
        <w:t>安全宜居，构建一流城市照明</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_Toc29350 </w:instrText>
      </w:r>
      <w:r>
        <w:rPr>
          <w:rFonts w:ascii="宋体" w:hAnsi="宋体" w:eastAsia="黑体" w:cs="黑体"/>
          <w:b w:val="0"/>
          <w:bCs/>
          <w:sz w:val="32"/>
          <w:szCs w:val="32"/>
        </w:rPr>
        <w:fldChar w:fldCharType="separate"/>
      </w:r>
      <w:r>
        <w:rPr>
          <w:rFonts w:ascii="宋体" w:hAnsi="宋体" w:eastAsia="黑体" w:cs="黑体"/>
          <w:b w:val="0"/>
          <w:bCs/>
          <w:sz w:val="32"/>
          <w:szCs w:val="32"/>
        </w:rPr>
        <w:t>19</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7EF13A77">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"_Toc11099" </w:instrText>
      </w:r>
      <w:r>
        <w:fldChar w:fldCharType="separate"/>
      </w:r>
      <w:r>
        <w:rPr>
          <w:rFonts w:hint="eastAsia" w:ascii="宋体" w:hAnsi="宋体" w:eastAsia="楷体_GB2312" w:cs="楷体_GB2312"/>
          <w:sz w:val="32"/>
          <w:szCs w:val="32"/>
        </w:rPr>
        <w:t>一、治理无灯路段，满足照明需求</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_Toc11099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36CF263D">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"_Toc24448" </w:instrText>
      </w:r>
      <w:r>
        <w:fldChar w:fldCharType="separate"/>
      </w:r>
      <w:r>
        <w:rPr>
          <w:rFonts w:hint="eastAsia" w:ascii="宋体" w:hAnsi="宋体" w:eastAsia="楷体_GB2312" w:cs="楷体_GB2312"/>
          <w:sz w:val="32"/>
          <w:szCs w:val="32"/>
        </w:rPr>
        <w:t>二、区域维护改造，基础设施升级</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_Toc24448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46464E0">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"_Toc8374" </w:instrText>
      </w:r>
      <w:r>
        <w:fldChar w:fldCharType="separate"/>
      </w:r>
      <w:r>
        <w:rPr>
          <w:rFonts w:hint="eastAsia" w:ascii="宋体" w:hAnsi="宋体" w:eastAsia="楷体_GB2312" w:cs="楷体_GB2312"/>
          <w:sz w:val="32"/>
          <w:szCs w:val="32"/>
        </w:rPr>
        <w:t>三、突出居住区域，提升环境品质</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_Toc8374 </w:instrText>
      </w:r>
      <w:r>
        <w:rPr>
          <w:rFonts w:ascii="宋体" w:hAnsi="宋体" w:eastAsia="楷体_GB2312" w:cs="楷体_GB2312"/>
          <w:sz w:val="32"/>
          <w:szCs w:val="32"/>
        </w:rPr>
        <w:fldChar w:fldCharType="separate"/>
      </w:r>
      <w:r>
        <w:rPr>
          <w:rFonts w:ascii="宋体" w:hAnsi="宋体" w:eastAsia="楷体_GB2312" w:cs="楷体_GB2312"/>
          <w:sz w:val="32"/>
          <w:szCs w:val="32"/>
        </w:rPr>
        <w:t>19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3D5D234">
      <w:pPr>
        <w:pStyle w:val="75"/>
        <w:tabs>
          <w:tab w:val="right" w:leader="dot" w:pos="8845"/>
        </w:tabs>
        <w:spacing w:line="560" w:lineRule="exact"/>
        <w:ind w:left="420"/>
        <w:rPr>
          <w:rFonts w:ascii="宋体" w:hAnsi="宋体"/>
          <w:sz w:val="32"/>
          <w:szCs w:val="32"/>
        </w:rPr>
      </w:pPr>
      <w:r>
        <w:fldChar w:fldCharType="begin"/>
      </w:r>
      <w:r>
        <w:instrText xml:space="preserve"> HYPERLINK \l "_Toc6867" </w:instrText>
      </w:r>
      <w:r>
        <w:fldChar w:fldCharType="separate"/>
      </w:r>
      <w:r>
        <w:rPr>
          <w:rFonts w:hint="eastAsia" w:ascii="宋体" w:hAnsi="宋体" w:eastAsia="楷体_GB2312" w:cs="楷体_GB2312"/>
          <w:sz w:val="32"/>
          <w:szCs w:val="32"/>
        </w:rPr>
        <w:t>四、完善</w:t>
      </w:r>
      <w:r>
        <w:rPr>
          <w:rFonts w:hint="eastAsia" w:ascii="宋体" w:hAnsi="宋体" w:eastAsia="楷体_GB2312" w:cs="楷体_GB2312"/>
          <w:sz w:val="32"/>
          <w:szCs w:val="32"/>
          <w:lang w:eastAsia="zh-Hans"/>
        </w:rPr>
        <w:t>指标</w:t>
      </w:r>
      <w:r>
        <w:rPr>
          <w:rFonts w:hint="eastAsia" w:ascii="宋体" w:hAnsi="宋体" w:eastAsia="楷体_GB2312" w:cs="楷体_GB2312"/>
          <w:sz w:val="32"/>
          <w:szCs w:val="32"/>
        </w:rPr>
        <w:t>体系，健全功能照明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_Toc6867 </w:instrText>
      </w:r>
      <w:r>
        <w:rPr>
          <w:rFonts w:ascii="宋体" w:hAnsi="宋体" w:eastAsia="楷体_GB2312" w:cs="楷体_GB2312"/>
          <w:sz w:val="32"/>
          <w:szCs w:val="32"/>
        </w:rPr>
        <w:fldChar w:fldCharType="separate"/>
      </w:r>
      <w:r>
        <w:rPr>
          <w:rFonts w:ascii="宋体" w:hAnsi="宋体" w:eastAsia="楷体_GB2312" w:cs="楷体_GB2312"/>
          <w:sz w:val="32"/>
          <w:szCs w:val="32"/>
        </w:rPr>
        <w:t>20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6B52D03">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"_Toc12080" </w:instrText>
      </w:r>
      <w:r>
        <w:fldChar w:fldCharType="separate"/>
      </w:r>
      <w:r>
        <w:rPr>
          <w:rFonts w:hint="eastAsia" w:ascii="宋体" w:hAnsi="宋体" w:eastAsia="黑体" w:cs="黑体"/>
          <w:b w:val="0"/>
          <w:bCs/>
          <w:sz w:val="32"/>
          <w:szCs w:val="32"/>
        </w:rPr>
        <w:t>第四章</w:t>
      </w:r>
      <w:r>
        <w:rPr>
          <w:rFonts w:ascii="宋体" w:hAnsi="宋体" w:eastAsia="黑体" w:cs="黑体"/>
          <w:b w:val="0"/>
          <w:bCs/>
          <w:sz w:val="32"/>
          <w:szCs w:val="32"/>
        </w:rPr>
        <w:t xml:space="preserve"> </w:t>
      </w:r>
      <w:r>
        <w:rPr>
          <w:rFonts w:hint="eastAsia" w:ascii="宋体" w:hAnsi="宋体" w:eastAsia="黑体" w:cs="黑体"/>
          <w:b w:val="0"/>
          <w:bCs/>
          <w:sz w:val="32"/>
          <w:szCs w:val="32"/>
        </w:rPr>
        <w:t>双碳统筹，建设低碳节能典范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_Toc12080 </w:instrText>
      </w:r>
      <w:r>
        <w:rPr>
          <w:rFonts w:ascii="宋体" w:hAnsi="宋体" w:eastAsia="黑体" w:cs="黑体"/>
          <w:b w:val="0"/>
          <w:bCs/>
          <w:sz w:val="32"/>
          <w:szCs w:val="32"/>
        </w:rPr>
        <w:fldChar w:fldCharType="separate"/>
      </w:r>
      <w:r>
        <w:rPr>
          <w:rFonts w:ascii="宋体" w:hAnsi="宋体" w:eastAsia="黑体" w:cs="黑体"/>
          <w:b w:val="0"/>
          <w:bCs/>
          <w:sz w:val="32"/>
          <w:szCs w:val="32"/>
        </w:rPr>
        <w:t>21</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6E876455">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"_Toc30251" </w:instrText>
      </w:r>
      <w:r>
        <w:fldChar w:fldCharType="separate"/>
      </w:r>
      <w:r>
        <w:rPr>
          <w:rFonts w:hint="eastAsia" w:ascii="宋体" w:hAnsi="宋体" w:eastAsia="楷体_GB2312" w:cs="楷体_GB2312"/>
          <w:sz w:val="32"/>
          <w:szCs w:val="32"/>
        </w:rPr>
        <w:t>一、建立负面清单制度，强化标准约束</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_Toc30251 </w:instrText>
      </w:r>
      <w:r>
        <w:rPr>
          <w:rFonts w:ascii="宋体" w:hAnsi="宋体" w:eastAsia="楷体_GB2312" w:cs="楷体_GB2312"/>
          <w:sz w:val="32"/>
          <w:szCs w:val="32"/>
        </w:rPr>
        <w:fldChar w:fldCharType="separate"/>
      </w:r>
      <w:r>
        <w:rPr>
          <w:rFonts w:ascii="宋体" w:hAnsi="宋体" w:eastAsia="楷体_GB2312" w:cs="楷体_GB2312"/>
          <w:sz w:val="32"/>
          <w:szCs w:val="32"/>
        </w:rPr>
        <w:t>21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B45839B">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"_Toc12408" </w:instrText>
      </w:r>
      <w:r>
        <w:fldChar w:fldCharType="separate"/>
      </w:r>
      <w:r>
        <w:rPr>
          <w:rFonts w:hint="eastAsia" w:ascii="宋体" w:hAnsi="宋体" w:eastAsia="楷体_GB2312" w:cs="楷体_GB2312"/>
          <w:sz w:val="32"/>
          <w:szCs w:val="32"/>
        </w:rPr>
        <w:t>二、严控照明启闭时间及供电</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_Toc12408 </w:instrText>
      </w:r>
      <w:r>
        <w:rPr>
          <w:rFonts w:ascii="宋体" w:hAnsi="宋体" w:eastAsia="楷体_GB2312" w:cs="楷体_GB2312"/>
          <w:sz w:val="32"/>
          <w:szCs w:val="32"/>
        </w:rPr>
        <w:fldChar w:fldCharType="separate"/>
      </w:r>
      <w:r>
        <w:rPr>
          <w:rFonts w:ascii="宋体" w:hAnsi="宋体" w:eastAsia="楷体_GB2312" w:cs="楷体_GB2312"/>
          <w:sz w:val="32"/>
          <w:szCs w:val="32"/>
        </w:rPr>
        <w:t>21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DA92EA0">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"_Toc16770" </w:instrText>
      </w:r>
      <w:r>
        <w:fldChar w:fldCharType="separate"/>
      </w:r>
      <w:r>
        <w:rPr>
          <w:rFonts w:hint="eastAsia" w:ascii="宋体" w:hAnsi="宋体" w:eastAsia="楷体_GB2312" w:cs="楷体_GB2312"/>
          <w:sz w:val="32"/>
          <w:szCs w:val="32"/>
        </w:rPr>
        <w:t>三、推广高效产品，促进低碳节能</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_Toc16770 </w:instrText>
      </w:r>
      <w:r>
        <w:rPr>
          <w:rFonts w:ascii="宋体" w:hAnsi="宋体" w:eastAsia="楷体_GB2312" w:cs="楷体_GB2312"/>
          <w:sz w:val="32"/>
          <w:szCs w:val="32"/>
        </w:rPr>
        <w:fldChar w:fldCharType="separate"/>
      </w:r>
      <w:r>
        <w:rPr>
          <w:rFonts w:ascii="宋体" w:hAnsi="宋体" w:eastAsia="楷体_GB2312" w:cs="楷体_GB2312"/>
          <w:sz w:val="32"/>
          <w:szCs w:val="32"/>
        </w:rPr>
        <w:t>22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DF24786">
      <w:pPr>
        <w:pStyle w:val="75"/>
        <w:tabs>
          <w:tab w:val="right" w:leader="dot" w:pos="8845"/>
        </w:tabs>
        <w:spacing w:line="560" w:lineRule="exact"/>
        <w:ind w:left="420"/>
        <w:rPr>
          <w:rFonts w:ascii="宋体" w:hAnsi="宋体"/>
          <w:sz w:val="32"/>
          <w:szCs w:val="32"/>
        </w:rPr>
      </w:pPr>
      <w:r>
        <w:fldChar w:fldCharType="begin"/>
      </w:r>
      <w:r>
        <w:instrText xml:space="preserve"> HYPERLINK \l "_Toc17793" </w:instrText>
      </w:r>
      <w:r>
        <w:fldChar w:fldCharType="separate"/>
      </w:r>
      <w:r>
        <w:rPr>
          <w:rFonts w:hint="eastAsia" w:ascii="宋体" w:hAnsi="宋体" w:eastAsia="楷体_GB2312" w:cs="楷体_GB2312"/>
          <w:sz w:val="32"/>
          <w:szCs w:val="32"/>
        </w:rPr>
        <w:t>四、建立科学指标体系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_Toc17793 </w:instrText>
      </w:r>
      <w:r>
        <w:rPr>
          <w:rFonts w:ascii="宋体" w:hAnsi="宋体" w:eastAsia="楷体_GB2312" w:cs="楷体_GB2312"/>
          <w:sz w:val="32"/>
          <w:szCs w:val="32"/>
        </w:rPr>
        <w:fldChar w:fldCharType="separate"/>
      </w:r>
      <w:r>
        <w:rPr>
          <w:rFonts w:ascii="宋体" w:hAnsi="宋体" w:eastAsia="楷体_GB2312" w:cs="楷体_GB2312"/>
          <w:sz w:val="32"/>
          <w:szCs w:val="32"/>
        </w:rPr>
        <w:t>22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959BBEC">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"_Toc28510" </w:instrText>
      </w:r>
      <w:r>
        <w:fldChar w:fldCharType="separate"/>
      </w:r>
      <w:r>
        <w:rPr>
          <w:rFonts w:hint="eastAsia" w:ascii="宋体" w:hAnsi="宋体" w:eastAsia="黑体" w:cs="黑体"/>
          <w:b w:val="0"/>
          <w:bCs/>
          <w:sz w:val="32"/>
          <w:szCs w:val="32"/>
        </w:rPr>
        <w:t>第五章</w:t>
      </w:r>
      <w:r>
        <w:rPr>
          <w:rFonts w:ascii="宋体" w:hAnsi="宋体" w:eastAsia="黑体" w:cs="黑体"/>
          <w:b w:val="0"/>
          <w:bCs/>
          <w:sz w:val="32"/>
          <w:szCs w:val="32"/>
        </w:rPr>
        <w:t xml:space="preserve"> </w:t>
      </w:r>
      <w:r>
        <w:rPr>
          <w:rFonts w:hint="eastAsia" w:ascii="宋体" w:hAnsi="宋体" w:eastAsia="黑体" w:cs="黑体"/>
          <w:b w:val="0"/>
          <w:bCs/>
          <w:sz w:val="32"/>
          <w:szCs w:val="32"/>
        </w:rPr>
        <w:t>绿色生态，全生命周期管理</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_Toc28510 </w:instrText>
      </w:r>
      <w:r>
        <w:rPr>
          <w:rFonts w:ascii="宋体" w:hAnsi="宋体" w:eastAsia="黑体" w:cs="黑体"/>
          <w:b w:val="0"/>
          <w:bCs/>
          <w:sz w:val="32"/>
          <w:szCs w:val="32"/>
        </w:rPr>
        <w:fldChar w:fldCharType="separate"/>
      </w:r>
      <w:r>
        <w:rPr>
          <w:rFonts w:ascii="宋体" w:hAnsi="宋体" w:eastAsia="黑体" w:cs="黑体"/>
          <w:b w:val="0"/>
          <w:bCs/>
          <w:sz w:val="32"/>
          <w:szCs w:val="32"/>
        </w:rPr>
        <w:t>25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39D7D16A">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"_Toc32428" </w:instrText>
      </w:r>
      <w:r>
        <w:fldChar w:fldCharType="separate"/>
      </w:r>
      <w:r>
        <w:rPr>
          <w:rFonts w:hint="eastAsia" w:ascii="宋体" w:hAnsi="宋体" w:eastAsia="楷体_GB2312" w:cs="楷体_GB2312"/>
          <w:sz w:val="32"/>
          <w:szCs w:val="32"/>
        </w:rPr>
        <w:t>一、“暗天空”保护</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_Toc32428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CC16FBF">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"_Toc24259" </w:instrText>
      </w:r>
      <w:r>
        <w:fldChar w:fldCharType="separate"/>
      </w:r>
      <w:r>
        <w:rPr>
          <w:rFonts w:hint="eastAsia" w:ascii="宋体" w:hAnsi="宋体" w:eastAsia="楷体_GB2312" w:cs="楷体_GB2312"/>
          <w:sz w:val="32"/>
          <w:szCs w:val="32"/>
        </w:rPr>
        <w:t>二、光污染防治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_Toc24259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53B718D">
      <w:pPr>
        <w:pStyle w:val="75"/>
        <w:tabs>
          <w:tab w:val="right" w:leader="dot" w:pos="8845"/>
        </w:tabs>
        <w:spacing w:line="560" w:lineRule="exact"/>
        <w:ind w:left="420"/>
        <w:rPr>
          <w:rFonts w:ascii="宋体" w:hAnsi="宋体"/>
          <w:sz w:val="32"/>
          <w:szCs w:val="32"/>
        </w:rPr>
      </w:pPr>
      <w:r>
        <w:fldChar w:fldCharType="begin"/>
      </w:r>
      <w:r>
        <w:instrText xml:space="preserve"> HYPERLINK \l "_Toc13935" </w:instrText>
      </w:r>
      <w:r>
        <w:fldChar w:fldCharType="separate"/>
      </w:r>
      <w:r>
        <w:rPr>
          <w:rFonts w:hint="eastAsia" w:ascii="宋体" w:hAnsi="宋体" w:eastAsia="楷体_GB2312" w:cs="楷体_GB2312"/>
          <w:sz w:val="32"/>
          <w:szCs w:val="32"/>
        </w:rPr>
        <w:t>三、全生命周期</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_Toc13935 </w:instrText>
      </w:r>
      <w:r>
        <w:rPr>
          <w:rFonts w:ascii="宋体" w:hAnsi="宋体" w:eastAsia="楷体_GB2312" w:cs="楷体_GB2312"/>
          <w:sz w:val="32"/>
          <w:szCs w:val="32"/>
        </w:rPr>
        <w:fldChar w:fldCharType="separate"/>
      </w:r>
      <w:r>
        <w:rPr>
          <w:rFonts w:ascii="宋体" w:hAnsi="宋体" w:eastAsia="楷体_GB2312" w:cs="楷体_GB2312"/>
          <w:sz w:val="32"/>
          <w:szCs w:val="32"/>
        </w:rPr>
        <w:t>25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68D264C">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"_Toc8647" </w:instrText>
      </w:r>
      <w:r>
        <w:fldChar w:fldCharType="separate"/>
      </w:r>
      <w:r>
        <w:rPr>
          <w:rFonts w:hint="eastAsia" w:ascii="宋体" w:hAnsi="宋体" w:eastAsia="黑体" w:cs="黑体"/>
          <w:b w:val="0"/>
          <w:bCs/>
          <w:sz w:val="32"/>
          <w:szCs w:val="32"/>
        </w:rPr>
        <w:t>第六章</w:t>
      </w:r>
      <w:r>
        <w:rPr>
          <w:rFonts w:ascii="宋体" w:hAnsi="宋体" w:eastAsia="黑体" w:cs="黑体"/>
          <w:b w:val="0"/>
          <w:bCs/>
          <w:sz w:val="32"/>
          <w:szCs w:val="32"/>
        </w:rPr>
        <w:t xml:space="preserve"> </w:t>
      </w:r>
      <w:r>
        <w:rPr>
          <w:rFonts w:hint="eastAsia" w:ascii="宋体" w:hAnsi="宋体" w:eastAsia="黑体" w:cs="黑体"/>
          <w:b w:val="0"/>
          <w:bCs/>
          <w:sz w:val="32"/>
          <w:szCs w:val="32"/>
        </w:rPr>
        <w:t>特色格局，营造四种夜间氛围</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_Toc8647 </w:instrText>
      </w:r>
      <w:r>
        <w:rPr>
          <w:rFonts w:ascii="宋体" w:hAnsi="宋体" w:eastAsia="黑体" w:cs="黑体"/>
          <w:b w:val="0"/>
          <w:bCs/>
          <w:sz w:val="32"/>
          <w:szCs w:val="32"/>
        </w:rPr>
        <w:fldChar w:fldCharType="separate"/>
      </w:r>
      <w:r>
        <w:rPr>
          <w:rFonts w:ascii="宋体" w:hAnsi="宋体" w:eastAsia="黑体" w:cs="黑体"/>
          <w:b w:val="0"/>
          <w:bCs/>
          <w:sz w:val="32"/>
          <w:szCs w:val="32"/>
        </w:rPr>
        <w:t>28</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61CEB5A7">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"_Toc14869" </w:instrText>
      </w:r>
      <w:r>
        <w:fldChar w:fldCharType="separate"/>
      </w:r>
      <w:r>
        <w:rPr>
          <w:rFonts w:hint="eastAsia" w:ascii="宋体" w:hAnsi="宋体" w:eastAsia="楷体_GB2312" w:cs="楷体_GB2312"/>
          <w:sz w:val="32"/>
          <w:szCs w:val="32"/>
        </w:rPr>
        <w:t>一、庄重大气的政治中心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_Toc14869 </w:instrText>
      </w:r>
      <w:r>
        <w:rPr>
          <w:rFonts w:ascii="宋体" w:hAnsi="宋体" w:eastAsia="楷体_GB2312" w:cs="楷体_GB2312"/>
          <w:sz w:val="32"/>
          <w:szCs w:val="32"/>
        </w:rPr>
        <w:fldChar w:fldCharType="separate"/>
      </w:r>
      <w:r>
        <w:rPr>
          <w:rFonts w:ascii="宋体" w:hAnsi="宋体" w:eastAsia="楷体_GB2312" w:cs="楷体_GB2312"/>
          <w:sz w:val="32"/>
          <w:szCs w:val="32"/>
        </w:rPr>
        <w:t>28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5E36C58">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"_Toc3542" </w:instrText>
      </w:r>
      <w:r>
        <w:fldChar w:fldCharType="separate"/>
      </w:r>
      <w:r>
        <w:rPr>
          <w:rFonts w:hint="eastAsia" w:ascii="宋体" w:hAnsi="宋体" w:eastAsia="楷体_GB2312" w:cs="楷体_GB2312"/>
          <w:sz w:val="32"/>
          <w:szCs w:val="32"/>
        </w:rPr>
        <w:t>二、古今交融的文化中心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_Toc3542 </w:instrText>
      </w:r>
      <w:r>
        <w:rPr>
          <w:rFonts w:ascii="宋体" w:hAnsi="宋体" w:eastAsia="楷体_GB2312" w:cs="楷体_GB2312"/>
          <w:sz w:val="32"/>
          <w:szCs w:val="32"/>
        </w:rPr>
        <w:fldChar w:fldCharType="separate"/>
      </w:r>
      <w:r>
        <w:rPr>
          <w:rFonts w:ascii="宋体" w:hAnsi="宋体" w:eastAsia="楷体_GB2312" w:cs="楷体_GB2312"/>
          <w:sz w:val="32"/>
          <w:szCs w:val="32"/>
        </w:rPr>
        <w:t>28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4795D48">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"_Toc31108" </w:instrText>
      </w:r>
      <w:r>
        <w:fldChar w:fldCharType="separate"/>
      </w:r>
      <w:r>
        <w:rPr>
          <w:rFonts w:hint="eastAsia" w:ascii="宋体" w:hAnsi="宋体" w:eastAsia="楷体_GB2312" w:cs="楷体_GB2312"/>
          <w:sz w:val="32"/>
          <w:szCs w:val="32"/>
        </w:rPr>
        <w:t>三、壮丽有序的国际交往中心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_Toc31108 </w:instrText>
      </w:r>
      <w:r>
        <w:rPr>
          <w:rFonts w:ascii="宋体" w:hAnsi="宋体" w:eastAsia="楷体_GB2312" w:cs="楷体_GB2312"/>
          <w:sz w:val="32"/>
          <w:szCs w:val="32"/>
        </w:rPr>
        <w:fldChar w:fldCharType="separate"/>
      </w:r>
      <w:r>
        <w:rPr>
          <w:rFonts w:ascii="宋体" w:hAnsi="宋体" w:eastAsia="楷体_GB2312" w:cs="楷体_GB2312"/>
          <w:sz w:val="32"/>
          <w:szCs w:val="32"/>
        </w:rPr>
        <w:t>29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B50FCA8">
      <w:pPr>
        <w:pStyle w:val="75"/>
        <w:tabs>
          <w:tab w:val="right" w:leader="dot" w:pos="8845"/>
        </w:tabs>
        <w:spacing w:line="560" w:lineRule="exact"/>
        <w:ind w:left="420"/>
        <w:rPr>
          <w:rFonts w:ascii="宋体" w:hAnsi="宋体"/>
          <w:sz w:val="32"/>
          <w:szCs w:val="32"/>
        </w:rPr>
      </w:pPr>
      <w:r>
        <w:fldChar w:fldCharType="begin"/>
      </w:r>
      <w:r>
        <w:instrText xml:space="preserve"> HYPERLINK \l "_Toc2778" </w:instrText>
      </w:r>
      <w:r>
        <w:fldChar w:fldCharType="separate"/>
      </w:r>
      <w:r>
        <w:rPr>
          <w:rFonts w:hint="eastAsia" w:ascii="宋体" w:hAnsi="宋体" w:eastAsia="楷体_GB2312" w:cs="楷体_GB2312"/>
          <w:sz w:val="32"/>
          <w:szCs w:val="32"/>
        </w:rPr>
        <w:t>四、简洁高效的科技创新中心</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_Toc2778 </w:instrText>
      </w:r>
      <w:r>
        <w:rPr>
          <w:rFonts w:ascii="宋体" w:hAnsi="宋体" w:eastAsia="楷体_GB2312" w:cs="楷体_GB2312"/>
          <w:sz w:val="32"/>
          <w:szCs w:val="32"/>
        </w:rPr>
        <w:fldChar w:fldCharType="separate"/>
      </w:r>
      <w:r>
        <w:rPr>
          <w:rFonts w:ascii="宋体" w:hAnsi="宋体" w:eastAsia="楷体_GB2312" w:cs="楷体_GB2312"/>
          <w:sz w:val="32"/>
          <w:szCs w:val="32"/>
        </w:rPr>
        <w:t>29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B95E1FC">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"_Toc32300" </w:instrText>
      </w:r>
      <w:r>
        <w:fldChar w:fldCharType="separate"/>
      </w:r>
      <w:r>
        <w:rPr>
          <w:rFonts w:hint="eastAsia" w:ascii="宋体" w:hAnsi="宋体" w:eastAsia="黑体" w:cs="黑体"/>
          <w:b w:val="0"/>
          <w:bCs/>
          <w:sz w:val="32"/>
          <w:szCs w:val="32"/>
        </w:rPr>
        <w:t>第七章</w:t>
      </w:r>
      <w:r>
        <w:rPr>
          <w:rFonts w:ascii="宋体" w:hAnsi="宋体" w:eastAsia="黑体" w:cs="黑体"/>
          <w:b w:val="0"/>
          <w:bCs/>
          <w:sz w:val="32"/>
          <w:szCs w:val="32"/>
        </w:rPr>
        <w:t xml:space="preserve"> </w:t>
      </w:r>
      <w:r>
        <w:rPr>
          <w:rFonts w:hint="eastAsia" w:ascii="宋体" w:hAnsi="宋体" w:eastAsia="黑体" w:cs="黑体"/>
          <w:b w:val="0"/>
          <w:bCs/>
          <w:sz w:val="32"/>
          <w:szCs w:val="32"/>
        </w:rPr>
        <w:t>夜游赋能，营造夜间繁荣消费环境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_Toc32300 </w:instrText>
      </w:r>
      <w:r>
        <w:rPr>
          <w:rFonts w:ascii="宋体" w:hAnsi="宋体" w:eastAsia="黑体" w:cs="黑体"/>
          <w:b w:val="0"/>
          <w:bCs/>
          <w:sz w:val="32"/>
          <w:szCs w:val="32"/>
        </w:rPr>
        <w:fldChar w:fldCharType="separate"/>
      </w:r>
      <w:r>
        <w:rPr>
          <w:rFonts w:ascii="宋体" w:hAnsi="宋体" w:eastAsia="黑体" w:cs="黑体"/>
          <w:b w:val="0"/>
          <w:bCs/>
          <w:sz w:val="32"/>
          <w:szCs w:val="32"/>
        </w:rPr>
        <w:t>31</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22ECF45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"_Toc230" </w:instrText>
      </w:r>
      <w:r>
        <w:fldChar w:fldCharType="separate"/>
      </w:r>
      <w:r>
        <w:rPr>
          <w:rFonts w:hint="eastAsia" w:ascii="宋体" w:hAnsi="宋体" w:eastAsia="楷体_GB2312" w:cs="楷体_GB2312"/>
          <w:sz w:val="32"/>
          <w:szCs w:val="32"/>
        </w:rPr>
        <w:t>一、打造“夜京城”消费活力地标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_Toc230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0988939">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"_Toc10902" </w:instrText>
      </w:r>
      <w:r>
        <w:fldChar w:fldCharType="separate"/>
      </w:r>
      <w:r>
        <w:rPr>
          <w:rFonts w:hint="eastAsia" w:ascii="宋体" w:hAnsi="宋体" w:eastAsia="楷体_GB2312" w:cs="楷体_GB2312"/>
          <w:sz w:val="32"/>
          <w:szCs w:val="32"/>
        </w:rPr>
        <w:t>二、升级“夜京城”商圈照明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_Toc10902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974A81F">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"_Toc32" </w:instrText>
      </w:r>
      <w:r>
        <w:fldChar w:fldCharType="separate"/>
      </w:r>
      <w:r>
        <w:rPr>
          <w:rFonts w:hint="eastAsia" w:ascii="宋体" w:hAnsi="宋体" w:eastAsia="楷体_GB2312" w:cs="楷体_GB2312"/>
          <w:sz w:val="32"/>
          <w:szCs w:val="32"/>
        </w:rPr>
        <w:t>三、建设城市副中心消费圈照明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_Toc32 </w:instrText>
      </w:r>
      <w:r>
        <w:rPr>
          <w:rFonts w:ascii="宋体" w:hAnsi="宋体" w:eastAsia="楷体_GB2312" w:cs="楷体_GB2312"/>
          <w:sz w:val="32"/>
          <w:szCs w:val="32"/>
        </w:rPr>
        <w:fldChar w:fldCharType="separate"/>
      </w:r>
      <w:r>
        <w:rPr>
          <w:rFonts w:ascii="宋体" w:hAnsi="宋体" w:eastAsia="楷体_GB2312" w:cs="楷体_GB2312"/>
          <w:sz w:val="32"/>
          <w:szCs w:val="32"/>
        </w:rPr>
        <w:t>31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ADA6FEF">
      <w:pPr>
        <w:pStyle w:val="75"/>
        <w:tabs>
          <w:tab w:val="right" w:leader="dot" w:pos="8845"/>
        </w:tabs>
        <w:spacing w:line="560" w:lineRule="exact"/>
        <w:ind w:left="420"/>
        <w:rPr>
          <w:rFonts w:ascii="宋体" w:hAnsi="宋体"/>
          <w:sz w:val="32"/>
          <w:szCs w:val="32"/>
        </w:rPr>
      </w:pPr>
      <w:r>
        <w:fldChar w:fldCharType="begin"/>
      </w:r>
      <w:r>
        <w:instrText xml:space="preserve"> HYPERLINK \l "_Toc3872" </w:instrText>
      </w:r>
      <w:r>
        <w:fldChar w:fldCharType="separate"/>
      </w:r>
      <w:r>
        <w:rPr>
          <w:rFonts w:hint="eastAsia" w:ascii="宋体" w:hAnsi="宋体" w:eastAsia="楷体_GB2312" w:cs="楷体_GB2312"/>
          <w:sz w:val="32"/>
          <w:szCs w:val="32"/>
        </w:rPr>
        <w:t>四、培育“夜京城”生活圈</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_Toc3872 </w:instrText>
      </w:r>
      <w:r>
        <w:rPr>
          <w:rFonts w:ascii="宋体" w:hAnsi="宋体" w:eastAsia="楷体_GB2312" w:cs="楷体_GB2312"/>
          <w:sz w:val="32"/>
          <w:szCs w:val="32"/>
        </w:rPr>
        <w:fldChar w:fldCharType="separate"/>
      </w:r>
      <w:r>
        <w:rPr>
          <w:rFonts w:ascii="宋体" w:hAnsi="宋体" w:eastAsia="楷体_GB2312" w:cs="楷体_GB2312"/>
          <w:sz w:val="32"/>
          <w:szCs w:val="32"/>
        </w:rPr>
        <w:t>32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358CDB4">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"_Toc23796" </w:instrText>
      </w:r>
      <w:r>
        <w:fldChar w:fldCharType="separate"/>
      </w:r>
      <w:r>
        <w:rPr>
          <w:rFonts w:hint="eastAsia" w:ascii="宋体" w:hAnsi="宋体" w:eastAsia="黑体" w:cs="黑体"/>
          <w:b w:val="0"/>
          <w:bCs/>
          <w:sz w:val="32"/>
          <w:szCs w:val="32"/>
        </w:rPr>
        <w:t>第八章</w:t>
      </w:r>
      <w:r>
        <w:rPr>
          <w:rFonts w:ascii="宋体" w:hAnsi="宋体" w:eastAsia="黑体" w:cs="黑体"/>
          <w:b w:val="0"/>
          <w:bCs/>
          <w:sz w:val="32"/>
          <w:szCs w:val="32"/>
        </w:rPr>
        <w:t xml:space="preserve"> </w:t>
      </w:r>
      <w:r>
        <w:rPr>
          <w:rFonts w:hint="eastAsia" w:ascii="宋体" w:hAnsi="宋体" w:eastAsia="黑体" w:cs="黑体"/>
          <w:b w:val="0"/>
          <w:bCs/>
          <w:sz w:val="32"/>
          <w:szCs w:val="32"/>
        </w:rPr>
        <w:t>国事庆典，灯光助力大国首都风范</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_Toc23796 </w:instrText>
      </w:r>
      <w:r>
        <w:rPr>
          <w:rFonts w:ascii="宋体" w:hAnsi="宋体" w:eastAsia="黑体" w:cs="黑体"/>
          <w:b w:val="0"/>
          <w:bCs/>
          <w:sz w:val="32"/>
          <w:szCs w:val="32"/>
        </w:rPr>
        <w:fldChar w:fldCharType="separate"/>
      </w:r>
      <w:r>
        <w:rPr>
          <w:rFonts w:ascii="宋体" w:hAnsi="宋体" w:eastAsia="黑体" w:cs="黑体"/>
          <w:b w:val="0"/>
          <w:bCs/>
          <w:sz w:val="32"/>
          <w:szCs w:val="32"/>
        </w:rPr>
        <w:t>33</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1DED951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"_Toc17902" </w:instrText>
      </w:r>
      <w:r>
        <w:fldChar w:fldCharType="separate"/>
      </w:r>
      <w:r>
        <w:rPr>
          <w:rFonts w:hint="eastAsia" w:ascii="宋体" w:hAnsi="宋体" w:eastAsia="楷体_GB2312" w:cs="楷体_GB2312"/>
          <w:sz w:val="32"/>
          <w:szCs w:val="32"/>
        </w:rPr>
        <w:t>一、彰显“双奥”优势</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_Toc17902 </w:instrText>
      </w:r>
      <w:r>
        <w:rPr>
          <w:rFonts w:ascii="宋体" w:hAnsi="宋体" w:eastAsia="楷体_GB2312" w:cs="楷体_GB2312"/>
          <w:sz w:val="32"/>
          <w:szCs w:val="32"/>
        </w:rPr>
        <w:fldChar w:fldCharType="separate"/>
      </w:r>
      <w:r>
        <w:rPr>
          <w:rFonts w:ascii="宋体" w:hAnsi="宋体" w:eastAsia="楷体_GB2312" w:cs="楷体_GB2312"/>
          <w:sz w:val="32"/>
          <w:szCs w:val="32"/>
        </w:rPr>
        <w:t>33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6A87680">
      <w:pPr>
        <w:pStyle w:val="75"/>
        <w:tabs>
          <w:tab w:val="right" w:leader="dot" w:pos="8845"/>
        </w:tabs>
        <w:spacing w:line="560" w:lineRule="exact"/>
        <w:ind w:left="420"/>
        <w:rPr>
          <w:rFonts w:ascii="宋体" w:hAnsi="宋体"/>
          <w:sz w:val="32"/>
          <w:szCs w:val="32"/>
        </w:rPr>
      </w:pPr>
      <w:r>
        <w:fldChar w:fldCharType="begin"/>
      </w:r>
      <w:r>
        <w:instrText xml:space="preserve"> HYPERLINK \l "_Toc2770" </w:instrText>
      </w:r>
      <w:r>
        <w:fldChar w:fldCharType="separate"/>
      </w:r>
      <w:r>
        <w:rPr>
          <w:rFonts w:hint="eastAsia" w:ascii="宋体" w:hAnsi="宋体" w:eastAsia="楷体_GB2312" w:cs="楷体_GB2312"/>
          <w:sz w:val="32"/>
          <w:szCs w:val="32"/>
        </w:rPr>
        <w:t>二、重大活动服务保障</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_Toc2770 </w:instrText>
      </w:r>
      <w:r>
        <w:rPr>
          <w:rFonts w:ascii="宋体" w:hAnsi="宋体" w:eastAsia="楷体_GB2312" w:cs="楷体_GB2312"/>
          <w:sz w:val="32"/>
          <w:szCs w:val="32"/>
        </w:rPr>
        <w:fldChar w:fldCharType="separate"/>
      </w:r>
      <w:r>
        <w:rPr>
          <w:rFonts w:ascii="宋体" w:hAnsi="宋体" w:eastAsia="楷体_GB2312" w:cs="楷体_GB2312"/>
          <w:sz w:val="32"/>
          <w:szCs w:val="32"/>
        </w:rPr>
        <w:t>33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D260B72">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"_Toc5916" </w:instrText>
      </w:r>
      <w:r>
        <w:fldChar w:fldCharType="separate"/>
      </w:r>
      <w:r>
        <w:rPr>
          <w:rFonts w:hint="eastAsia" w:ascii="宋体" w:hAnsi="宋体" w:eastAsia="黑体" w:cs="黑体"/>
          <w:b w:val="0"/>
          <w:bCs/>
          <w:sz w:val="32"/>
          <w:szCs w:val="32"/>
        </w:rPr>
        <w:t>第九章</w:t>
      </w:r>
      <w:r>
        <w:rPr>
          <w:rFonts w:ascii="宋体" w:hAnsi="宋体" w:eastAsia="黑体" w:cs="黑体"/>
          <w:b w:val="0"/>
          <w:bCs/>
          <w:sz w:val="32"/>
          <w:szCs w:val="32"/>
        </w:rPr>
        <w:t xml:space="preserve"> </w:t>
      </w:r>
      <w:r>
        <w:rPr>
          <w:rFonts w:hint="eastAsia" w:ascii="宋体" w:hAnsi="宋体" w:eastAsia="黑体" w:cs="黑体"/>
          <w:b w:val="0"/>
          <w:bCs/>
          <w:sz w:val="32"/>
          <w:szCs w:val="32"/>
        </w:rPr>
        <w:t>精细管理，高品质照明治理新局面</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_Toc5916 </w:instrText>
      </w:r>
      <w:r>
        <w:rPr>
          <w:rFonts w:ascii="宋体" w:hAnsi="宋体" w:eastAsia="黑体" w:cs="黑体"/>
          <w:b w:val="0"/>
          <w:bCs/>
          <w:sz w:val="32"/>
          <w:szCs w:val="32"/>
        </w:rPr>
        <w:fldChar w:fldCharType="separate"/>
      </w:r>
      <w:r>
        <w:rPr>
          <w:rFonts w:ascii="宋体" w:hAnsi="宋体" w:eastAsia="黑体" w:cs="黑体"/>
          <w:b w:val="0"/>
          <w:bCs/>
          <w:sz w:val="32"/>
          <w:szCs w:val="32"/>
        </w:rPr>
        <w:t>35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12A67E8C">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"_Toc4625" </w:instrText>
      </w:r>
      <w:r>
        <w:fldChar w:fldCharType="separate"/>
      </w:r>
      <w:r>
        <w:rPr>
          <w:rFonts w:hint="eastAsia" w:ascii="宋体" w:hAnsi="宋体" w:eastAsia="楷体_GB2312" w:cs="楷体_GB2312"/>
          <w:sz w:val="32"/>
          <w:szCs w:val="32"/>
        </w:rPr>
        <w:t>一、规范编制，建立长效机制</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_Toc4625 </w:instrText>
      </w:r>
      <w:r>
        <w:rPr>
          <w:rFonts w:ascii="宋体" w:hAnsi="宋体" w:eastAsia="楷体_GB2312" w:cs="楷体_GB2312"/>
          <w:sz w:val="32"/>
          <w:szCs w:val="32"/>
        </w:rPr>
        <w:fldChar w:fldCharType="separate"/>
      </w:r>
      <w:r>
        <w:rPr>
          <w:rFonts w:ascii="宋体" w:hAnsi="宋体" w:eastAsia="楷体_GB2312" w:cs="楷体_GB2312"/>
          <w:sz w:val="32"/>
          <w:szCs w:val="32"/>
        </w:rPr>
        <w:t>35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156C312">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"_Toc28586" </w:instrText>
      </w:r>
      <w:r>
        <w:fldChar w:fldCharType="separate"/>
      </w:r>
      <w:r>
        <w:rPr>
          <w:rFonts w:hint="eastAsia" w:ascii="宋体" w:hAnsi="宋体" w:eastAsia="楷体_GB2312" w:cs="楷体_GB2312"/>
          <w:sz w:val="32"/>
          <w:szCs w:val="32"/>
        </w:rPr>
        <w:t>二、隐患排查，优化措施方法</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_Toc28586 </w:instrText>
      </w:r>
      <w:r>
        <w:rPr>
          <w:rFonts w:ascii="宋体" w:hAnsi="宋体" w:eastAsia="楷体_GB2312" w:cs="楷体_GB2312"/>
          <w:sz w:val="32"/>
          <w:szCs w:val="32"/>
        </w:rPr>
        <w:fldChar w:fldCharType="separate"/>
      </w:r>
      <w:r>
        <w:rPr>
          <w:rFonts w:ascii="宋体" w:hAnsi="宋体" w:eastAsia="楷体_GB2312" w:cs="楷体_GB2312"/>
          <w:sz w:val="32"/>
          <w:szCs w:val="32"/>
        </w:rPr>
        <w:t>35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CE35B60">
      <w:pPr>
        <w:pStyle w:val="75"/>
        <w:tabs>
          <w:tab w:val="right" w:leader="dot" w:pos="8845"/>
        </w:tabs>
        <w:spacing w:line="560" w:lineRule="exact"/>
        <w:ind w:left="420"/>
        <w:rPr>
          <w:rFonts w:ascii="宋体" w:hAnsi="宋体"/>
          <w:sz w:val="32"/>
          <w:szCs w:val="32"/>
        </w:rPr>
      </w:pPr>
      <w:r>
        <w:fldChar w:fldCharType="begin"/>
      </w:r>
      <w:r>
        <w:instrText xml:space="preserve"> HYPERLINK \l "_Toc8614" </w:instrText>
      </w:r>
      <w:r>
        <w:fldChar w:fldCharType="separate"/>
      </w:r>
      <w:r>
        <w:rPr>
          <w:rFonts w:hint="eastAsia" w:ascii="宋体" w:hAnsi="宋体" w:eastAsia="楷体_GB2312" w:cs="楷体_GB2312"/>
          <w:sz w:val="32"/>
          <w:szCs w:val="32"/>
        </w:rPr>
        <w:t>三、部门统筹，健全体制机制</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_Toc8614 </w:instrText>
      </w:r>
      <w:r>
        <w:rPr>
          <w:rFonts w:ascii="宋体" w:hAnsi="宋体" w:eastAsia="楷体_GB2312" w:cs="楷体_GB2312"/>
          <w:sz w:val="32"/>
          <w:szCs w:val="32"/>
        </w:rPr>
        <w:fldChar w:fldCharType="separate"/>
      </w:r>
      <w:r>
        <w:rPr>
          <w:rFonts w:ascii="宋体" w:hAnsi="宋体" w:eastAsia="楷体_GB2312" w:cs="楷体_GB2312"/>
          <w:sz w:val="32"/>
          <w:szCs w:val="32"/>
        </w:rPr>
        <w:t>36</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404A6AD0">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"_Toc18632" </w:instrText>
      </w:r>
      <w:r>
        <w:fldChar w:fldCharType="separate"/>
      </w:r>
      <w:r>
        <w:rPr>
          <w:rFonts w:hint="eastAsia" w:ascii="宋体" w:hAnsi="宋体" w:eastAsia="黑体" w:cs="黑体"/>
          <w:b w:val="0"/>
          <w:bCs/>
          <w:sz w:val="32"/>
          <w:szCs w:val="32"/>
        </w:rPr>
        <w:t>第十章</w:t>
      </w:r>
      <w:r>
        <w:rPr>
          <w:rFonts w:ascii="宋体" w:hAnsi="宋体" w:eastAsia="黑体" w:cs="黑体"/>
          <w:b w:val="0"/>
          <w:bCs/>
          <w:sz w:val="32"/>
          <w:szCs w:val="32"/>
        </w:rPr>
        <w:t xml:space="preserve"> </w:t>
      </w:r>
      <w:r>
        <w:rPr>
          <w:rFonts w:hint="eastAsia" w:ascii="宋体" w:hAnsi="宋体" w:eastAsia="黑体" w:cs="黑体"/>
          <w:b w:val="0"/>
          <w:bCs/>
          <w:sz w:val="32"/>
          <w:szCs w:val="32"/>
        </w:rPr>
        <w:t>科技引领，构建智慧城市照明体系</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_Toc18632 </w:instrText>
      </w:r>
      <w:r>
        <w:rPr>
          <w:rFonts w:ascii="宋体" w:hAnsi="宋体" w:eastAsia="黑体" w:cs="黑体"/>
          <w:b w:val="0"/>
          <w:bCs/>
          <w:sz w:val="32"/>
          <w:szCs w:val="32"/>
        </w:rPr>
        <w:fldChar w:fldCharType="separate"/>
      </w:r>
      <w:r>
        <w:rPr>
          <w:rFonts w:ascii="宋体" w:hAnsi="宋体" w:eastAsia="黑体" w:cs="黑体"/>
          <w:b w:val="0"/>
          <w:bCs/>
          <w:sz w:val="32"/>
          <w:szCs w:val="32"/>
        </w:rPr>
        <w:t>37</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77210735">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"_Toc976" </w:instrText>
      </w:r>
      <w:r>
        <w:fldChar w:fldCharType="separate"/>
      </w:r>
      <w:r>
        <w:rPr>
          <w:rFonts w:hint="eastAsia" w:ascii="宋体" w:hAnsi="宋体" w:eastAsia="楷体_GB2312" w:cs="楷体_GB2312"/>
          <w:sz w:val="32"/>
          <w:szCs w:val="32"/>
        </w:rPr>
        <w:t>一、信息化智慧化管控平台</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_Toc976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7F2F12F">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"_Toc19040" </w:instrText>
      </w:r>
      <w:r>
        <w:fldChar w:fldCharType="separate"/>
      </w:r>
      <w:r>
        <w:rPr>
          <w:rFonts w:hint="eastAsia" w:ascii="宋体" w:hAnsi="宋体" w:eastAsia="楷体_GB2312" w:cs="楷体_GB2312"/>
          <w:sz w:val="32"/>
          <w:szCs w:val="32"/>
        </w:rPr>
        <w:t>二、数媒技术共创“智慧城市”</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_Toc19040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E314E80">
      <w:pPr>
        <w:pStyle w:val="75"/>
        <w:tabs>
          <w:tab w:val="right" w:leader="dot" w:pos="8845"/>
        </w:tabs>
        <w:spacing w:line="560" w:lineRule="exact"/>
        <w:ind w:left="420"/>
        <w:rPr>
          <w:rFonts w:ascii="宋体" w:hAnsi="宋体"/>
          <w:sz w:val="32"/>
          <w:szCs w:val="32"/>
        </w:rPr>
      </w:pPr>
      <w:r>
        <w:fldChar w:fldCharType="begin"/>
      </w:r>
      <w:r>
        <w:instrText xml:space="preserve"> HYPERLINK \l "_Toc13545" </w:instrText>
      </w:r>
      <w:r>
        <w:fldChar w:fldCharType="separate"/>
      </w:r>
      <w:r>
        <w:rPr>
          <w:rFonts w:hint="eastAsia" w:ascii="宋体" w:hAnsi="宋体" w:eastAsia="楷体_GB2312" w:cs="楷体_GB2312"/>
          <w:sz w:val="32"/>
          <w:szCs w:val="32"/>
        </w:rPr>
        <w:t>三、系统互联共建智慧照明</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_Toc13545 </w:instrText>
      </w:r>
      <w:r>
        <w:rPr>
          <w:rFonts w:ascii="宋体" w:hAnsi="宋体" w:eastAsia="楷体_GB2312" w:cs="楷体_GB2312"/>
          <w:sz w:val="32"/>
          <w:szCs w:val="32"/>
        </w:rPr>
        <w:fldChar w:fldCharType="separate"/>
      </w:r>
      <w:r>
        <w:rPr>
          <w:rFonts w:ascii="宋体" w:hAnsi="宋体" w:eastAsia="楷体_GB2312" w:cs="楷体_GB2312"/>
          <w:sz w:val="32"/>
          <w:szCs w:val="32"/>
        </w:rPr>
        <w:t>37</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5AD45FC">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"_Toc2834" </w:instrText>
      </w:r>
      <w:r>
        <w:fldChar w:fldCharType="separate"/>
      </w:r>
      <w:r>
        <w:rPr>
          <w:rFonts w:hint="eastAsia" w:ascii="宋体" w:hAnsi="宋体" w:eastAsia="黑体" w:cs="黑体"/>
          <w:b w:val="0"/>
          <w:bCs/>
          <w:sz w:val="32"/>
          <w:szCs w:val="32"/>
        </w:rPr>
        <w:t>第十一章</w:t>
      </w:r>
      <w:r>
        <w:rPr>
          <w:rFonts w:ascii="宋体" w:hAnsi="宋体" w:eastAsia="黑体" w:cs="黑体"/>
          <w:b w:val="0"/>
          <w:bCs/>
          <w:sz w:val="32"/>
          <w:szCs w:val="32"/>
        </w:rPr>
        <w:t xml:space="preserve"> </w:t>
      </w:r>
      <w:r>
        <w:rPr>
          <w:rFonts w:hint="eastAsia" w:ascii="宋体" w:hAnsi="宋体" w:eastAsia="黑体" w:cs="黑体"/>
          <w:b w:val="0"/>
          <w:bCs/>
          <w:sz w:val="32"/>
          <w:szCs w:val="32"/>
        </w:rPr>
        <w:t>专项行动与重点项目</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_Toc2834 </w:instrText>
      </w:r>
      <w:r>
        <w:rPr>
          <w:rFonts w:ascii="宋体" w:hAnsi="宋体" w:eastAsia="黑体" w:cs="黑体"/>
          <w:b w:val="0"/>
          <w:bCs/>
          <w:sz w:val="32"/>
          <w:szCs w:val="32"/>
        </w:rPr>
        <w:fldChar w:fldCharType="separate"/>
      </w:r>
      <w:r>
        <w:rPr>
          <w:rFonts w:ascii="宋体" w:hAnsi="宋体" w:eastAsia="黑体" w:cs="黑体"/>
          <w:b w:val="0"/>
          <w:bCs/>
          <w:sz w:val="32"/>
          <w:szCs w:val="32"/>
        </w:rPr>
        <w:t>38</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19A506AB">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"_Toc5627" </w:instrText>
      </w:r>
      <w:r>
        <w:fldChar w:fldCharType="separate"/>
      </w:r>
      <w:r>
        <w:rPr>
          <w:rFonts w:hint="eastAsia" w:ascii="宋体" w:hAnsi="宋体" w:eastAsia="楷体_GB2312" w:cs="楷体_GB2312"/>
          <w:sz w:val="32"/>
          <w:szCs w:val="32"/>
        </w:rPr>
        <w:t>一、路灯问题治理专项行动</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_Toc5627 </w:instrText>
      </w:r>
      <w:r>
        <w:rPr>
          <w:rFonts w:ascii="宋体" w:hAnsi="宋体" w:eastAsia="楷体_GB2312" w:cs="楷体_GB2312"/>
          <w:sz w:val="32"/>
          <w:szCs w:val="32"/>
        </w:rPr>
        <w:fldChar w:fldCharType="separate"/>
      </w:r>
      <w:r>
        <w:rPr>
          <w:rFonts w:ascii="宋体" w:hAnsi="宋体" w:eastAsia="楷体_GB2312" w:cs="楷体_GB2312"/>
          <w:sz w:val="32"/>
          <w:szCs w:val="32"/>
        </w:rPr>
        <w:t>38</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746B4A8E">
      <w:pPr>
        <w:pStyle w:val="75"/>
        <w:tabs>
          <w:tab w:val="right" w:leader="dot" w:pos="8845"/>
        </w:tabs>
        <w:spacing w:line="560" w:lineRule="exact"/>
        <w:ind w:left="420"/>
        <w:rPr>
          <w:rFonts w:ascii="宋体" w:hAnsi="宋体"/>
          <w:sz w:val="32"/>
          <w:szCs w:val="32"/>
        </w:rPr>
      </w:pPr>
      <w:r>
        <w:fldChar w:fldCharType="begin"/>
      </w:r>
      <w:r>
        <w:instrText xml:space="preserve"> HYPERLINK \l "_Toc8452" </w:instrText>
      </w:r>
      <w:r>
        <w:fldChar w:fldCharType="separate"/>
      </w:r>
      <w:r>
        <w:rPr>
          <w:rFonts w:hint="eastAsia" w:ascii="宋体" w:hAnsi="宋体" w:eastAsia="楷体_GB2312" w:cs="楷体_GB2312"/>
          <w:sz w:val="32"/>
          <w:szCs w:val="32"/>
        </w:rPr>
        <w:t>二、重点建设项目</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_Toc8452 </w:instrText>
      </w:r>
      <w:r>
        <w:rPr>
          <w:rFonts w:ascii="宋体" w:hAnsi="宋体" w:eastAsia="楷体_GB2312" w:cs="楷体_GB2312"/>
          <w:sz w:val="32"/>
          <w:szCs w:val="32"/>
        </w:rPr>
        <w:fldChar w:fldCharType="separate"/>
      </w:r>
      <w:r>
        <w:rPr>
          <w:rFonts w:ascii="宋体" w:hAnsi="宋体" w:eastAsia="楷体_GB2312" w:cs="楷体_GB2312"/>
          <w:sz w:val="32"/>
          <w:szCs w:val="32"/>
        </w:rPr>
        <w:t>39</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533C000">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"_Toc16590" </w:instrText>
      </w:r>
      <w:r>
        <w:fldChar w:fldCharType="separate"/>
      </w:r>
      <w:r>
        <w:rPr>
          <w:rFonts w:hint="eastAsia" w:ascii="宋体" w:hAnsi="宋体" w:eastAsia="黑体" w:cs="黑体"/>
          <w:b w:val="0"/>
          <w:bCs/>
          <w:sz w:val="32"/>
          <w:szCs w:val="32"/>
        </w:rPr>
        <w:t>第十二章</w:t>
      </w:r>
      <w:r>
        <w:rPr>
          <w:rFonts w:ascii="宋体" w:hAnsi="宋体" w:eastAsia="黑体" w:cs="黑体"/>
          <w:b w:val="0"/>
          <w:bCs/>
          <w:sz w:val="32"/>
          <w:szCs w:val="32"/>
        </w:rPr>
        <w:t xml:space="preserve"> </w:t>
      </w:r>
      <w:r>
        <w:rPr>
          <w:rFonts w:hint="eastAsia" w:ascii="宋体" w:hAnsi="宋体" w:eastAsia="黑体" w:cs="黑体"/>
          <w:b w:val="0"/>
          <w:bCs/>
          <w:sz w:val="32"/>
          <w:szCs w:val="32"/>
        </w:rPr>
        <w:t>保障措施</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_Toc16590 </w:instrText>
      </w:r>
      <w:r>
        <w:rPr>
          <w:rFonts w:ascii="宋体" w:hAnsi="宋体" w:eastAsia="黑体" w:cs="黑体"/>
          <w:b w:val="0"/>
          <w:bCs/>
          <w:sz w:val="32"/>
          <w:szCs w:val="32"/>
        </w:rPr>
        <w:fldChar w:fldCharType="separate"/>
      </w:r>
      <w:r>
        <w:rPr>
          <w:rFonts w:ascii="宋体" w:hAnsi="宋体" w:eastAsia="黑体" w:cs="黑体"/>
          <w:b w:val="0"/>
          <w:bCs/>
          <w:sz w:val="32"/>
          <w:szCs w:val="32"/>
        </w:rPr>
        <w:t>43</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0291E80D">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"_Toc4654" </w:instrText>
      </w:r>
      <w:r>
        <w:fldChar w:fldCharType="separate"/>
      </w:r>
      <w:r>
        <w:rPr>
          <w:rFonts w:hint="eastAsia" w:ascii="宋体" w:hAnsi="宋体" w:eastAsia="楷体_GB2312" w:cs="楷体_GB2312"/>
          <w:sz w:val="32"/>
          <w:szCs w:val="32"/>
        </w:rPr>
        <w:t>一、加强组织领导，保障实施成效</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_Toc4654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D5FE650">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"_Toc29061" </w:instrText>
      </w:r>
      <w:r>
        <w:fldChar w:fldCharType="separate"/>
      </w:r>
      <w:r>
        <w:rPr>
          <w:rFonts w:hint="eastAsia" w:ascii="宋体" w:hAnsi="宋体" w:eastAsia="楷体_GB2312" w:cs="楷体_GB2312"/>
          <w:sz w:val="32"/>
          <w:szCs w:val="32"/>
        </w:rPr>
        <w:t>二、完善运行规范，出台法规标准</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_Toc29061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B430D80">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"_Toc26636" </w:instrText>
      </w:r>
      <w:r>
        <w:fldChar w:fldCharType="separate"/>
      </w:r>
      <w:r>
        <w:rPr>
          <w:rFonts w:hint="eastAsia" w:ascii="宋体" w:hAnsi="宋体" w:eastAsia="楷体_GB2312" w:cs="楷体_GB2312"/>
          <w:sz w:val="32"/>
          <w:szCs w:val="32"/>
        </w:rPr>
        <w:t>三、完善体制机制，健全管理体系</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_Toc26636 </w:instrText>
      </w:r>
      <w:r>
        <w:rPr>
          <w:rFonts w:ascii="宋体" w:hAnsi="宋体" w:eastAsia="楷体_GB2312" w:cs="楷体_GB2312"/>
          <w:sz w:val="32"/>
          <w:szCs w:val="32"/>
        </w:rPr>
        <w:fldChar w:fldCharType="separate"/>
      </w:r>
      <w:r>
        <w:rPr>
          <w:rFonts w:ascii="宋体" w:hAnsi="宋体" w:eastAsia="楷体_GB2312" w:cs="楷体_GB2312"/>
          <w:sz w:val="32"/>
          <w:szCs w:val="32"/>
        </w:rPr>
        <w:t>43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52E2ED3D">
      <w:pPr>
        <w:pStyle w:val="75"/>
        <w:tabs>
          <w:tab w:val="right" w:leader="dot" w:pos="8845"/>
        </w:tabs>
        <w:spacing w:line="560" w:lineRule="exact"/>
        <w:ind w:left="420"/>
        <w:rPr>
          <w:rFonts w:ascii="宋体" w:hAnsi="宋体"/>
          <w:sz w:val="32"/>
          <w:szCs w:val="32"/>
        </w:rPr>
      </w:pPr>
      <w:r>
        <w:fldChar w:fldCharType="begin"/>
      </w:r>
      <w:r>
        <w:instrText xml:space="preserve"> HYPERLINK \l "_Toc23046" </w:instrText>
      </w:r>
      <w:r>
        <w:fldChar w:fldCharType="separate"/>
      </w:r>
      <w:r>
        <w:rPr>
          <w:rFonts w:hint="eastAsia" w:ascii="宋体" w:hAnsi="宋体" w:eastAsia="楷体_GB2312" w:cs="楷体_GB2312"/>
          <w:sz w:val="32"/>
          <w:szCs w:val="32"/>
        </w:rPr>
        <w:t>四、推进规划落实，强化审核管理</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_Toc23046 </w:instrText>
      </w:r>
      <w:r>
        <w:rPr>
          <w:rFonts w:ascii="宋体" w:hAnsi="宋体" w:eastAsia="楷体_GB2312" w:cs="楷体_GB2312"/>
          <w:sz w:val="32"/>
          <w:szCs w:val="32"/>
        </w:rPr>
        <w:fldChar w:fldCharType="separate"/>
      </w:r>
      <w:r>
        <w:rPr>
          <w:rFonts w:ascii="宋体" w:hAnsi="宋体" w:eastAsia="楷体_GB2312" w:cs="楷体_GB2312"/>
          <w:sz w:val="32"/>
          <w:szCs w:val="32"/>
        </w:rPr>
        <w:t>44</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7A67742B">
      <w:pPr>
        <w:pStyle w:val="60"/>
        <w:tabs>
          <w:tab w:val="right" w:leader="dot" w:pos="8845"/>
          <w:tab w:val="clear" w:pos="8296"/>
        </w:tabs>
        <w:spacing w:line="560" w:lineRule="exact"/>
        <w:rPr>
          <w:rFonts w:ascii="宋体" w:hAnsi="宋体" w:eastAsia="黑体" w:cs="黑体"/>
          <w:b w:val="0"/>
          <w:bCs/>
          <w:sz w:val="32"/>
          <w:szCs w:val="32"/>
        </w:rPr>
      </w:pPr>
      <w:r>
        <w:fldChar w:fldCharType="begin"/>
      </w:r>
      <w:r>
        <w:instrText xml:space="preserve"> HYPERLINK \l "_Toc2523" </w:instrText>
      </w:r>
      <w:r>
        <w:fldChar w:fldCharType="separate"/>
      </w:r>
      <w:r>
        <w:rPr>
          <w:rFonts w:hint="eastAsia" w:ascii="宋体" w:hAnsi="宋体" w:eastAsia="黑体" w:cs="黑体"/>
          <w:b w:val="0"/>
          <w:bCs/>
          <w:sz w:val="32"/>
          <w:szCs w:val="32"/>
        </w:rPr>
        <w:t>第十三章</w:t>
      </w:r>
      <w:r>
        <w:rPr>
          <w:rFonts w:ascii="宋体" w:hAnsi="宋体" w:eastAsia="黑体" w:cs="黑体"/>
          <w:b w:val="0"/>
          <w:bCs/>
          <w:sz w:val="32"/>
          <w:szCs w:val="32"/>
        </w:rPr>
        <w:t xml:space="preserve"> </w:t>
      </w:r>
      <w:r>
        <w:rPr>
          <w:rFonts w:hint="eastAsia" w:ascii="宋体" w:hAnsi="宋体" w:eastAsia="黑体" w:cs="黑体"/>
          <w:b w:val="0"/>
          <w:bCs/>
          <w:sz w:val="32"/>
          <w:szCs w:val="32"/>
        </w:rPr>
        <w:t>规划指标及要求</w:t>
      </w:r>
      <w:r>
        <w:rPr>
          <w:rFonts w:ascii="宋体" w:hAnsi="宋体" w:eastAsia="黑体" w:cs="黑体"/>
          <w:b w:val="0"/>
          <w:bCs/>
          <w:sz w:val="32"/>
          <w:szCs w:val="32"/>
        </w:rPr>
        <w:tab/>
      </w:r>
      <w:r>
        <w:rPr>
          <w:rFonts w:ascii="宋体" w:hAnsi="宋体" w:eastAsia="黑体" w:cs="黑体"/>
          <w:b w:val="0"/>
          <w:bCs/>
          <w:sz w:val="32"/>
          <w:szCs w:val="32"/>
        </w:rPr>
        <w:fldChar w:fldCharType="begin"/>
      </w:r>
      <w:r>
        <w:rPr>
          <w:rFonts w:ascii="宋体" w:hAnsi="宋体" w:eastAsia="黑体" w:cs="黑体"/>
          <w:b w:val="0"/>
          <w:bCs/>
          <w:sz w:val="32"/>
          <w:szCs w:val="32"/>
        </w:rPr>
        <w:instrText xml:space="preserve"> PAGEREF _Toc2523 </w:instrText>
      </w:r>
      <w:r>
        <w:rPr>
          <w:rFonts w:ascii="宋体" w:hAnsi="宋体" w:eastAsia="黑体" w:cs="黑体"/>
          <w:b w:val="0"/>
          <w:bCs/>
          <w:sz w:val="32"/>
          <w:szCs w:val="32"/>
        </w:rPr>
        <w:fldChar w:fldCharType="separate"/>
      </w:r>
      <w:r>
        <w:rPr>
          <w:rFonts w:ascii="宋体" w:hAnsi="宋体" w:eastAsia="黑体" w:cs="黑体"/>
          <w:b w:val="0"/>
          <w:bCs/>
          <w:sz w:val="32"/>
          <w:szCs w:val="32"/>
        </w:rPr>
        <w:t>45</w:t>
      </w:r>
      <w:r>
        <w:rPr>
          <w:rFonts w:ascii="宋体" w:hAnsi="宋体" w:eastAsia="黑体" w:cs="黑体"/>
          <w:b w:val="0"/>
          <w:bCs/>
          <w:sz w:val="32"/>
          <w:szCs w:val="32"/>
        </w:rPr>
        <w:fldChar w:fldCharType="end"/>
      </w:r>
      <w:r>
        <w:rPr>
          <w:rFonts w:ascii="宋体" w:hAnsi="宋体" w:eastAsia="黑体" w:cs="黑体"/>
          <w:b w:val="0"/>
          <w:bCs/>
          <w:sz w:val="32"/>
          <w:szCs w:val="32"/>
        </w:rPr>
        <w:fldChar w:fldCharType="end"/>
      </w:r>
    </w:p>
    <w:p w14:paraId="2C514914">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"_Toc5568" </w:instrText>
      </w:r>
      <w:r>
        <w:fldChar w:fldCharType="separate"/>
      </w:r>
      <w:r>
        <w:rPr>
          <w:rFonts w:hint="eastAsia" w:ascii="宋体" w:hAnsi="宋体" w:eastAsia="楷体_GB2312" w:cs="楷体_GB2312"/>
          <w:sz w:val="32"/>
          <w:szCs w:val="32"/>
        </w:rPr>
        <w:t>一、功能照明分区及控制指标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_Toc5568 </w:instrText>
      </w:r>
      <w:r>
        <w:rPr>
          <w:rFonts w:ascii="宋体" w:hAnsi="宋体" w:eastAsia="楷体_GB2312" w:cs="楷体_GB2312"/>
          <w:sz w:val="32"/>
          <w:szCs w:val="32"/>
        </w:rPr>
        <w:fldChar w:fldCharType="separate"/>
      </w:r>
      <w:r>
        <w:rPr>
          <w:rFonts w:ascii="宋体" w:hAnsi="宋体" w:eastAsia="楷体_GB2312" w:cs="楷体_GB2312"/>
          <w:sz w:val="32"/>
          <w:szCs w:val="32"/>
        </w:rPr>
        <w:t>45</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F4ABC69">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"_Toc22993" </w:instrText>
      </w:r>
      <w:r>
        <w:fldChar w:fldCharType="separate"/>
      </w:r>
      <w:r>
        <w:rPr>
          <w:rFonts w:hint="eastAsia" w:ascii="宋体" w:hAnsi="宋体" w:eastAsia="楷体_GB2312" w:cs="楷体_GB2312"/>
          <w:sz w:val="32"/>
          <w:szCs w:val="32"/>
        </w:rPr>
        <w:t>二、景观照明控制指标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_Toc22993 </w:instrText>
      </w:r>
      <w:r>
        <w:rPr>
          <w:rFonts w:ascii="宋体" w:hAnsi="宋体" w:eastAsia="楷体_GB2312" w:cs="楷体_GB2312"/>
          <w:sz w:val="32"/>
          <w:szCs w:val="32"/>
        </w:rPr>
        <w:fldChar w:fldCharType="separate"/>
      </w:r>
      <w:r>
        <w:rPr>
          <w:rFonts w:ascii="宋体" w:hAnsi="宋体" w:eastAsia="楷体_GB2312" w:cs="楷体_GB2312"/>
          <w:sz w:val="32"/>
          <w:szCs w:val="32"/>
        </w:rPr>
        <w:t>53</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1694DF95">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"_Toc26768" </w:instrText>
      </w:r>
      <w:r>
        <w:fldChar w:fldCharType="separate"/>
      </w:r>
      <w:r>
        <w:rPr>
          <w:rFonts w:hint="eastAsia" w:ascii="宋体" w:hAnsi="宋体" w:eastAsia="楷体_GB2312" w:cs="楷体_GB2312"/>
          <w:sz w:val="32"/>
          <w:szCs w:val="32"/>
        </w:rPr>
        <w:t>三、开放空间照明控制指引</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_Toc26768 </w:instrText>
      </w:r>
      <w:r>
        <w:rPr>
          <w:rFonts w:ascii="宋体" w:hAnsi="宋体" w:eastAsia="楷体_GB2312" w:cs="楷体_GB2312"/>
          <w:sz w:val="32"/>
          <w:szCs w:val="32"/>
        </w:rPr>
        <w:fldChar w:fldCharType="separate"/>
      </w:r>
      <w:r>
        <w:rPr>
          <w:rFonts w:ascii="宋体" w:hAnsi="宋体" w:eastAsia="楷体_GB2312" w:cs="楷体_GB2312"/>
          <w:sz w:val="32"/>
          <w:szCs w:val="32"/>
        </w:rPr>
        <w:t>70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0E6002B6">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"_Toc2512" </w:instrText>
      </w:r>
      <w:r>
        <w:fldChar w:fldCharType="separate"/>
      </w:r>
      <w:r>
        <w:rPr>
          <w:rFonts w:hint="eastAsia" w:ascii="宋体" w:hAnsi="宋体" w:eastAsia="楷体_GB2312" w:cs="楷体_GB2312"/>
          <w:sz w:val="32"/>
          <w:szCs w:val="32"/>
        </w:rPr>
        <w:t>四、广告标识亮度指标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_Toc2512 </w:instrText>
      </w:r>
      <w:r>
        <w:rPr>
          <w:rFonts w:ascii="宋体" w:hAnsi="宋体" w:eastAsia="楷体_GB2312" w:cs="楷体_GB2312"/>
          <w:sz w:val="32"/>
          <w:szCs w:val="32"/>
        </w:rPr>
        <w:fldChar w:fldCharType="separate"/>
      </w:r>
      <w:r>
        <w:rPr>
          <w:rFonts w:ascii="宋体" w:hAnsi="宋体" w:eastAsia="楷体_GB2312" w:cs="楷体_GB2312"/>
          <w:sz w:val="32"/>
          <w:szCs w:val="32"/>
        </w:rPr>
        <w:t>70</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0FA3E19">
      <w:pPr>
        <w:pStyle w:val="75"/>
        <w:tabs>
          <w:tab w:val="right" w:leader="dot" w:pos="8845"/>
        </w:tabs>
        <w:spacing w:line="560" w:lineRule="exact"/>
        <w:ind w:left="420"/>
        <w:rPr>
          <w:rFonts w:ascii="宋体" w:hAnsi="宋体" w:eastAsia="楷体_GB2312" w:cs="楷体_GB2312"/>
          <w:sz w:val="32"/>
          <w:szCs w:val="32"/>
        </w:rPr>
      </w:pPr>
      <w:r>
        <w:fldChar w:fldCharType="begin"/>
      </w:r>
      <w:r>
        <w:instrText xml:space="preserve"> HYPERLINK \l "_Toc12857" </w:instrText>
      </w:r>
      <w:r>
        <w:fldChar w:fldCharType="separate"/>
      </w:r>
      <w:r>
        <w:rPr>
          <w:rFonts w:hint="eastAsia" w:ascii="宋体" w:hAnsi="宋体" w:eastAsia="楷体_GB2312" w:cs="楷体_GB2312"/>
          <w:sz w:val="32"/>
          <w:szCs w:val="32"/>
        </w:rPr>
        <w:t>五、“暗天空”保护控制指标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_Toc12857 </w:instrText>
      </w:r>
      <w:r>
        <w:rPr>
          <w:rFonts w:ascii="宋体" w:hAnsi="宋体" w:eastAsia="楷体_GB2312" w:cs="楷体_GB2312"/>
          <w:sz w:val="32"/>
          <w:szCs w:val="32"/>
        </w:rPr>
        <w:fldChar w:fldCharType="separate"/>
      </w:r>
      <w:r>
        <w:rPr>
          <w:rFonts w:ascii="宋体" w:hAnsi="宋体" w:eastAsia="楷体_GB2312" w:cs="楷体_GB2312"/>
          <w:sz w:val="32"/>
          <w:szCs w:val="32"/>
        </w:rPr>
        <w:t>71</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2B36A29A">
      <w:pPr>
        <w:pStyle w:val="75"/>
        <w:tabs>
          <w:tab w:val="right" w:leader="dot" w:pos="8845"/>
        </w:tabs>
        <w:spacing w:line="560" w:lineRule="exact"/>
        <w:ind w:left="420"/>
        <w:rPr>
          <w:rFonts w:ascii="宋体" w:hAnsi="宋体"/>
          <w:sz w:val="32"/>
          <w:szCs w:val="32"/>
        </w:rPr>
      </w:pPr>
      <w:r>
        <w:fldChar w:fldCharType="begin"/>
      </w:r>
      <w:r>
        <w:instrText xml:space="preserve"> HYPERLINK \l "_Toc1235" </w:instrText>
      </w:r>
      <w:r>
        <w:fldChar w:fldCharType="separate"/>
      </w:r>
      <w:r>
        <w:rPr>
          <w:rFonts w:hint="eastAsia" w:ascii="宋体" w:hAnsi="宋体" w:eastAsia="楷体_GB2312" w:cs="楷体_GB2312"/>
          <w:sz w:val="32"/>
          <w:szCs w:val="32"/>
        </w:rPr>
        <w:t>六、光污染防治控制指标</w:t>
      </w:r>
      <w:r>
        <w:rPr>
          <w:rFonts w:ascii="宋体" w:hAnsi="宋体" w:eastAsia="楷体_GB2312" w:cs="楷体_GB2312"/>
          <w:sz w:val="32"/>
          <w:szCs w:val="32"/>
        </w:rPr>
        <w:tab/>
      </w:r>
      <w:r>
        <w:rPr>
          <w:rFonts w:ascii="宋体" w:hAnsi="宋体" w:eastAsia="楷体_GB2312" w:cs="楷体_GB2312"/>
          <w:sz w:val="32"/>
          <w:szCs w:val="32"/>
        </w:rPr>
        <w:fldChar w:fldCharType="begin"/>
      </w:r>
      <w:r>
        <w:rPr>
          <w:rFonts w:ascii="宋体" w:hAnsi="宋体" w:eastAsia="楷体_GB2312" w:cs="楷体_GB2312"/>
          <w:sz w:val="32"/>
          <w:szCs w:val="32"/>
        </w:rPr>
        <w:instrText xml:space="preserve"> PAGEREF _Toc1235 </w:instrText>
      </w:r>
      <w:r>
        <w:rPr>
          <w:rFonts w:ascii="宋体" w:hAnsi="宋体" w:eastAsia="楷体_GB2312" w:cs="楷体_GB2312"/>
          <w:sz w:val="32"/>
          <w:szCs w:val="32"/>
        </w:rPr>
        <w:fldChar w:fldCharType="separate"/>
      </w:r>
      <w:r>
        <w:rPr>
          <w:rFonts w:ascii="宋体" w:hAnsi="宋体" w:eastAsia="楷体_GB2312" w:cs="楷体_GB2312"/>
          <w:sz w:val="32"/>
          <w:szCs w:val="32"/>
        </w:rPr>
        <w:t>72</w:t>
      </w:r>
      <w:r>
        <w:rPr>
          <w:rFonts w:ascii="宋体" w:hAnsi="宋体" w:eastAsia="楷体_GB2312" w:cs="楷体_GB2312"/>
          <w:sz w:val="32"/>
          <w:szCs w:val="32"/>
        </w:rPr>
        <w:fldChar w:fldCharType="end"/>
      </w:r>
      <w:r>
        <w:rPr>
          <w:rFonts w:ascii="宋体" w:hAnsi="宋体" w:eastAsia="楷体_GB2312" w:cs="楷体_GB2312"/>
          <w:sz w:val="32"/>
          <w:szCs w:val="32"/>
        </w:rPr>
        <w:fldChar w:fldCharType="end"/>
      </w:r>
    </w:p>
    <w:p w14:paraId="656DA364">
      <w:pPr>
        <w:pStyle w:val="5"/>
        <w:keepNext w:val="0"/>
        <w:keepLines w:val="0"/>
        <w:pageBreakBefore w:val="0"/>
        <w:widowControl w:val="0"/>
        <w:numPr>
          <w:ilvl w:val="0"/>
          <w:numId w:val="0"/>
        </w:numPr>
        <w:rPr>
          <w:rFonts w:ascii="宋体" w:hAnsi="宋体" w:eastAsia="方正小标宋简体" w:cs="方正小标宋简体"/>
          <w:b w:val="0"/>
          <w:bCs w:val="0"/>
        </w:rPr>
      </w:pPr>
      <w:r>
        <w:rPr>
          <w:rFonts w:ascii="宋体" w:hAnsi="宋体"/>
        </w:rPr>
        <w:fldChar w:fldCharType="end"/>
      </w:r>
      <w:bookmarkEnd w:id="0"/>
      <w:bookmarkEnd w:id="43"/>
      <w:bookmarkEnd w:id="44"/>
      <w:bookmarkEnd w:id="45"/>
      <w:bookmarkEnd w:id="46"/>
      <w:bookmarkEnd w:id="47"/>
      <w:bookmarkStart w:id="48" w:name="_Toc22334"/>
      <w:bookmarkStart w:id="49" w:name="_Toc88117746"/>
      <w:bookmarkStart w:id="50" w:name="_Toc7873"/>
      <w:bookmarkStart w:id="51" w:name="_Toc88656212"/>
      <w:bookmarkStart w:id="52" w:name="_Toc3250"/>
      <w:bookmarkStart w:id="53" w:name="_Toc26872"/>
      <w:r>
        <w:rPr>
          <w:rFonts w:hint="eastAsia" w:ascii="宋体" w:hAnsi="宋体" w:eastAsia="方正小标宋简体" w:cs="方正小标宋简体"/>
          <w:b w:val="0"/>
          <w:bCs w:val="0"/>
        </w:rPr>
        <w:br w:type="page"/>
      </w:r>
    </w:p>
    <w:p w14:paraId="1D9E3EC9">
      <w:pPr>
        <w:pStyle w:val="5"/>
        <w:keepNext w:val="0"/>
        <w:keepLines w:val="0"/>
        <w:widowControl w:val="0"/>
        <w:numPr>
          <w:ilvl w:val="0"/>
          <w:numId w:val="0"/>
        </w:numPr>
        <w:rPr>
          <w:rFonts w:ascii="宋体" w:hAnsi="宋体" w:eastAsia="方正小标宋简体" w:cs="方正小标宋简体"/>
          <w:b w:val="0"/>
          <w:bCs w:val="0"/>
        </w:rPr>
      </w:pPr>
      <w:r>
        <w:rPr>
          <w:rFonts w:hint="eastAsia" w:ascii="宋体" w:hAnsi="宋体" w:eastAsia="方正小标宋简体" w:cs="方正小标宋简体"/>
          <w:b w:val="0"/>
          <w:bCs w:val="0"/>
        </w:rPr>
        <w:t>序  言</w:t>
      </w:r>
      <w:bookmarkEnd w:id="48"/>
      <w:bookmarkEnd w:id="49"/>
      <w:bookmarkEnd w:id="50"/>
      <w:bookmarkEnd w:id="51"/>
      <w:bookmarkEnd w:id="52"/>
      <w:bookmarkEnd w:id="53"/>
    </w:p>
    <w:p w14:paraId="090DA396">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是我国开启全面建设社会主义现代化国家新征程的第一个五年，也是北京市建设国际一流和谐宜居之都的关键期。北京市“十四五”时期城市照明发展规划，需适应经济发展新常态和疫情防控新形势，严格落实《北京城市总体规划（2016年—2035年）》《首都功能核心区控制性详细规划（街区层面）（2018年—2035年）》《北京城市副中心控制性详细规划（街区层面）（2016年—2035年）》《北京市国民经济和社会发展第十四个五年规划和二</w:t>
      </w:r>
      <w:r>
        <w:rPr>
          <w:rFonts w:hint="eastAsia" w:ascii="宋体" w:hAnsi="宋体" w:eastAsia="仿宋_GB2312" w:cs="微软雅黑"/>
          <w:sz w:val="32"/>
        </w:rPr>
        <w:t>〇</w:t>
      </w:r>
      <w:r>
        <w:rPr>
          <w:rFonts w:hint="eastAsia" w:ascii="宋体" w:hAnsi="宋体" w:eastAsia="仿宋_GB2312" w:cs="仿宋_GB2312"/>
          <w:sz w:val="32"/>
        </w:rPr>
        <w:t>三五年远景目标纲要》</w:t>
      </w:r>
      <w:r>
        <w:rPr>
          <w:rFonts w:hint="eastAsia" w:ascii="宋体" w:hAnsi="宋体" w:eastAsia="仿宋_GB2312"/>
          <w:spacing w:val="-6"/>
          <w:sz w:val="32"/>
        </w:rPr>
        <w:t>《北京市“十四五”时期城市管理发展规划》</w:t>
      </w:r>
      <w:r>
        <w:rPr>
          <w:rFonts w:hint="eastAsia" w:ascii="宋体" w:hAnsi="宋体" w:eastAsia="仿宋_GB2312"/>
          <w:sz w:val="32"/>
        </w:rPr>
        <w:t>的要求，贯彻五大发展理念，从城市发展角度出发，进一步提升首都夜间环境品质，聚焦人民群众获得感、幸福感和安全感，利用科技创新技术，实现城市照明管理工作更高质量的发展。</w:t>
      </w:r>
    </w:p>
    <w:p w14:paraId="66068B54">
      <w:pPr>
        <w:pStyle w:val="204"/>
        <w:adjustRightInd w:val="0"/>
        <w:spacing w:after="0" w:afterLines="0"/>
        <w:ind w:firstLine="640"/>
        <w:rPr>
          <w:rFonts w:ascii="宋体" w:hAnsi="宋体" w:eastAsia="仿宋_GB2312"/>
          <w:sz w:val="32"/>
        </w:rPr>
      </w:pPr>
      <w:r>
        <w:rPr>
          <w:rFonts w:hint="eastAsia" w:ascii="宋体" w:hAnsi="宋体" w:eastAsia="仿宋_GB2312"/>
          <w:sz w:val="32"/>
        </w:rPr>
        <w:t>本规划分析了“十三五”时期的发展成就、存在问题和面临的形势，提出“十四五”时期发展目标、规划指标、重点任务以及重大项目安排；本规划与《北京市城市景观照明设计导则》配套使用，引领全市城市照明管理工作开展，为各区城市照明管理工作提供指导性依据。各区应在本规划基础上，进一步积极开展分区规划编制，落实规划建设要求。</w:t>
      </w:r>
    </w:p>
    <w:p w14:paraId="152A2A7A">
      <w:pPr>
        <w:pStyle w:val="204"/>
        <w:adjustRightInd w:val="0"/>
        <w:spacing w:after="0" w:afterLines="0"/>
        <w:ind w:firstLine="640"/>
        <w:rPr>
          <w:rFonts w:ascii="宋体" w:hAnsi="宋体" w:eastAsia="仿宋_GB2312"/>
          <w:sz w:val="32"/>
        </w:rPr>
      </w:pPr>
      <w:r>
        <w:rPr>
          <w:rFonts w:hint="eastAsia" w:ascii="宋体" w:hAnsi="宋体" w:eastAsia="仿宋_GB2312"/>
          <w:sz w:val="32"/>
        </w:rPr>
        <w:t>本规划实施期限为2021—2025年。</w:t>
      </w:r>
    </w:p>
    <w:p w14:paraId="09954053">
      <w:pPr>
        <w:widowControl/>
        <w:jc w:val="left"/>
        <w:rPr>
          <w:rStyle w:val="194"/>
          <w:rFonts w:ascii="宋体" w:hAnsi="宋体" w:eastAsia="方正小标宋简体" w:cs="宋体"/>
          <w:kern w:val="44"/>
          <w:sz w:val="40"/>
          <w:szCs w:val="40"/>
        </w:rPr>
      </w:pPr>
      <w:r>
        <w:rPr>
          <w:rStyle w:val="194"/>
          <w:rFonts w:ascii="宋体" w:hAnsi="宋体" w:eastAsia="方正小标宋简体" w:cs="宋体"/>
          <w:sz w:val="40"/>
          <w:szCs w:val="40"/>
        </w:rPr>
        <w:br w:type="page"/>
      </w:r>
    </w:p>
    <w:p w14:paraId="2FBE4D07">
      <w:pPr>
        <w:pStyle w:val="5"/>
        <w:rPr>
          <w:rStyle w:val="194"/>
          <w:rFonts w:ascii="宋体" w:hAnsi="宋体" w:eastAsia="方正小标宋简体" w:cs="方正小标宋简体"/>
          <w:b w:val="0"/>
          <w:bCs w:val="0"/>
        </w:rPr>
      </w:pPr>
      <w:bookmarkStart w:id="54" w:name="_Toc20602"/>
      <w:bookmarkStart w:id="55" w:name="_Toc12240"/>
      <w:bookmarkStart w:id="56" w:name="_Toc88656213"/>
      <w:bookmarkStart w:id="57" w:name="_Toc17111"/>
      <w:bookmarkStart w:id="58" w:name="_Toc27721"/>
      <w:bookmarkStart w:id="59" w:name="_Toc88117747"/>
      <w:bookmarkStart w:id="60" w:name="_Toc7312"/>
      <w:r>
        <w:rPr>
          <w:rStyle w:val="194"/>
          <w:rFonts w:hint="eastAsia" w:ascii="宋体" w:hAnsi="宋体" w:eastAsia="方正小标宋简体" w:cs="方正小标宋简体"/>
          <w:b w:val="0"/>
          <w:bCs w:val="0"/>
        </w:rPr>
        <w:t>“十三五”时期发展回顾</w:t>
      </w:r>
      <w:bookmarkEnd w:id="54"/>
      <w:bookmarkEnd w:id="55"/>
      <w:bookmarkEnd w:id="56"/>
      <w:bookmarkEnd w:id="57"/>
      <w:bookmarkEnd w:id="58"/>
      <w:bookmarkEnd w:id="59"/>
      <w:bookmarkEnd w:id="60"/>
    </w:p>
    <w:p w14:paraId="4D164100">
      <w:pPr>
        <w:pStyle w:val="6"/>
        <w:keepNext w:val="0"/>
        <w:keepLines w:val="0"/>
        <w:adjustRightInd w:val="0"/>
        <w:spacing w:before="0" w:beforeLines="0" w:after="0" w:afterLines="0"/>
        <w:ind w:firstLine="640" w:firstLineChars="200"/>
        <w:rPr>
          <w:rFonts w:ascii="宋体" w:hAnsi="宋体"/>
          <w:b w:val="0"/>
          <w:sz w:val="32"/>
        </w:rPr>
      </w:pPr>
      <w:bookmarkStart w:id="61" w:name="_Toc16159"/>
      <w:bookmarkStart w:id="62" w:name="_Toc6297"/>
      <w:bookmarkStart w:id="63" w:name="_Toc14427"/>
      <w:bookmarkStart w:id="64" w:name="_Toc22932"/>
      <w:bookmarkStart w:id="65" w:name="_Toc88656214"/>
      <w:bookmarkStart w:id="66" w:name="_Toc845"/>
      <w:bookmarkStart w:id="67" w:name="_Toc88117748"/>
      <w:r>
        <w:rPr>
          <w:rFonts w:hint="eastAsia" w:ascii="宋体" w:hAnsi="宋体" w:eastAsia="黑体" w:cs="黑体"/>
          <w:b w:val="0"/>
          <w:sz w:val="32"/>
        </w:rPr>
        <w:t>一、发展成就</w:t>
      </w:r>
      <w:bookmarkEnd w:id="61"/>
      <w:bookmarkEnd w:id="62"/>
      <w:bookmarkEnd w:id="63"/>
      <w:bookmarkEnd w:id="64"/>
      <w:bookmarkEnd w:id="65"/>
      <w:bookmarkEnd w:id="66"/>
      <w:bookmarkEnd w:id="67"/>
    </w:p>
    <w:p w14:paraId="16B01DC9">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在市委、市政府的领导下，城市照明管理工作坚持以人民为中心的发展思想，持续改善夜间人居光环境，服务市民夜间出行安全和首都重大活动保障，城市道路照明治理工作取得显著成效，城市照明管理系统性明显增强，顺利完成城市照明规划目标，为建设国际一流的和谐宜居之都作出了积极贡献。</w:t>
      </w:r>
    </w:p>
    <w:p w14:paraId="6175885D">
      <w:pPr>
        <w:pStyle w:val="2"/>
        <w:spacing w:before="0" w:beforeLines="0" w:after="0" w:afterLines="0"/>
        <w:ind w:firstLine="640" w:firstLineChars="200"/>
        <w:rPr>
          <w:rFonts w:ascii="宋体" w:hAnsi="宋体" w:eastAsia="楷体_GB2312" w:cs="楷体_GB2312"/>
          <w:b w:val="0"/>
          <w:color w:val="auto"/>
        </w:rPr>
      </w:pPr>
      <w:bookmarkStart w:id="68" w:name="_Toc57375225"/>
      <w:bookmarkStart w:id="69" w:name="_Toc87050157"/>
      <w:bookmarkStart w:id="70" w:name="_Toc57217352"/>
      <w:bookmarkStart w:id="71" w:name="_Toc87454545"/>
      <w:bookmarkStart w:id="72" w:name="_Toc60666720"/>
      <w:bookmarkStart w:id="73" w:name="_Toc87269405"/>
      <w:bookmarkStart w:id="74" w:name="_Toc87269575"/>
      <w:bookmarkStart w:id="75" w:name="_Toc87052990"/>
      <w:bookmarkStart w:id="76" w:name="_Toc87270613"/>
      <w:bookmarkStart w:id="77" w:name="_Toc87053164"/>
      <w:bookmarkStart w:id="78" w:name="_Toc56591835"/>
      <w:bookmarkStart w:id="79" w:name="_Toc87261831"/>
      <w:bookmarkStart w:id="80" w:name="_Toc87462335"/>
      <w:bookmarkStart w:id="81" w:name="_Toc87455662"/>
      <w:bookmarkStart w:id="82" w:name="_Toc87265721"/>
      <w:bookmarkStart w:id="83" w:name="_Toc75499183"/>
      <w:bookmarkStart w:id="84" w:name="_Toc87269490"/>
      <w:r>
        <w:rPr>
          <w:rFonts w:hint="eastAsia" w:ascii="宋体" w:hAnsi="宋体" w:eastAsia="楷体_GB2312" w:cs="楷体_GB2312"/>
          <w:b w:val="0"/>
          <w:color w:val="auto"/>
        </w:rPr>
        <w:t>道路照明管理工作</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hint="eastAsia" w:ascii="宋体" w:hAnsi="宋体" w:eastAsia="楷体_GB2312" w:cs="楷体_GB2312"/>
          <w:b w:val="0"/>
          <w:color w:val="auto"/>
        </w:rPr>
        <w:t>稳步推进</w:t>
      </w:r>
    </w:p>
    <w:p w14:paraId="26BBCBD3">
      <w:pPr>
        <w:pStyle w:val="204"/>
        <w:adjustRightInd w:val="0"/>
        <w:spacing w:after="0" w:afterLines="0"/>
        <w:ind w:firstLine="640"/>
        <w:rPr>
          <w:rFonts w:ascii="宋体" w:hAnsi="宋体" w:eastAsia="仿宋_GB2312"/>
          <w:sz w:val="32"/>
        </w:rPr>
      </w:pPr>
      <w:bookmarkStart w:id="85" w:name="_Toc87265722"/>
      <w:bookmarkStart w:id="86" w:name="_Toc87261832"/>
      <w:bookmarkStart w:id="87" w:name="_Toc87455663"/>
      <w:bookmarkStart w:id="88" w:name="_Toc87454546"/>
      <w:bookmarkStart w:id="89" w:name="_Toc87269576"/>
      <w:bookmarkStart w:id="90" w:name="_Toc87270614"/>
      <w:r>
        <w:rPr>
          <w:rFonts w:hint="eastAsia" w:ascii="宋体" w:hAnsi="宋体" w:eastAsia="仿宋_GB2312"/>
          <w:sz w:val="32"/>
        </w:rPr>
        <w:t>1.“无灯路”专项治理工作取得显著成效</w:t>
      </w:r>
      <w:bookmarkEnd w:id="85"/>
      <w:bookmarkEnd w:id="86"/>
      <w:bookmarkEnd w:id="87"/>
      <w:bookmarkEnd w:id="88"/>
      <w:bookmarkEnd w:id="89"/>
      <w:bookmarkEnd w:id="90"/>
    </w:p>
    <w:p w14:paraId="3734DDAE">
      <w:pPr>
        <w:pStyle w:val="204"/>
        <w:adjustRightInd w:val="0"/>
        <w:spacing w:after="0" w:afterLines="0"/>
        <w:ind w:firstLine="640"/>
        <w:rPr>
          <w:rFonts w:ascii="宋体" w:hAnsi="宋体" w:eastAsia="仿宋_GB2312"/>
          <w:sz w:val="32"/>
        </w:rPr>
      </w:pPr>
      <w:r>
        <w:rPr>
          <w:rFonts w:hint="eastAsia" w:ascii="宋体" w:hAnsi="宋体" w:eastAsia="仿宋_GB2312"/>
          <w:sz w:val="32"/>
        </w:rPr>
        <w:t>坚持人民至上，保障市民群众夜间出行安全。在全市范围内持续开展“无灯路”专项治理工作，克服资金短缺、疫情影响等各种困难，共新建路灯4.5万盏、总投资13.66亿元，有效解决困扰市民夜间出行的道路无照明问题，不断增强市民群众的获得感、幸福感和安全感。</w:t>
      </w:r>
    </w:p>
    <w:p w14:paraId="1FCD0044">
      <w:pPr>
        <w:pStyle w:val="204"/>
        <w:adjustRightInd w:val="0"/>
        <w:spacing w:after="0" w:afterLines="0"/>
        <w:ind w:firstLine="640"/>
        <w:rPr>
          <w:rFonts w:ascii="宋体" w:hAnsi="宋体" w:eastAsia="仿宋_GB2312"/>
          <w:sz w:val="32"/>
        </w:rPr>
      </w:pPr>
      <w:bookmarkStart w:id="91" w:name="_Toc87261833"/>
      <w:bookmarkStart w:id="92" w:name="_Toc87454547"/>
      <w:bookmarkStart w:id="93" w:name="_Toc87269577"/>
      <w:bookmarkStart w:id="94" w:name="_Toc87270615"/>
      <w:bookmarkStart w:id="95" w:name="_Toc87455664"/>
      <w:bookmarkStart w:id="96" w:name="_Toc87265723"/>
      <w:r>
        <w:rPr>
          <w:rFonts w:hint="eastAsia" w:ascii="宋体" w:hAnsi="宋体" w:eastAsia="仿宋_GB2312"/>
          <w:sz w:val="32"/>
        </w:rPr>
        <w:t>2.道路照明设施管理工作逐步规范</w:t>
      </w:r>
      <w:bookmarkEnd w:id="91"/>
      <w:bookmarkEnd w:id="92"/>
      <w:bookmarkEnd w:id="93"/>
      <w:bookmarkEnd w:id="94"/>
      <w:bookmarkEnd w:id="95"/>
      <w:bookmarkEnd w:id="96"/>
    </w:p>
    <w:p w14:paraId="1496E8B5">
      <w:pPr>
        <w:pStyle w:val="204"/>
        <w:adjustRightInd w:val="0"/>
        <w:spacing w:after="0" w:afterLines="0"/>
        <w:ind w:firstLine="640"/>
        <w:rPr>
          <w:rFonts w:ascii="宋体" w:hAnsi="宋体" w:eastAsia="仿宋_GB2312"/>
          <w:sz w:val="32"/>
        </w:rPr>
      </w:pPr>
      <w:r>
        <w:rPr>
          <w:rFonts w:hint="eastAsia" w:ascii="宋体" w:hAnsi="宋体" w:eastAsia="仿宋_GB2312"/>
          <w:sz w:val="32"/>
        </w:rPr>
        <w:t>市、区两级城市管理部门高度重视道路照明设施运维管理工作，充分发挥属地管理职责，及时处理市民反映的路灯破损、断亮问题，检修路灯、电缆、元器件、灯杆控制箱等故障设施，提高故障报修、处置解决的工作效率，切实提升了路灯运行维护水平。其中，长安街及其延长线等重要道路亮灯率达到99.5%，主干道亮灯率为98.5%。城市副中心完成72条道路3560余盏路灯建设，全面解决有路无灯问题。农村道路照明设施建设水平稳步提升，有效保障广大市民夜间安全出行。组织编制北京市地方标准《城市道路照明设施运行维护规范》，进一步规范各区道路照明设施维护标准，为城市道路照明设施安全平稳运行提供科学依据。</w:t>
      </w:r>
      <w:bookmarkStart w:id="97" w:name="_Toc87265724"/>
      <w:bookmarkStart w:id="98" w:name="_Toc87270616"/>
      <w:bookmarkStart w:id="99" w:name="_Toc87454548"/>
      <w:bookmarkStart w:id="100" w:name="_Toc87269578"/>
      <w:bookmarkStart w:id="101" w:name="_Toc87455665"/>
      <w:bookmarkStart w:id="102" w:name="_Toc87261834"/>
    </w:p>
    <w:p w14:paraId="173774A0">
      <w:pPr>
        <w:pStyle w:val="204"/>
        <w:adjustRightInd w:val="0"/>
        <w:spacing w:after="0" w:afterLines="0"/>
        <w:ind w:firstLine="640"/>
        <w:rPr>
          <w:rFonts w:ascii="宋体" w:hAnsi="宋体" w:eastAsia="仿宋_GB2312"/>
          <w:sz w:val="32"/>
        </w:rPr>
      </w:pPr>
      <w:r>
        <w:rPr>
          <w:rFonts w:hint="eastAsia" w:ascii="宋体" w:hAnsi="宋体" w:eastAsia="仿宋_GB2312"/>
          <w:sz w:val="32"/>
        </w:rPr>
        <w:t>3.路灯架空线入地改造工程有序推进</w:t>
      </w:r>
      <w:bookmarkEnd w:id="97"/>
      <w:bookmarkEnd w:id="98"/>
      <w:bookmarkEnd w:id="99"/>
      <w:bookmarkEnd w:id="100"/>
      <w:bookmarkEnd w:id="101"/>
      <w:bookmarkEnd w:id="102"/>
    </w:p>
    <w:p w14:paraId="55227F52">
      <w:pPr>
        <w:pStyle w:val="204"/>
        <w:adjustRightInd w:val="0"/>
        <w:spacing w:after="0" w:afterLines="0"/>
        <w:ind w:firstLine="640"/>
        <w:rPr>
          <w:rFonts w:ascii="宋体" w:hAnsi="宋体" w:eastAsia="仿宋_GB2312"/>
          <w:sz w:val="32"/>
        </w:rPr>
      </w:pPr>
      <w:r>
        <w:rPr>
          <w:rFonts w:hint="eastAsia" w:ascii="宋体" w:hAnsi="宋体" w:eastAsia="仿宋_GB2312"/>
          <w:sz w:val="32"/>
        </w:rPr>
        <w:t>围绕首都功能核心区等重点区域，实施完成454条道路243公里架空线入地改造。实施过程中，严格落实扬尘管控措施，铺设防尘毯、利用专业水炮车降尘，居民密集区减少机械作业，避免噪音扰民，提升净空环境。改造后的道路照度水平提高4倍，均达到国家标准要求。</w:t>
      </w:r>
    </w:p>
    <w:p w14:paraId="70917C1B">
      <w:pPr>
        <w:pStyle w:val="2"/>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景观照明体系更加完善</w:t>
      </w:r>
    </w:p>
    <w:p w14:paraId="76E9EECC">
      <w:pPr>
        <w:pStyle w:val="204"/>
        <w:adjustRightInd w:val="0"/>
        <w:spacing w:after="0" w:afterLines="0"/>
        <w:ind w:firstLine="640"/>
        <w:rPr>
          <w:rFonts w:ascii="宋体" w:hAnsi="宋体" w:eastAsia="仿宋_GB2312"/>
          <w:sz w:val="32"/>
        </w:rPr>
      </w:pPr>
      <w:bookmarkStart w:id="103" w:name="_Toc87455667"/>
      <w:bookmarkStart w:id="104" w:name="_Toc87265726"/>
      <w:bookmarkStart w:id="105" w:name="_Toc87261836"/>
      <w:bookmarkStart w:id="106" w:name="_Toc87270618"/>
      <w:bookmarkStart w:id="107" w:name="_Toc87269580"/>
      <w:bookmarkStart w:id="108" w:name="_Toc87454550"/>
      <w:r>
        <w:rPr>
          <w:rFonts w:hint="eastAsia" w:ascii="宋体" w:hAnsi="宋体" w:eastAsia="仿宋_GB2312"/>
          <w:sz w:val="32"/>
        </w:rPr>
        <w:t>1.保障重大活动庆典夜景需求，塑造首都经典区域</w:t>
      </w:r>
      <w:bookmarkEnd w:id="103"/>
      <w:bookmarkEnd w:id="104"/>
      <w:bookmarkEnd w:id="105"/>
      <w:bookmarkEnd w:id="106"/>
      <w:bookmarkEnd w:id="107"/>
      <w:bookmarkEnd w:id="108"/>
    </w:p>
    <w:p w14:paraId="6BBA5626">
      <w:pPr>
        <w:pStyle w:val="204"/>
        <w:adjustRightInd w:val="0"/>
        <w:spacing w:after="0" w:afterLines="0"/>
        <w:ind w:firstLine="640"/>
        <w:rPr>
          <w:rFonts w:ascii="宋体" w:hAnsi="宋体" w:eastAsia="仿宋_GB2312"/>
          <w:sz w:val="32"/>
        </w:rPr>
      </w:pPr>
      <w:r>
        <w:rPr>
          <w:rFonts w:hint="eastAsia" w:ascii="宋体" w:hAnsi="宋体" w:eastAsia="仿宋_GB2312"/>
          <w:sz w:val="32"/>
        </w:rPr>
        <w:t>高质量完成新中国成立70周年庆祝活动、第二届“一带一路”高峰论坛、亚洲文明对话大会、世园会等活动的景观照明保障工作，尤其是天安门、永定门城楼、金融街、望京核心区组团、奥运中心区“一塔一路”、三里屯第五立面、八达岭景区等多处节点上演的“我爱你中国”主题灯光秀，丰富市民观赏体验，形成夜游经典区域。</w:t>
      </w:r>
    </w:p>
    <w:p w14:paraId="378FC6C1">
      <w:pPr>
        <w:autoSpaceDE w:val="0"/>
        <w:autoSpaceDN w:val="0"/>
        <w:adjustRightInd w:val="0"/>
        <w:jc w:val="center"/>
        <w:rPr>
          <w:rFonts w:ascii="宋体" w:hAnsi="宋体" w:eastAsia="仿宋_GB2312" w:cs="仿宋_GB2312"/>
          <w:kern w:val="0"/>
          <w:sz w:val="32"/>
          <w:szCs w:val="32"/>
        </w:rPr>
      </w:pPr>
      <w:r>
        <w:rPr>
          <w:rFonts w:ascii="宋体" w:hAnsi="宋体" w:eastAsia="仿宋_GB2312" w:cs="仿宋_GB2312"/>
          <w:kern w:val="0"/>
          <w:sz w:val="32"/>
          <w:szCs w:val="32"/>
        </w:rPr>
        <w:drawing>
          <wp:inline distT="0" distB="0" distL="0" distR="0">
            <wp:extent cx="5629275" cy="1042670"/>
            <wp:effectExtent l="0" t="0" r="0" b="5080"/>
            <wp:docPr id="31" name="Picture 4" descr="E:\人民大会堂\2P8A5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E:\人民大会堂\2P8A5117+2.jpg"/>
                    <pic:cNvPicPr>
                      <a:picLocks noChangeAspect="1" noChangeArrowheads="1"/>
                    </pic:cNvPicPr>
                  </pic:nvPicPr>
                  <pic:blipFill>
                    <a:blip r:embed="rId16" cstate="screen"/>
                    <a:srcRect t="8232" r="1663" b="14265"/>
                    <a:stretch>
                      <a:fillRect/>
                    </a:stretch>
                  </pic:blipFill>
                  <pic:spPr>
                    <a:xfrm>
                      <a:off x="0" y="0"/>
                      <a:ext cx="5692515" cy="1054755"/>
                    </a:xfrm>
                    <a:prstGeom prst="rect">
                      <a:avLst/>
                    </a:prstGeom>
                    <a:noFill/>
                  </pic:spPr>
                </pic:pic>
              </a:graphicData>
            </a:graphic>
          </wp:inline>
        </w:drawing>
      </w:r>
    </w:p>
    <w:p w14:paraId="24BB251B">
      <w:pPr>
        <w:autoSpaceDE w:val="0"/>
        <w:autoSpaceDN w:val="0"/>
        <w:adjustRightInd w:val="0"/>
        <w:jc w:val="center"/>
        <w:rPr>
          <w:rFonts w:ascii="宋体" w:hAnsi="宋体" w:eastAsia="仿宋_GB2312" w:cs="仿宋_GB2312"/>
          <w:kern w:val="0"/>
          <w:sz w:val="32"/>
          <w:szCs w:val="32"/>
        </w:rPr>
      </w:pPr>
      <w:r>
        <w:rPr>
          <w:rFonts w:ascii="宋体" w:hAnsi="宋体"/>
        </w:rPr>
        <w:drawing>
          <wp:inline distT="0" distB="0" distL="0" distR="0">
            <wp:extent cx="2762885" cy="1437005"/>
            <wp:effectExtent l="0" t="0" r="18415" b="10795"/>
            <wp:docPr id="7" name="图片 7" descr="水中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水中的建筑&#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2885" cy="1450394"/>
                    </a:xfrm>
                    <a:prstGeom prst="rect">
                      <a:avLst/>
                    </a:prstGeom>
                  </pic:spPr>
                </pic:pic>
              </a:graphicData>
            </a:graphic>
          </wp:inline>
        </w:drawing>
      </w:r>
      <w:r>
        <w:rPr>
          <w:rFonts w:ascii="宋体" w:hAnsi="宋体"/>
        </w:rPr>
        <w:t xml:space="preserve"> </w:t>
      </w:r>
      <w:r>
        <w:rPr>
          <w:rFonts w:ascii="宋体" w:hAnsi="宋体"/>
        </w:rPr>
        <w:drawing>
          <wp:inline distT="0" distB="0" distL="0" distR="0">
            <wp:extent cx="2469515" cy="1424940"/>
            <wp:effectExtent l="0" t="0" r="6985" b="3810"/>
            <wp:docPr id="8" name="图片 8" descr="湖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边的建筑&#10;&#10;描述已自动生成"/>
                    <pic:cNvPicPr>
                      <a:picLocks noChangeAspect="1"/>
                    </pic:cNvPicPr>
                  </pic:nvPicPr>
                  <pic:blipFill>
                    <a:blip r:embed="rId18" cstate="print">
                      <a:extLst>
                        <a:ext uri="{28A0092B-C50C-407E-A947-70E740481C1C}">
                          <a14:useLocalDpi xmlns:a14="http://schemas.microsoft.com/office/drawing/2010/main" val="0"/>
                        </a:ext>
                      </a:extLst>
                    </a:blip>
                    <a:srcRect t="1008"/>
                    <a:stretch>
                      <a:fillRect/>
                    </a:stretch>
                  </pic:blipFill>
                  <pic:spPr>
                    <a:xfrm>
                      <a:off x="0" y="0"/>
                      <a:ext cx="2469515" cy="1445904"/>
                    </a:xfrm>
                    <a:prstGeom prst="rect">
                      <a:avLst/>
                    </a:prstGeom>
                    <a:ln>
                      <a:noFill/>
                    </a:ln>
                  </pic:spPr>
                </pic:pic>
              </a:graphicData>
            </a:graphic>
          </wp:inline>
        </w:drawing>
      </w:r>
    </w:p>
    <w:p w14:paraId="167B398A">
      <w:pPr>
        <w:autoSpaceDE w:val="0"/>
        <w:autoSpaceDN w:val="0"/>
        <w:adjustRightInd w:val="0"/>
        <w:jc w:val="center"/>
        <w:rPr>
          <w:rFonts w:ascii="宋体" w:hAnsi="宋体" w:eastAsia="仿宋_GB2312" w:cs="仿宋_GB2312"/>
          <w:kern w:val="0"/>
          <w:sz w:val="32"/>
          <w:szCs w:val="32"/>
        </w:rPr>
      </w:pPr>
      <w:r>
        <w:rPr>
          <w:rFonts w:hint="eastAsia" w:ascii="宋体" w:hAnsi="宋体" w:eastAsia="仿宋_GB2312" w:cs="仿宋_GB2312"/>
          <w:kern w:val="0"/>
          <w:sz w:val="32"/>
          <w:szCs w:val="32"/>
        </w:rPr>
        <w:drawing>
          <wp:inline distT="0" distB="0" distL="0" distR="0">
            <wp:extent cx="2787650" cy="1465580"/>
            <wp:effectExtent l="0" t="0" r="1270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rcRect b="32396"/>
                    <a:stretch>
                      <a:fillRect/>
                    </a:stretch>
                  </pic:blipFill>
                  <pic:spPr>
                    <a:xfrm>
                      <a:off x="0" y="0"/>
                      <a:ext cx="2787650" cy="1484364"/>
                    </a:xfrm>
                    <a:prstGeom prst="rect">
                      <a:avLst/>
                    </a:prstGeom>
                  </pic:spPr>
                </pic:pic>
              </a:graphicData>
            </a:graphic>
          </wp:inline>
        </w:drawing>
      </w:r>
      <w:r>
        <w:rPr>
          <w:rFonts w:ascii="宋体" w:hAnsi="宋体" w:eastAsia="仿宋_GB2312" w:cs="仿宋_GB2312"/>
          <w:kern w:val="0"/>
          <w:sz w:val="32"/>
          <w:szCs w:val="32"/>
        </w:rPr>
        <w:t xml:space="preserve"> </w:t>
      </w:r>
      <w:r>
        <w:rPr>
          <w:rFonts w:ascii="宋体" w:hAnsi="宋体" w:eastAsia="仿宋_GB2312" w:cs="仿宋_GB2312"/>
          <w:kern w:val="0"/>
          <w:sz w:val="32"/>
          <w:szCs w:val="32"/>
        </w:rPr>
        <w:drawing>
          <wp:inline distT="0" distB="0" distL="0" distR="0">
            <wp:extent cx="2442210" cy="1461770"/>
            <wp:effectExtent l="0" t="0" r="15240" b="5080"/>
            <wp:docPr id="50" name="Picture 38" descr="夜晚发光的建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8" descr="夜晚发光的建筑&#10;&#10;中度可信度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42210" cy="1476052"/>
                    </a:xfrm>
                    <a:prstGeom prst="rect">
                      <a:avLst/>
                    </a:prstGeom>
                    <a:noFill/>
                    <a:ln>
                      <a:noFill/>
                    </a:ln>
                  </pic:spPr>
                </pic:pic>
              </a:graphicData>
            </a:graphic>
          </wp:inline>
        </w:drawing>
      </w:r>
    </w:p>
    <w:p w14:paraId="1DD9C445">
      <w:pPr>
        <w:autoSpaceDE w:val="0"/>
        <w:autoSpaceDN w:val="0"/>
        <w:adjustRightInd w:val="0"/>
        <w:jc w:val="center"/>
        <w:rPr>
          <w:rFonts w:ascii="宋体" w:hAnsi="宋体" w:eastAsia="仿宋_GB2312" w:cs="仿宋_GB2312"/>
          <w:kern w:val="0"/>
          <w:sz w:val="32"/>
          <w:szCs w:val="32"/>
        </w:rPr>
      </w:pPr>
      <w:r>
        <w:rPr>
          <w:rFonts w:ascii="宋体" w:hAnsi="宋体" w:eastAsia="仿宋_GB2312" w:cs="仿宋_GB2312"/>
          <w:kern w:val="0"/>
          <w:sz w:val="32"/>
          <w:szCs w:val="32"/>
        </w:rPr>
        <w:drawing>
          <wp:inline distT="0" distB="0" distL="0" distR="0">
            <wp:extent cx="2767330" cy="1704340"/>
            <wp:effectExtent l="0" t="0" r="13970" b="10160"/>
            <wp:docPr id="46" name="Picture 29" descr="夜晚的城市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夜晚的城市建筑&#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67330" cy="1704340"/>
                    </a:xfrm>
                    <a:prstGeom prst="rect">
                      <a:avLst/>
                    </a:prstGeom>
                    <a:noFill/>
                    <a:ln>
                      <a:noFill/>
                    </a:ln>
                  </pic:spPr>
                </pic:pic>
              </a:graphicData>
            </a:graphic>
          </wp:inline>
        </w:drawing>
      </w:r>
      <w:r>
        <w:rPr>
          <w:rFonts w:ascii="宋体" w:hAnsi="宋体" w:eastAsia="仿宋_GB2312" w:cs="仿宋_GB2312"/>
          <w:kern w:val="0"/>
          <w:sz w:val="32"/>
          <w:szCs w:val="32"/>
        </w:rPr>
        <w:t xml:space="preserve"> </w:t>
      </w:r>
      <w:r>
        <w:rPr>
          <w:rFonts w:ascii="宋体" w:hAnsi="宋体" w:eastAsia="仿宋_GB2312" w:cs="仿宋_GB2312"/>
          <w:kern w:val="0"/>
          <w:sz w:val="32"/>
          <w:szCs w:val="32"/>
        </w:rPr>
        <w:drawing>
          <wp:inline distT="0" distB="0" distL="0" distR="0">
            <wp:extent cx="2478405" cy="1717675"/>
            <wp:effectExtent l="0" t="0" r="17145" b="15875"/>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0"/>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a:xfrm>
                      <a:off x="0" y="0"/>
                      <a:ext cx="2478405" cy="1717675"/>
                    </a:xfrm>
                    <a:prstGeom prst="rect">
                      <a:avLst/>
                    </a:prstGeom>
                    <a:noFill/>
                    <a:ln>
                      <a:noFill/>
                    </a:ln>
                  </pic:spPr>
                </pic:pic>
              </a:graphicData>
            </a:graphic>
          </wp:inline>
        </w:drawing>
      </w:r>
    </w:p>
    <w:p w14:paraId="609A785F">
      <w:pPr>
        <w:pStyle w:val="205"/>
        <w:spacing w:before="156" w:after="156"/>
        <w:rPr>
          <w:rFonts w:ascii="宋体" w:hAnsi="宋体"/>
          <w:bCs w:val="0"/>
          <w:sz w:val="24"/>
          <w:szCs w:val="24"/>
        </w:rPr>
      </w:pPr>
      <w:r>
        <w:rPr>
          <w:rFonts w:hint="eastAsia" w:ascii="宋体" w:hAnsi="宋体"/>
          <w:bCs w:val="0"/>
          <w:sz w:val="24"/>
          <w:szCs w:val="24"/>
        </w:rPr>
        <w:t>图</w:t>
      </w:r>
      <w:r>
        <w:rPr>
          <w:rFonts w:ascii="宋体" w:hAnsi="宋体"/>
          <w:bCs w:val="0"/>
          <w:sz w:val="24"/>
          <w:szCs w:val="24"/>
        </w:rPr>
        <w:t xml:space="preserve"> </w:t>
      </w:r>
      <w:r>
        <w:rPr>
          <w:rFonts w:hint="eastAsia" w:ascii="宋体" w:hAnsi="宋体"/>
          <w:bCs w:val="0"/>
          <w:sz w:val="24"/>
          <w:szCs w:val="24"/>
        </w:rPr>
        <w:t>“十三五”时期景观照明提升项目</w:t>
      </w:r>
    </w:p>
    <w:p w14:paraId="27EC1F04">
      <w:pPr>
        <w:pStyle w:val="204"/>
        <w:adjustRightInd w:val="0"/>
        <w:spacing w:after="0" w:afterLines="0"/>
        <w:ind w:firstLine="640"/>
        <w:rPr>
          <w:rFonts w:ascii="宋体" w:hAnsi="宋体" w:eastAsia="仿宋_GB2312"/>
          <w:sz w:val="32"/>
        </w:rPr>
      </w:pPr>
      <w:bookmarkStart w:id="109" w:name="_Toc87455668"/>
      <w:bookmarkStart w:id="110" w:name="_Toc87269581"/>
      <w:bookmarkStart w:id="111" w:name="_Toc87265727"/>
      <w:bookmarkStart w:id="112" w:name="_Toc87454551"/>
      <w:bookmarkStart w:id="113" w:name="_Toc87270619"/>
      <w:bookmarkStart w:id="114" w:name="_Toc87261837"/>
      <w:r>
        <w:rPr>
          <w:rFonts w:hint="eastAsia" w:ascii="宋体" w:hAnsi="宋体" w:eastAsia="仿宋_GB2312"/>
          <w:sz w:val="32"/>
        </w:rPr>
        <w:t>2.景观照明格局体系基本形成</w:t>
      </w:r>
      <w:bookmarkEnd w:id="109"/>
      <w:bookmarkEnd w:id="110"/>
      <w:bookmarkEnd w:id="111"/>
      <w:bookmarkEnd w:id="112"/>
      <w:bookmarkEnd w:id="113"/>
      <w:bookmarkEnd w:id="114"/>
    </w:p>
    <w:p w14:paraId="68A7B9B5">
      <w:pPr>
        <w:pStyle w:val="204"/>
        <w:adjustRightInd w:val="0"/>
        <w:spacing w:after="0" w:afterLines="0"/>
        <w:ind w:firstLine="640"/>
        <w:rPr>
          <w:rFonts w:ascii="宋体" w:hAnsi="宋体" w:eastAsia="仿宋_GB2312"/>
          <w:sz w:val="32"/>
        </w:rPr>
      </w:pPr>
      <w:r>
        <w:rPr>
          <w:rFonts w:hint="eastAsia" w:ascii="宋体" w:hAnsi="宋体" w:eastAsia="仿宋_GB2312"/>
          <w:sz w:val="32"/>
        </w:rPr>
        <w:t>为更好地展现北京特色空间格局，在“十三五”城市照明规划指导下，稳步完善“两轴、三环、十六线、十九区、滨水界面”的景观照明体系。全市新建景观照明设施规模达到1.2万千瓦，总投资14.33亿元。历时3年的长安街（十里长街）沿线环境景观升级改造全面完成，使首都“庄严、沉稳、厚重、大气”的气质更加突出；补充完善二、三环立交桥和东二环景观照明，形成连续的观景界面；稳步开展城市副中心行政办公区景观照明建设，通过对长安街东延长线和广渠路的景观照明建设，构建通往城市副中心的照明廊道，强化区域联系性。完成运河沿岸（五河源头—甘棠）、新华大街沿线、通济路沿线（丁各庄桥—北运河桥）、通燕高速沿线（西马庄收费站—丁各庄收费站）等景观亮化提升工程，开启北运河大桥灯光秀，扮靓门户形象。此类项目成为承载历史文化、传播城市文明、凝聚当代精神、突出时代特征的景观照明精品。</w:t>
      </w:r>
    </w:p>
    <w:p w14:paraId="398FEE4C">
      <w:pPr>
        <w:pStyle w:val="2"/>
        <w:spacing w:before="0" w:beforeLines="0" w:after="0" w:afterLines="0"/>
        <w:ind w:firstLine="640" w:firstLineChars="200"/>
        <w:rPr>
          <w:rFonts w:ascii="宋体" w:hAnsi="宋体" w:eastAsia="楷体_GB2312" w:cs="楷体_GB2312"/>
          <w:b w:val="0"/>
          <w:color w:val="auto"/>
        </w:rPr>
      </w:pPr>
      <w:bookmarkStart w:id="115" w:name="_Toc87265728"/>
      <w:bookmarkStart w:id="116" w:name="_Toc87052992"/>
      <w:bookmarkStart w:id="117" w:name="_Toc87462337"/>
      <w:bookmarkStart w:id="118" w:name="_Toc60666722"/>
      <w:bookmarkStart w:id="119" w:name="_Toc87050159"/>
      <w:bookmarkStart w:id="120" w:name="_Toc56591837"/>
      <w:bookmarkStart w:id="121" w:name="_Toc75499185"/>
      <w:bookmarkStart w:id="122" w:name="_Toc87455669"/>
      <w:bookmarkStart w:id="123" w:name="_Toc57375227"/>
      <w:bookmarkStart w:id="124" w:name="_Toc87270620"/>
      <w:bookmarkStart w:id="125" w:name="_Toc87269582"/>
      <w:bookmarkStart w:id="126" w:name="_Toc57217354"/>
      <w:bookmarkStart w:id="127" w:name="_Toc87269492"/>
      <w:bookmarkStart w:id="128" w:name="_Toc87454552"/>
      <w:bookmarkStart w:id="129" w:name="_Toc87053166"/>
      <w:bookmarkStart w:id="130" w:name="_Toc87261838"/>
      <w:bookmarkStart w:id="131" w:name="_Toc87269407"/>
      <w:r>
        <w:rPr>
          <w:rFonts w:hint="eastAsia" w:ascii="宋体" w:hAnsi="宋体" w:eastAsia="楷体_GB2312" w:cs="楷体_GB2312"/>
          <w:b w:val="0"/>
          <w:color w:val="auto"/>
        </w:rPr>
        <w:t>城市照明安全保障能力不断提升</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B0C60A1">
      <w:pPr>
        <w:pStyle w:val="204"/>
        <w:adjustRightInd w:val="0"/>
        <w:spacing w:after="0" w:afterLines="0"/>
        <w:ind w:firstLine="640"/>
        <w:rPr>
          <w:rFonts w:ascii="宋体" w:hAnsi="宋体" w:eastAsia="仿宋_GB2312"/>
          <w:sz w:val="32"/>
        </w:rPr>
      </w:pPr>
      <w:r>
        <w:rPr>
          <w:rFonts w:hint="eastAsia" w:ascii="宋体" w:hAnsi="宋体" w:eastAsia="仿宋_GB2312"/>
          <w:sz w:val="32"/>
        </w:rPr>
        <w:t>为确保照明设施安全、高效运营，对全市道路照明设施和景观照明设施进行安全隐患排查，消除100余条道路以及长安街沿线建国门、彩虹门、复兴门等多处景观照明设施的安全隐患，确保重大活动、节日庆典安全顺利举行。</w:t>
      </w:r>
    </w:p>
    <w:p w14:paraId="3E13B51C">
      <w:pPr>
        <w:pStyle w:val="2"/>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城市照明科技创新能力逐步增强</w:t>
      </w:r>
    </w:p>
    <w:p w14:paraId="667E9C40">
      <w:pPr>
        <w:pStyle w:val="204"/>
        <w:adjustRightInd w:val="0"/>
        <w:spacing w:after="0" w:afterLines="0"/>
        <w:ind w:firstLine="640"/>
        <w:rPr>
          <w:rFonts w:ascii="宋体" w:hAnsi="宋体" w:eastAsia="仿宋_GB2312"/>
          <w:sz w:val="32"/>
        </w:rPr>
      </w:pPr>
      <w:bookmarkStart w:id="132" w:name="_Toc87270622"/>
      <w:bookmarkStart w:id="133" w:name="_Toc87454554"/>
      <w:bookmarkStart w:id="134" w:name="_Toc87265730"/>
      <w:bookmarkStart w:id="135" w:name="_Toc87261840"/>
      <w:bookmarkStart w:id="136" w:name="_Toc87455671"/>
      <w:bookmarkStart w:id="137" w:name="_Toc87269584"/>
      <w:r>
        <w:rPr>
          <w:rFonts w:hint="eastAsia" w:ascii="宋体" w:hAnsi="宋体" w:eastAsia="仿宋_GB2312"/>
          <w:sz w:val="32"/>
        </w:rPr>
        <w:t>1.积极探索“多功能路灯杆”的应用</w:t>
      </w:r>
      <w:bookmarkEnd w:id="132"/>
      <w:bookmarkEnd w:id="133"/>
      <w:bookmarkEnd w:id="134"/>
      <w:bookmarkEnd w:id="135"/>
      <w:bookmarkEnd w:id="136"/>
      <w:bookmarkEnd w:id="137"/>
    </w:p>
    <w:p w14:paraId="0FFE18C5">
      <w:pPr>
        <w:pStyle w:val="204"/>
        <w:adjustRightInd w:val="0"/>
        <w:spacing w:after="0" w:afterLines="0"/>
        <w:ind w:firstLine="640"/>
        <w:rPr>
          <w:rFonts w:ascii="宋体" w:hAnsi="宋体" w:eastAsia="仿宋_GB2312"/>
          <w:sz w:val="32"/>
        </w:rPr>
      </w:pPr>
      <w:r>
        <w:rPr>
          <w:rFonts w:hint="eastAsia" w:ascii="宋体" w:hAnsi="宋体" w:eastAsia="仿宋_GB2312"/>
          <w:sz w:val="32"/>
        </w:rPr>
        <w:t>积极探索“互联网+城市照明”服务新模式，推进首都智慧城市发展。2019年，完成雍和宫大街“多杆合一”试点工作，新建综合型路灯33基，整合原有交通信号灯、交通标志、治安监控等专业杆体200余个，显著提升街道空间的秩序感和景观品质。</w:t>
      </w:r>
    </w:p>
    <w:p w14:paraId="14E810F5">
      <w:pPr>
        <w:pStyle w:val="204"/>
        <w:adjustRightInd w:val="0"/>
        <w:spacing w:after="0" w:afterLines="0"/>
        <w:ind w:firstLine="640"/>
        <w:rPr>
          <w:rFonts w:ascii="宋体" w:hAnsi="宋体" w:eastAsia="仿宋_GB2312"/>
          <w:sz w:val="32"/>
        </w:rPr>
      </w:pPr>
      <w:bookmarkStart w:id="138" w:name="_Toc87454555"/>
      <w:bookmarkStart w:id="139" w:name="_Toc87265731"/>
      <w:bookmarkStart w:id="140" w:name="_Toc87269585"/>
      <w:bookmarkStart w:id="141" w:name="_Toc87455672"/>
      <w:bookmarkStart w:id="142" w:name="_Toc87261841"/>
      <w:bookmarkStart w:id="143" w:name="_Toc87270623"/>
      <w:r>
        <w:rPr>
          <w:rFonts w:hint="eastAsia" w:ascii="宋体" w:hAnsi="宋体" w:eastAsia="仿宋_GB2312"/>
          <w:sz w:val="32"/>
        </w:rPr>
        <w:t>2.照明节能工作稳步</w:t>
      </w:r>
      <w:bookmarkEnd w:id="138"/>
      <w:bookmarkEnd w:id="139"/>
      <w:bookmarkEnd w:id="140"/>
      <w:bookmarkEnd w:id="141"/>
      <w:bookmarkEnd w:id="142"/>
      <w:bookmarkEnd w:id="143"/>
      <w:r>
        <w:rPr>
          <w:rFonts w:hint="eastAsia" w:ascii="宋体" w:hAnsi="宋体" w:eastAsia="仿宋_GB2312"/>
          <w:sz w:val="32"/>
        </w:rPr>
        <w:t>推进</w:t>
      </w:r>
    </w:p>
    <w:p w14:paraId="6D8ABFFE">
      <w:pPr>
        <w:pStyle w:val="204"/>
        <w:adjustRightInd w:val="0"/>
        <w:spacing w:after="0" w:afterLines="0"/>
        <w:ind w:firstLine="640"/>
        <w:rPr>
          <w:rFonts w:ascii="宋体" w:hAnsi="宋体" w:eastAsia="仿宋_GB2312"/>
          <w:sz w:val="32"/>
        </w:rPr>
      </w:pPr>
      <w:r>
        <w:rPr>
          <w:rFonts w:hint="eastAsia" w:ascii="宋体" w:hAnsi="宋体" w:eastAsia="仿宋_GB2312"/>
          <w:sz w:val="32"/>
        </w:rPr>
        <w:t>按照开展绿色节能照明要求，新建项目均采用高质高效节能设施，包括钠灯更换为LED灯、节能等级9系列以下高损耗箱更换为节能等级13系列等。“十三五”时期与“十二五”时期末相比，城市照明节电率达到10.6%。</w:t>
      </w:r>
    </w:p>
    <w:p w14:paraId="2EDAD802">
      <w:pPr>
        <w:pStyle w:val="204"/>
        <w:adjustRightInd w:val="0"/>
        <w:spacing w:after="0" w:afterLines="0"/>
        <w:ind w:firstLine="640"/>
        <w:rPr>
          <w:rFonts w:ascii="宋体" w:hAnsi="宋体" w:eastAsia="仿宋_GB2312"/>
          <w:sz w:val="32"/>
        </w:rPr>
      </w:pPr>
      <w:bookmarkStart w:id="144" w:name="_Toc87265732"/>
      <w:bookmarkStart w:id="145" w:name="_Toc87454556"/>
      <w:bookmarkStart w:id="146" w:name="_Toc87261842"/>
      <w:bookmarkStart w:id="147" w:name="_Toc87455673"/>
      <w:bookmarkStart w:id="148" w:name="_Toc87270624"/>
      <w:bookmarkStart w:id="149" w:name="_Toc87269586"/>
      <w:r>
        <w:rPr>
          <w:rFonts w:hint="eastAsia" w:ascii="宋体" w:hAnsi="宋体" w:eastAsia="仿宋_GB2312"/>
          <w:sz w:val="32"/>
        </w:rPr>
        <w:t>3.探索“虚拟现实”等新系统在城市照明管理中的运用</w:t>
      </w:r>
      <w:bookmarkEnd w:id="144"/>
      <w:bookmarkEnd w:id="145"/>
      <w:bookmarkEnd w:id="146"/>
      <w:bookmarkEnd w:id="147"/>
      <w:bookmarkEnd w:id="148"/>
      <w:bookmarkEnd w:id="149"/>
    </w:p>
    <w:p w14:paraId="2602E351">
      <w:pPr>
        <w:pStyle w:val="204"/>
        <w:adjustRightInd w:val="0"/>
        <w:spacing w:after="0" w:afterLines="0"/>
        <w:ind w:firstLine="640"/>
        <w:rPr>
          <w:rFonts w:ascii="宋体" w:hAnsi="宋体"/>
        </w:rPr>
      </w:pPr>
      <w:r>
        <w:rPr>
          <w:rFonts w:hint="eastAsia" w:ascii="宋体" w:hAnsi="宋体" w:eastAsia="仿宋_GB2312"/>
          <w:sz w:val="32"/>
        </w:rPr>
        <w:t>在城市副中心搭建虚拟现实城市照明模拟系统，辅助城市照明建设管理工作，实时监督，提高了城市智慧管理能力和水平。</w:t>
      </w:r>
    </w:p>
    <w:p w14:paraId="198D006C">
      <w:pPr>
        <w:pStyle w:val="2"/>
        <w:spacing w:before="0" w:beforeLines="0" w:after="0" w:afterLines="0"/>
        <w:ind w:firstLine="640" w:firstLineChars="200"/>
        <w:rPr>
          <w:rFonts w:ascii="宋体" w:hAnsi="宋体" w:eastAsia="楷体_GB2312" w:cs="楷体_GB2312"/>
          <w:b w:val="0"/>
          <w:color w:val="auto"/>
        </w:rPr>
      </w:pPr>
      <w:bookmarkStart w:id="150" w:name="_Toc87269494"/>
      <w:bookmarkStart w:id="151" w:name="_Toc87050161"/>
      <w:bookmarkStart w:id="152" w:name="_Toc56591839"/>
      <w:bookmarkStart w:id="153" w:name="_Toc87052994"/>
      <w:bookmarkStart w:id="154" w:name="_Toc87462339"/>
      <w:bookmarkStart w:id="155" w:name="_Toc87053168"/>
      <w:bookmarkStart w:id="156" w:name="_Toc87265733"/>
      <w:bookmarkStart w:id="157" w:name="_Toc60666724"/>
      <w:bookmarkStart w:id="158" w:name="_Toc87261843"/>
      <w:bookmarkStart w:id="159" w:name="_Toc75499187"/>
      <w:bookmarkStart w:id="160" w:name="_Toc87269409"/>
      <w:bookmarkStart w:id="161" w:name="_Toc87270625"/>
      <w:bookmarkStart w:id="162" w:name="_Toc87455674"/>
      <w:bookmarkStart w:id="163" w:name="_Toc57375229"/>
      <w:bookmarkStart w:id="164" w:name="_Toc87269587"/>
      <w:bookmarkStart w:id="165" w:name="_Toc57217356"/>
      <w:bookmarkStart w:id="166" w:name="_Toc87454557"/>
      <w:r>
        <w:rPr>
          <w:rFonts w:hint="eastAsia" w:ascii="宋体" w:hAnsi="宋体" w:eastAsia="楷体_GB2312" w:cs="楷体_GB2312"/>
          <w:b w:val="0"/>
          <w:color w:val="auto"/>
        </w:rPr>
        <w:t>城市照明运行管理水平不断提升</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402F90D">
      <w:pPr>
        <w:pStyle w:val="204"/>
        <w:adjustRightInd w:val="0"/>
        <w:spacing w:after="0" w:afterLines="0"/>
        <w:ind w:firstLine="640"/>
        <w:rPr>
          <w:rFonts w:ascii="宋体" w:hAnsi="宋体" w:eastAsia="仿宋_GB2312"/>
          <w:sz w:val="32"/>
        </w:rPr>
      </w:pPr>
      <w:r>
        <w:rPr>
          <w:rFonts w:hint="eastAsia" w:ascii="宋体" w:hAnsi="宋体" w:eastAsia="仿宋_GB2312"/>
          <w:sz w:val="32"/>
        </w:rPr>
        <w:t>建立健全覆盖全市的照明分区管控机制和规划指标体系，指导全市照明建设项目有序开展。认真落实城市照明领域接诉即办，建立“月报”制度，各区每月反馈接诉即办工作分析，汇总形成全市大数据，以此为支撑，推动构建高效的接诉即办工作体系，提升了本市城市照明运行管理水平。</w:t>
      </w:r>
    </w:p>
    <w:p w14:paraId="165BCF7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167" w:name="_Toc12564"/>
      <w:bookmarkStart w:id="168" w:name="_Toc88117749"/>
      <w:bookmarkStart w:id="169" w:name="_Toc1560"/>
      <w:bookmarkStart w:id="170" w:name="_Toc11774"/>
      <w:bookmarkStart w:id="171" w:name="_Toc8644"/>
      <w:bookmarkStart w:id="172" w:name="_Toc30174"/>
      <w:bookmarkStart w:id="173" w:name="_Toc88656215"/>
      <w:r>
        <w:rPr>
          <w:rFonts w:hint="eastAsia" w:ascii="宋体" w:hAnsi="宋体" w:eastAsia="黑体" w:cs="黑体"/>
          <w:b w:val="0"/>
          <w:sz w:val="32"/>
        </w:rPr>
        <w:t>二、主要问题</w:t>
      </w:r>
      <w:bookmarkEnd w:id="167"/>
      <w:bookmarkEnd w:id="168"/>
      <w:bookmarkEnd w:id="169"/>
      <w:bookmarkEnd w:id="170"/>
      <w:bookmarkEnd w:id="171"/>
      <w:bookmarkEnd w:id="172"/>
      <w:bookmarkEnd w:id="173"/>
    </w:p>
    <w:p w14:paraId="2E0FEB76">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“十三五”时期，城市照明管理工作取得了显著成效，但随着人民群众对美好生活的日益增长的需求向往，对城市照明工作提出了更高要求。</w:t>
      </w:r>
    </w:p>
    <w:p w14:paraId="69C70FBD">
      <w:pPr>
        <w:pStyle w:val="2"/>
        <w:numPr>
          <w:ilvl w:val="0"/>
          <w:numId w:val="19"/>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“有路无灯、有灯不亮”等问题有待进一步解决</w:t>
      </w:r>
    </w:p>
    <w:p w14:paraId="7726416F">
      <w:pPr>
        <w:pStyle w:val="204"/>
        <w:adjustRightInd w:val="0"/>
        <w:spacing w:after="0" w:afterLines="0"/>
        <w:ind w:firstLine="640"/>
        <w:rPr>
          <w:rFonts w:ascii="宋体" w:hAnsi="宋体" w:eastAsia="仿宋_GB2312"/>
          <w:sz w:val="32"/>
        </w:rPr>
      </w:pPr>
      <w:r>
        <w:rPr>
          <w:rFonts w:hint="eastAsia" w:ascii="宋体" w:hAnsi="宋体" w:eastAsia="仿宋_GB2312"/>
          <w:sz w:val="32"/>
        </w:rPr>
        <w:t>12345市民服务热线、各类舆情等反映的路灯问题仍在增加。主要包含农村公共照明、城市照明、小区公共照明、公园和绿地照明等几大方面。城乡发展不均衡问题显著，“无灯路”问题尚未彻底解决；市民普遍关注的居住区周边道路、夜间公共场所等区域的照明设施有待完善。</w:t>
      </w:r>
    </w:p>
    <w:p w14:paraId="2F9AE8A3">
      <w:pPr>
        <w:pStyle w:val="2"/>
        <w:numPr>
          <w:ilvl w:val="0"/>
          <w:numId w:val="19"/>
        </w:numPr>
        <w:spacing w:before="0" w:beforeLines="0" w:after="0" w:afterLines="0"/>
        <w:ind w:firstLine="640" w:firstLineChars="200"/>
        <w:rPr>
          <w:rFonts w:ascii="宋体" w:hAnsi="宋体" w:eastAsia="楷体_GB2312" w:cs="楷体_GB2312"/>
          <w:b w:val="0"/>
          <w:color w:val="auto"/>
        </w:rPr>
      </w:pPr>
      <w:bookmarkStart w:id="174" w:name="_Toc87269497"/>
      <w:bookmarkStart w:id="175" w:name="_Toc87270628"/>
      <w:bookmarkStart w:id="176" w:name="_Toc87261846"/>
      <w:bookmarkStart w:id="177" w:name="_Toc87269412"/>
      <w:bookmarkStart w:id="178" w:name="_Toc87454560"/>
      <w:bookmarkStart w:id="179" w:name="_Toc87050164"/>
      <w:bookmarkStart w:id="180" w:name="_Toc87052997"/>
      <w:bookmarkStart w:id="181" w:name="_Toc87455677"/>
      <w:bookmarkStart w:id="182" w:name="_Toc87462342"/>
      <w:bookmarkStart w:id="183" w:name="_Toc87053171"/>
      <w:bookmarkStart w:id="184" w:name="_Toc87265736"/>
      <w:bookmarkStart w:id="185" w:name="_Toc87269590"/>
      <w:bookmarkStart w:id="186" w:name="_Toc87270629"/>
      <w:bookmarkStart w:id="187" w:name="_Toc87455678"/>
      <w:bookmarkStart w:id="188" w:name="_Toc87269413"/>
      <w:bookmarkStart w:id="189" w:name="_Toc87261847"/>
      <w:bookmarkStart w:id="190" w:name="_Toc87053172"/>
      <w:bookmarkStart w:id="191" w:name="_Toc87265737"/>
      <w:bookmarkStart w:id="192" w:name="_Toc87454561"/>
      <w:bookmarkStart w:id="193" w:name="_Toc87050165"/>
      <w:bookmarkStart w:id="194" w:name="_Toc87269591"/>
      <w:bookmarkStart w:id="195" w:name="_Toc87462343"/>
      <w:bookmarkStart w:id="196" w:name="_Toc87052998"/>
      <w:bookmarkStart w:id="197" w:name="_Toc87269498"/>
      <w:r>
        <w:rPr>
          <w:rFonts w:hint="eastAsia" w:ascii="宋体" w:hAnsi="宋体" w:eastAsia="楷体_GB2312" w:cs="楷体_GB2312"/>
          <w:b w:val="0"/>
          <w:color w:val="auto"/>
        </w:rPr>
        <w:t>城市景观照明需进一步展现北京文化底蕴</w:t>
      </w:r>
      <w:bookmarkEnd w:id="174"/>
      <w:bookmarkEnd w:id="175"/>
      <w:bookmarkEnd w:id="176"/>
      <w:bookmarkEnd w:id="177"/>
      <w:bookmarkEnd w:id="178"/>
      <w:bookmarkEnd w:id="179"/>
      <w:bookmarkEnd w:id="180"/>
      <w:bookmarkEnd w:id="181"/>
      <w:bookmarkEnd w:id="182"/>
      <w:bookmarkEnd w:id="183"/>
      <w:bookmarkEnd w:id="184"/>
      <w:bookmarkEnd w:id="185"/>
    </w:p>
    <w:p w14:paraId="778EDFFF">
      <w:pPr>
        <w:pStyle w:val="204"/>
        <w:adjustRightInd w:val="0"/>
        <w:spacing w:after="0" w:afterLines="0"/>
        <w:ind w:firstLine="640"/>
        <w:rPr>
          <w:rFonts w:ascii="宋体" w:hAnsi="宋体" w:eastAsia="仿宋_GB2312"/>
          <w:sz w:val="32"/>
        </w:rPr>
      </w:pPr>
      <w:r>
        <w:rPr>
          <w:rFonts w:hint="eastAsia" w:ascii="宋体" w:hAnsi="宋体" w:eastAsia="仿宋_GB2312"/>
          <w:sz w:val="32"/>
        </w:rPr>
        <w:t>“十三五”时期，尚有部分景观照明区域未能建设完成，部分重点地区、重点街道的夜间文化氛围体现不足；景观照明建设需深入挖掘文化内涵、提升文化品位；对已建成的景观照明项目需进一步维护，确保其夜间照明品质。对未建项目，需从城镇发展特征、资源环境承载力、地方财力、人民群众意愿等多方面评估后，合理补充纳入“十四五”时期工作任务。</w:t>
      </w:r>
    </w:p>
    <w:p w14:paraId="203FC43E">
      <w:pPr>
        <w:pStyle w:val="2"/>
        <w:numPr>
          <w:ilvl w:val="0"/>
          <w:numId w:val="19"/>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科技创新有待进一步加强</w:t>
      </w:r>
      <w:bookmarkEnd w:id="186"/>
      <w:bookmarkEnd w:id="187"/>
      <w:bookmarkEnd w:id="188"/>
      <w:bookmarkEnd w:id="189"/>
      <w:bookmarkEnd w:id="190"/>
      <w:bookmarkEnd w:id="191"/>
      <w:bookmarkEnd w:id="192"/>
      <w:bookmarkEnd w:id="193"/>
      <w:bookmarkEnd w:id="194"/>
      <w:bookmarkEnd w:id="195"/>
      <w:bookmarkEnd w:id="196"/>
      <w:bookmarkEnd w:id="197"/>
    </w:p>
    <w:p w14:paraId="26B2DA2A">
      <w:pPr>
        <w:pStyle w:val="204"/>
        <w:adjustRightInd w:val="0"/>
        <w:spacing w:after="0" w:afterLines="0"/>
        <w:ind w:firstLine="640"/>
        <w:rPr>
          <w:rFonts w:ascii="宋体" w:hAnsi="宋体" w:eastAsia="仿宋_GB2312"/>
          <w:sz w:val="32"/>
        </w:rPr>
      </w:pPr>
      <w:r>
        <w:rPr>
          <w:rFonts w:hint="eastAsia" w:ascii="宋体" w:hAnsi="宋体" w:eastAsia="仿宋_GB2312"/>
          <w:sz w:val="32"/>
        </w:rPr>
        <w:t>科技创新意识仍需不断增强，城市照明管理的智能化水平有待进一步提升，需持续做好产品设备创新、管控平台创新、管理体系创新。</w:t>
      </w:r>
    </w:p>
    <w:p w14:paraId="59EAB840">
      <w:pPr>
        <w:pStyle w:val="2"/>
        <w:numPr>
          <w:ilvl w:val="0"/>
          <w:numId w:val="19"/>
        </w:numPr>
        <w:spacing w:before="0" w:beforeLines="0" w:after="0" w:afterLines="0"/>
        <w:ind w:firstLine="640" w:firstLineChars="200"/>
        <w:rPr>
          <w:rFonts w:ascii="宋体" w:hAnsi="宋体" w:eastAsia="楷体_GB2312" w:cs="楷体_GB2312"/>
          <w:b w:val="0"/>
          <w:color w:val="auto"/>
        </w:rPr>
      </w:pPr>
      <w:bookmarkStart w:id="198" w:name="_Toc87053173"/>
      <w:bookmarkStart w:id="199" w:name="_Toc87261848"/>
      <w:bookmarkStart w:id="200" w:name="_Toc87462344"/>
      <w:bookmarkStart w:id="201" w:name="_Toc87265738"/>
      <w:bookmarkStart w:id="202" w:name="_Toc87050166"/>
      <w:bookmarkStart w:id="203" w:name="_Toc87270630"/>
      <w:bookmarkStart w:id="204" w:name="_Toc87269414"/>
      <w:bookmarkStart w:id="205" w:name="_Toc87455679"/>
      <w:bookmarkStart w:id="206" w:name="_Toc87052999"/>
      <w:bookmarkStart w:id="207" w:name="_Toc87454562"/>
      <w:bookmarkStart w:id="208" w:name="_Toc87269592"/>
      <w:bookmarkStart w:id="209" w:name="_Toc87269499"/>
      <w:r>
        <w:rPr>
          <w:rFonts w:hint="eastAsia" w:ascii="宋体" w:hAnsi="宋体" w:eastAsia="楷体_GB2312" w:cs="楷体_GB2312"/>
          <w:b w:val="0"/>
          <w:color w:val="auto"/>
        </w:rPr>
        <w:t>城市照明体制机制有待进一步完善</w:t>
      </w:r>
      <w:bookmarkEnd w:id="198"/>
      <w:bookmarkEnd w:id="199"/>
      <w:bookmarkEnd w:id="200"/>
      <w:bookmarkEnd w:id="201"/>
      <w:bookmarkEnd w:id="202"/>
      <w:bookmarkEnd w:id="203"/>
      <w:bookmarkEnd w:id="204"/>
      <w:bookmarkEnd w:id="205"/>
      <w:bookmarkEnd w:id="206"/>
      <w:bookmarkEnd w:id="207"/>
      <w:bookmarkEnd w:id="208"/>
      <w:bookmarkEnd w:id="209"/>
    </w:p>
    <w:p w14:paraId="136DBF05">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管理法规标准体系尚不完善，城市照明管理规章、景观照明和功能照明的运维标准均未出台，城市照明涉及单位较多，易造成职责模糊、有路无灯、有灯失管问题。照明设施规划、建设、管理三个环节缺乏有效衔接，没有形成完整链条，日常协调管理不够顺畅，一体化、制度化方面有待加强。运行机制亟待调整，市政道路范围外路灯建设运维监管缺失。</w:t>
      </w:r>
    </w:p>
    <w:p w14:paraId="3A491E1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10" w:name="_Toc88656216"/>
      <w:bookmarkStart w:id="211" w:name="_Toc9756"/>
      <w:bookmarkStart w:id="212" w:name="_Toc10917"/>
      <w:bookmarkStart w:id="213" w:name="_Toc31199"/>
      <w:bookmarkStart w:id="214" w:name="_Toc32026"/>
      <w:bookmarkStart w:id="215" w:name="_Toc4976"/>
      <w:r>
        <w:rPr>
          <w:rFonts w:hint="eastAsia" w:ascii="宋体" w:hAnsi="宋体" w:eastAsia="黑体" w:cs="黑体"/>
          <w:b w:val="0"/>
          <w:sz w:val="32"/>
        </w:rPr>
        <w:t>三、面临</w:t>
      </w:r>
      <w:bookmarkEnd w:id="210"/>
      <w:r>
        <w:rPr>
          <w:rFonts w:hint="eastAsia" w:ascii="宋体" w:hAnsi="宋体" w:eastAsia="黑体" w:cs="黑体"/>
          <w:b w:val="0"/>
          <w:sz w:val="32"/>
        </w:rPr>
        <w:t>形势</w:t>
      </w:r>
      <w:bookmarkEnd w:id="211"/>
      <w:bookmarkEnd w:id="212"/>
      <w:bookmarkEnd w:id="213"/>
      <w:bookmarkEnd w:id="214"/>
      <w:bookmarkEnd w:id="215"/>
    </w:p>
    <w:p w14:paraId="29B7109A">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是我国全面建成小康社会、实现第一个百年奋斗目标之后，乘势而上开启全面建设社会主义现代化国家新征程、向第二个百年奋斗目标进军的第一个五年，也是建设国际一流的和谐宜居之都的关键期。</w:t>
      </w:r>
    </w:p>
    <w:p w14:paraId="1715684F">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16" w:name="_Toc87270632"/>
      <w:bookmarkStart w:id="217" w:name="_Toc87462346"/>
      <w:bookmarkStart w:id="218" w:name="_Toc87454564"/>
      <w:bookmarkStart w:id="219" w:name="_Toc87265740"/>
      <w:bookmarkStart w:id="220" w:name="_Toc87053001"/>
      <w:bookmarkStart w:id="221" w:name="_Toc87050168"/>
      <w:bookmarkStart w:id="222" w:name="_Toc87261850"/>
      <w:bookmarkStart w:id="223" w:name="_Toc87269594"/>
      <w:bookmarkStart w:id="224" w:name="_Toc87269501"/>
      <w:bookmarkStart w:id="225" w:name="_Toc87053175"/>
      <w:bookmarkStart w:id="226" w:name="_Toc87269416"/>
      <w:bookmarkStart w:id="227" w:name="_Toc87455681"/>
      <w:r>
        <w:rPr>
          <w:rFonts w:hint="eastAsia" w:ascii="宋体" w:hAnsi="宋体" w:eastAsia="楷体_GB2312" w:cs="楷体_GB2312"/>
          <w:b w:val="0"/>
          <w:color w:val="auto"/>
        </w:rPr>
        <w:t>新常态下的机遇与挑战</w:t>
      </w:r>
      <w:bookmarkEnd w:id="216"/>
      <w:bookmarkEnd w:id="217"/>
      <w:bookmarkEnd w:id="218"/>
      <w:bookmarkEnd w:id="219"/>
      <w:bookmarkEnd w:id="220"/>
      <w:bookmarkEnd w:id="221"/>
      <w:bookmarkEnd w:id="222"/>
      <w:bookmarkEnd w:id="223"/>
      <w:bookmarkEnd w:id="224"/>
      <w:bookmarkEnd w:id="225"/>
      <w:bookmarkEnd w:id="226"/>
      <w:bookmarkEnd w:id="227"/>
    </w:p>
    <w:p w14:paraId="0CBDE062">
      <w:pPr>
        <w:pStyle w:val="204"/>
        <w:adjustRightInd w:val="0"/>
        <w:spacing w:after="0" w:afterLines="0"/>
        <w:ind w:firstLine="640"/>
        <w:rPr>
          <w:rFonts w:ascii="宋体" w:hAnsi="宋体" w:eastAsia="仿宋_GB2312"/>
          <w:sz w:val="32"/>
        </w:rPr>
      </w:pPr>
      <w:r>
        <w:rPr>
          <w:rFonts w:hint="eastAsia" w:ascii="宋体" w:hAnsi="宋体" w:eastAsia="仿宋_GB2312"/>
          <w:sz w:val="32"/>
        </w:rPr>
        <w:t>当今世界正经历百年未有之大变局，国际政治形势正在加速改变，我国的经济形势也迎来了新发展格局。习近平总书记多次指出：“我们要逐步形成以国内大循环为主体、国内国际双循环相互促进的新发展格局。”国务院办公厅《关于激发文化旅游消费潜力的意见》中，夜间消费已成为国家层面促进消费的重要方向之一。</w:t>
      </w:r>
    </w:p>
    <w:p w14:paraId="490A238A">
      <w:pPr>
        <w:pStyle w:val="204"/>
        <w:adjustRightInd w:val="0"/>
        <w:spacing w:after="0" w:afterLines="0"/>
        <w:ind w:firstLine="640"/>
        <w:rPr>
          <w:rFonts w:ascii="宋体" w:hAnsi="宋体" w:eastAsia="仿宋_GB2312"/>
          <w:sz w:val="32"/>
        </w:rPr>
      </w:pPr>
      <w:r>
        <w:rPr>
          <w:rFonts w:hint="eastAsia" w:ascii="宋体" w:hAnsi="宋体" w:eastAsia="仿宋_GB2312"/>
          <w:sz w:val="32"/>
        </w:rPr>
        <w:t>疫情防控常态化的形势下，广大市民夜间生活方式有了较大改变，夜间大型开放空间集中式观景转向社区周边分散式活动，夜间公共活动场所的安全性也成为城市照明建设的重要考量角度之一。城市照明建设需加强正向减量，在减量刚性约束下推动夜间环境高质量的发展。</w:t>
      </w:r>
    </w:p>
    <w:p w14:paraId="125AC6ED">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28" w:name="_Toc87269595"/>
      <w:bookmarkStart w:id="229" w:name="_Toc87269417"/>
      <w:bookmarkStart w:id="230" w:name="_Toc87462347"/>
      <w:bookmarkStart w:id="231" w:name="_Toc87269502"/>
      <w:bookmarkStart w:id="232" w:name="_Toc87265741"/>
      <w:bookmarkStart w:id="233" w:name="_Toc87050169"/>
      <w:bookmarkStart w:id="234" w:name="_Toc87053176"/>
      <w:bookmarkStart w:id="235" w:name="_Toc87455682"/>
      <w:bookmarkStart w:id="236" w:name="_Toc87454565"/>
      <w:bookmarkStart w:id="237" w:name="_Toc87270633"/>
      <w:bookmarkStart w:id="238" w:name="_Toc87053002"/>
      <w:bookmarkStart w:id="239" w:name="_Toc87261851"/>
      <w:r>
        <w:rPr>
          <w:rFonts w:hint="eastAsia" w:ascii="宋体" w:hAnsi="宋体" w:eastAsia="楷体_GB2312" w:cs="楷体_GB2312"/>
          <w:b w:val="0"/>
          <w:color w:val="auto"/>
        </w:rPr>
        <w:t>贯彻落实上位规划等政策要求</w:t>
      </w:r>
      <w:bookmarkEnd w:id="228"/>
      <w:bookmarkEnd w:id="229"/>
      <w:bookmarkEnd w:id="230"/>
      <w:bookmarkEnd w:id="231"/>
      <w:bookmarkEnd w:id="232"/>
      <w:bookmarkEnd w:id="233"/>
      <w:bookmarkEnd w:id="234"/>
      <w:bookmarkEnd w:id="235"/>
      <w:bookmarkEnd w:id="236"/>
      <w:bookmarkEnd w:id="237"/>
      <w:bookmarkEnd w:id="238"/>
      <w:bookmarkEnd w:id="239"/>
    </w:p>
    <w:p w14:paraId="0C6C2A5B">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工作应落实城市总体规划要求，着眼首都“四个中心”战略定位，全力做好“四个服务”，维护夜间安全，确保照明设施的平稳运行，以展示首都形象作为首要任务。配合首都功能核心区建设进程，补充完善城市基本功能设施，解决历史文化名城保护与夜景展示之间的矛盾。景观照明建设应围绕弘扬传统文化、提升夜间品质展开，纠正景观亮化工程“过度化”“政绩工程”“面子工程”等问题，建设符合市民意愿的夜间光环境。做好城市副中心夜间环境建设与塑造。</w:t>
      </w:r>
    </w:p>
    <w:p w14:paraId="23494A0C">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40" w:name="_Toc87455683"/>
      <w:bookmarkStart w:id="241" w:name="_Toc87269503"/>
      <w:bookmarkStart w:id="242" w:name="_Toc87050170"/>
      <w:bookmarkStart w:id="243" w:name="_Toc87454566"/>
      <w:bookmarkStart w:id="244" w:name="_Toc87270634"/>
      <w:bookmarkStart w:id="245" w:name="_Toc87462348"/>
      <w:bookmarkStart w:id="246" w:name="_Toc87261852"/>
      <w:bookmarkStart w:id="247" w:name="_Toc87053177"/>
      <w:bookmarkStart w:id="248" w:name="_Toc87053003"/>
      <w:bookmarkStart w:id="249" w:name="_Toc87269418"/>
      <w:bookmarkStart w:id="250" w:name="_Toc87265742"/>
      <w:bookmarkStart w:id="251" w:name="_Toc87269596"/>
      <w:r>
        <w:rPr>
          <w:rFonts w:hint="eastAsia" w:ascii="宋体" w:hAnsi="宋体" w:eastAsia="楷体_GB2312" w:cs="楷体_GB2312"/>
          <w:b w:val="0"/>
          <w:color w:val="auto"/>
        </w:rPr>
        <w:t>国事庆典活动对夜间氛围营造提出新</w:t>
      </w:r>
      <w:bookmarkEnd w:id="240"/>
      <w:bookmarkEnd w:id="241"/>
      <w:bookmarkEnd w:id="242"/>
      <w:bookmarkEnd w:id="243"/>
      <w:bookmarkEnd w:id="244"/>
      <w:bookmarkEnd w:id="245"/>
      <w:bookmarkEnd w:id="246"/>
      <w:bookmarkEnd w:id="247"/>
      <w:bookmarkEnd w:id="248"/>
      <w:bookmarkEnd w:id="249"/>
      <w:bookmarkEnd w:id="250"/>
      <w:bookmarkEnd w:id="251"/>
      <w:r>
        <w:rPr>
          <w:rFonts w:hint="eastAsia" w:ascii="宋体" w:hAnsi="宋体" w:eastAsia="楷体_GB2312" w:cs="楷体_GB2312"/>
          <w:b w:val="0"/>
          <w:color w:val="auto"/>
        </w:rPr>
        <w:t>要求</w:t>
      </w:r>
    </w:p>
    <w:p w14:paraId="7B47685A">
      <w:pPr>
        <w:pStyle w:val="204"/>
        <w:adjustRightInd w:val="0"/>
        <w:spacing w:after="0" w:afterLines="0"/>
        <w:ind w:firstLine="640"/>
        <w:rPr>
          <w:rFonts w:ascii="宋体" w:hAnsi="宋体" w:eastAsia="仿宋_GB2312"/>
          <w:sz w:val="32"/>
        </w:rPr>
      </w:pPr>
      <w:r>
        <w:rPr>
          <w:rFonts w:hint="eastAsia" w:ascii="宋体" w:hAnsi="宋体" w:eastAsia="仿宋_GB2312"/>
          <w:sz w:val="32"/>
        </w:rPr>
        <w:t>首都北京举办国事庆典等活动已成为常态，2021年庆祝中国共产党成立100周年、2022年北京冬奥会和冬残奥会及召开党的二十大等一系列重大活动，使广大市民对夜间环境的营造、文化魅力的彰显等方面寄予了更高的期待。总结以往经验，规范国事活动、节日庆典活动的夜景照明要求，做好重大活动的服务保障工作。</w:t>
      </w:r>
    </w:p>
    <w:p w14:paraId="5040D919">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52" w:name="_Toc87261853"/>
      <w:bookmarkStart w:id="253" w:name="_Toc87455684"/>
      <w:bookmarkStart w:id="254" w:name="_Toc87265743"/>
      <w:bookmarkStart w:id="255" w:name="_Toc87269419"/>
      <w:bookmarkStart w:id="256" w:name="_Toc87269597"/>
      <w:bookmarkStart w:id="257" w:name="_Toc87053004"/>
      <w:bookmarkStart w:id="258" w:name="_Toc87269504"/>
      <w:bookmarkStart w:id="259" w:name="_Toc87454567"/>
      <w:bookmarkStart w:id="260" w:name="_Toc87270635"/>
      <w:bookmarkStart w:id="261" w:name="_Toc87050171"/>
      <w:bookmarkStart w:id="262" w:name="_Toc87053178"/>
      <w:bookmarkStart w:id="263" w:name="_Toc87462349"/>
      <w:r>
        <w:rPr>
          <w:rFonts w:hint="eastAsia" w:ascii="宋体" w:hAnsi="宋体" w:eastAsia="楷体_GB2312" w:cs="楷体_GB2312"/>
          <w:b w:val="0"/>
          <w:color w:val="auto"/>
        </w:rPr>
        <w:t>人民日益增长的美好生活需</w:t>
      </w:r>
      <w:bookmarkEnd w:id="252"/>
      <w:bookmarkEnd w:id="253"/>
      <w:bookmarkEnd w:id="254"/>
      <w:bookmarkEnd w:id="255"/>
      <w:bookmarkEnd w:id="256"/>
      <w:bookmarkEnd w:id="257"/>
      <w:bookmarkEnd w:id="258"/>
      <w:bookmarkEnd w:id="259"/>
      <w:bookmarkEnd w:id="260"/>
      <w:bookmarkEnd w:id="261"/>
      <w:bookmarkEnd w:id="262"/>
      <w:bookmarkEnd w:id="263"/>
      <w:r>
        <w:rPr>
          <w:rFonts w:hint="eastAsia" w:ascii="宋体" w:hAnsi="宋体" w:eastAsia="楷体_GB2312" w:cs="楷体_GB2312"/>
          <w:b w:val="0"/>
          <w:color w:val="auto"/>
          <w:lang w:val="en-US" w:eastAsia="zh-CN"/>
        </w:rPr>
        <w:t>要</w:t>
      </w:r>
    </w:p>
    <w:p w14:paraId="5479975D">
      <w:pPr>
        <w:pStyle w:val="204"/>
        <w:adjustRightInd w:val="0"/>
        <w:spacing w:after="0" w:afterLines="0"/>
        <w:ind w:firstLine="640"/>
        <w:rPr>
          <w:rFonts w:ascii="宋体" w:hAnsi="宋体" w:eastAsia="仿宋_GB2312"/>
          <w:sz w:val="32"/>
        </w:rPr>
      </w:pPr>
      <w:r>
        <w:rPr>
          <w:rFonts w:hint="eastAsia" w:ascii="宋体" w:hAnsi="宋体" w:eastAsia="仿宋_GB2312"/>
          <w:sz w:val="32"/>
        </w:rPr>
        <w:t>人民群众对美好生活的要求不断提高，对夜间环境品质的文化内涵需求日益增强，12345市民服务热线中市民诉求有关“无灯路”“有灯不亮”等问题总量居高不下。</w:t>
      </w:r>
    </w:p>
    <w:p w14:paraId="7A1C375B">
      <w:pPr>
        <w:pStyle w:val="2"/>
        <w:numPr>
          <w:ilvl w:val="0"/>
          <w:numId w:val="20"/>
        </w:numPr>
        <w:spacing w:before="0" w:beforeLines="0" w:after="0" w:afterLines="0"/>
        <w:ind w:firstLine="640" w:firstLineChars="200"/>
        <w:rPr>
          <w:rFonts w:ascii="宋体" w:hAnsi="宋体" w:eastAsia="楷体_GB2312" w:cs="楷体_GB2312"/>
          <w:b w:val="0"/>
          <w:color w:val="auto"/>
        </w:rPr>
      </w:pPr>
      <w:bookmarkStart w:id="264" w:name="_Toc87269598"/>
      <w:bookmarkStart w:id="265" w:name="_Toc87261854"/>
      <w:bookmarkStart w:id="266" w:name="_Toc87053179"/>
      <w:bookmarkStart w:id="267" w:name="_Toc87265744"/>
      <w:bookmarkStart w:id="268" w:name="_Toc87269505"/>
      <w:bookmarkStart w:id="269" w:name="_Toc87462350"/>
      <w:bookmarkStart w:id="270" w:name="_Toc87050172"/>
      <w:bookmarkStart w:id="271" w:name="_Toc87270636"/>
      <w:bookmarkStart w:id="272" w:name="_Toc87454568"/>
      <w:bookmarkStart w:id="273" w:name="_Toc87269420"/>
      <w:bookmarkStart w:id="274" w:name="_Toc87053005"/>
      <w:bookmarkStart w:id="275" w:name="_Toc87455685"/>
      <w:r>
        <w:rPr>
          <w:rFonts w:hint="eastAsia" w:ascii="宋体" w:hAnsi="宋体" w:eastAsia="楷体_GB2312" w:cs="楷体_GB2312"/>
          <w:b w:val="0"/>
          <w:color w:val="auto"/>
        </w:rPr>
        <w:t>智慧城市建设的新形势、新要求</w:t>
      </w:r>
      <w:bookmarkEnd w:id="264"/>
      <w:bookmarkEnd w:id="265"/>
      <w:bookmarkEnd w:id="266"/>
      <w:bookmarkEnd w:id="267"/>
      <w:bookmarkEnd w:id="268"/>
      <w:bookmarkEnd w:id="269"/>
      <w:bookmarkEnd w:id="270"/>
      <w:bookmarkEnd w:id="271"/>
      <w:bookmarkEnd w:id="272"/>
      <w:bookmarkEnd w:id="273"/>
      <w:bookmarkEnd w:id="274"/>
      <w:bookmarkEnd w:id="275"/>
    </w:p>
    <w:p w14:paraId="61806A80">
      <w:pPr>
        <w:pStyle w:val="204"/>
        <w:adjustRightInd w:val="0"/>
        <w:spacing w:after="0" w:afterLines="0"/>
        <w:ind w:firstLine="640"/>
        <w:rPr>
          <w:rFonts w:ascii="宋体" w:hAnsi="宋体" w:eastAsia="仿宋_GB2312"/>
          <w:sz w:val="32"/>
        </w:rPr>
      </w:pPr>
      <w:r>
        <w:rPr>
          <w:rFonts w:hint="eastAsia" w:ascii="宋体" w:hAnsi="宋体" w:eastAsia="仿宋_GB2312"/>
          <w:sz w:val="32"/>
        </w:rPr>
        <w:t>随着北京“智慧城市”建设进程的不断推进，5G信号逐步覆盖，夜间智慧出行已经成为民众期盼。将科技创新意识融入城市照明工作，积极配合“多杆合一”“多功能灯杆”的试点工作，加强信息系统实用化建设，为推动新时代首都发展、北京科技创新智慧建设起到示范带头作用。</w:t>
      </w:r>
    </w:p>
    <w:p w14:paraId="3AC5D931">
      <w:pPr>
        <w:pStyle w:val="5"/>
        <w:rPr>
          <w:rStyle w:val="194"/>
          <w:rFonts w:ascii="宋体" w:hAnsi="宋体" w:eastAsia="方正小标宋简体" w:cs="方正小标宋简体"/>
          <w:b w:val="0"/>
          <w:bCs w:val="0"/>
        </w:rPr>
      </w:pPr>
      <w:bookmarkStart w:id="276" w:name="_Toc24741"/>
      <w:bookmarkStart w:id="277" w:name="_Toc26855"/>
      <w:bookmarkStart w:id="278" w:name="_Toc7226"/>
      <w:bookmarkStart w:id="279" w:name="_Toc18608"/>
      <w:bookmarkStart w:id="280" w:name="_Toc88656217"/>
      <w:bookmarkStart w:id="281" w:name="_Toc30044"/>
      <w:r>
        <w:rPr>
          <w:rStyle w:val="194"/>
          <w:rFonts w:hint="eastAsia" w:ascii="宋体" w:hAnsi="宋体" w:eastAsia="方正小标宋简体" w:cs="方正小标宋简体"/>
          <w:b w:val="0"/>
          <w:bCs w:val="0"/>
        </w:rPr>
        <w:t>指导思想和发展目标</w:t>
      </w:r>
      <w:bookmarkEnd w:id="276"/>
      <w:bookmarkEnd w:id="277"/>
      <w:bookmarkEnd w:id="278"/>
      <w:bookmarkEnd w:id="279"/>
      <w:bookmarkEnd w:id="280"/>
      <w:bookmarkEnd w:id="281"/>
    </w:p>
    <w:p w14:paraId="4F7BAD2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82" w:name="_Toc15889"/>
      <w:bookmarkStart w:id="283" w:name="_Toc24450"/>
      <w:bookmarkStart w:id="284" w:name="_Toc88656218"/>
      <w:bookmarkStart w:id="285" w:name="_Toc21077"/>
      <w:bookmarkStart w:id="286" w:name="_Toc25792"/>
      <w:bookmarkStart w:id="287" w:name="_Toc24986"/>
      <w:r>
        <w:rPr>
          <w:rFonts w:hint="eastAsia" w:ascii="宋体" w:hAnsi="宋体" w:eastAsia="黑体" w:cs="黑体"/>
          <w:b w:val="0"/>
          <w:sz w:val="32"/>
        </w:rPr>
        <w:t>一、指导思想</w:t>
      </w:r>
      <w:bookmarkEnd w:id="282"/>
      <w:bookmarkEnd w:id="283"/>
      <w:bookmarkEnd w:id="284"/>
      <w:bookmarkEnd w:id="285"/>
      <w:bookmarkEnd w:id="286"/>
      <w:bookmarkEnd w:id="287"/>
    </w:p>
    <w:p w14:paraId="3CC3740A">
      <w:pPr>
        <w:pStyle w:val="204"/>
        <w:adjustRightInd w:val="0"/>
        <w:spacing w:after="0" w:afterLines="0"/>
        <w:ind w:firstLine="640"/>
        <w:jc w:val="distribute"/>
        <w:rPr>
          <w:rFonts w:ascii="宋体" w:hAnsi="宋体" w:eastAsia="仿宋_GB2312"/>
          <w:sz w:val="32"/>
        </w:rPr>
      </w:pPr>
      <w:r>
        <w:rPr>
          <w:rFonts w:hint="eastAsia" w:ascii="宋体" w:hAnsi="宋体" w:eastAsia="仿宋_GB2312"/>
          <w:sz w:val="32"/>
        </w:rPr>
        <w:t>坚持以习近平新时代中国特色社会主义思想为指导，全面贯彻落实党的十九大和十九届历次全会精神，认真贯彻落实习近平总书记对北京一系列重要讲话精神，完整、准确、全面贯彻新发展理念，严格落实北京城市总体规划、第十四个五年规划和</w:t>
      </w:r>
    </w:p>
    <w:p w14:paraId="54B2F6CE">
      <w:pPr>
        <w:pStyle w:val="204"/>
        <w:adjustRightInd w:val="0"/>
        <w:spacing w:after="0" w:afterLines="0"/>
        <w:ind w:firstLine="0" w:firstLineChars="0"/>
        <w:rPr>
          <w:rFonts w:ascii="宋体" w:hAnsi="宋体" w:eastAsia="仿宋_GB2312"/>
          <w:sz w:val="32"/>
        </w:rPr>
      </w:pPr>
      <w:r>
        <w:rPr>
          <w:rFonts w:hint="eastAsia" w:ascii="宋体" w:hAnsi="宋体" w:eastAsia="仿宋_GB2312"/>
          <w:sz w:val="32"/>
        </w:rPr>
        <w:t>二〇三五年远景目标和“十四五”时期城市管理规划等要求，以满足人民日益增长的美好生活需</w:t>
      </w:r>
      <w:r>
        <w:rPr>
          <w:rFonts w:hint="eastAsia" w:ascii="宋体" w:hAnsi="宋体" w:eastAsia="仿宋_GB2312"/>
          <w:sz w:val="32"/>
          <w:lang w:val="en-US" w:eastAsia="zh-CN"/>
        </w:rPr>
        <w:t>要</w:t>
      </w:r>
      <w:r>
        <w:rPr>
          <w:rFonts w:hint="eastAsia" w:ascii="宋体" w:hAnsi="宋体" w:eastAsia="仿宋_GB2312"/>
          <w:sz w:val="32"/>
        </w:rPr>
        <w:t>为目标，紧紧围绕“四个中心”的战略定位，处理好“都”与“城”的关系，遵循“安全、舒适、节能、环保”的理念，创新城市照明管理模式，科学引领城市照明发展，推动首都夜间环境高质量发展，为建设国际一流的和谐宜居之都提供城市照明保障。</w:t>
      </w:r>
    </w:p>
    <w:p w14:paraId="74C15500">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88" w:name="_Toc29085"/>
      <w:bookmarkStart w:id="289" w:name="_Toc27672"/>
      <w:bookmarkStart w:id="290" w:name="_Toc25351"/>
      <w:bookmarkStart w:id="291" w:name="_Toc88656219"/>
      <w:bookmarkStart w:id="292" w:name="_Toc5289"/>
      <w:bookmarkStart w:id="293" w:name="_Toc23873"/>
      <w:r>
        <w:rPr>
          <w:rFonts w:hint="eastAsia" w:ascii="宋体" w:hAnsi="宋体" w:eastAsia="黑体" w:cs="黑体"/>
          <w:b w:val="0"/>
          <w:sz w:val="32"/>
        </w:rPr>
        <w:t>二、基本原则</w:t>
      </w:r>
      <w:bookmarkEnd w:id="288"/>
      <w:bookmarkEnd w:id="289"/>
      <w:bookmarkEnd w:id="290"/>
      <w:bookmarkEnd w:id="291"/>
      <w:bookmarkEnd w:id="292"/>
      <w:bookmarkEnd w:id="293"/>
    </w:p>
    <w:p w14:paraId="548571C7">
      <w:pPr>
        <w:pStyle w:val="204"/>
        <w:adjustRightInd w:val="0"/>
        <w:spacing w:after="0" w:afterLines="0"/>
        <w:ind w:firstLine="640"/>
        <w:rPr>
          <w:rFonts w:ascii="宋体" w:hAnsi="宋体" w:eastAsia="仿宋_GB2312"/>
          <w:sz w:val="32"/>
        </w:rPr>
      </w:pPr>
      <w:r>
        <w:rPr>
          <w:rFonts w:hint="eastAsia" w:ascii="宋体" w:hAnsi="宋体" w:eastAsia="仿宋_GB2312"/>
          <w:sz w:val="32"/>
        </w:rPr>
        <w:t>坚持党的全面领导。坚持和完善</w:t>
      </w:r>
      <w:r>
        <w:rPr>
          <w:rFonts w:hint="eastAsia" w:ascii="宋体" w:hAnsi="宋体" w:eastAsia="仿宋_GB2312"/>
          <w:sz w:val="32"/>
          <w:lang w:eastAsia="zh-CN"/>
        </w:rPr>
        <w:t>党领导经济社会发展的体制机制</w:t>
      </w:r>
      <w:r>
        <w:rPr>
          <w:rFonts w:hint="eastAsia" w:ascii="宋体" w:hAnsi="宋体" w:eastAsia="仿宋_GB2312"/>
          <w:sz w:val="32"/>
        </w:rPr>
        <w:t xml:space="preserve">，不断贯彻新发展理念，为推动首都高质量发展提供基本保证。 </w:t>
      </w:r>
    </w:p>
    <w:p w14:paraId="0FB8FE53">
      <w:pPr>
        <w:pStyle w:val="204"/>
        <w:adjustRightInd w:val="0"/>
        <w:spacing w:after="0" w:afterLines="0"/>
        <w:ind w:firstLine="640"/>
        <w:rPr>
          <w:rFonts w:ascii="宋体" w:hAnsi="宋体" w:eastAsia="仿宋_GB2312"/>
          <w:sz w:val="32"/>
        </w:rPr>
      </w:pPr>
      <w:r>
        <w:rPr>
          <w:rFonts w:hint="eastAsia" w:ascii="宋体" w:hAnsi="宋体" w:eastAsia="仿宋_GB2312"/>
          <w:sz w:val="32"/>
        </w:rPr>
        <w:t>坚持以人民为中心。坚持“人民城市为人民”理念，把落实人民群众需求作为城市照明工作的基本出发点，把市民满意度作为衡量城市照明管理工作的重要标尺，不断提升首都夜间光环境水平，增强人民群众的获得感、幸福感、安全感。</w:t>
      </w:r>
    </w:p>
    <w:p w14:paraId="04312C4B">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坚持绿色发展理念。将绿色照明理念始终贯穿于城市照明管理工作中，保护生态环境，防治城市照明引发的光污染，综合考虑资源承载力，做人民所需的必要照明工作。</w:t>
      </w:r>
    </w:p>
    <w:p w14:paraId="3972F216">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坚持精细化管理。提高首都夜间光环境质量和水平应从细节出发，规范日常建设、管理、养护工作，提高接诉即办的响应能力，将精治、共治、法治思想贯彻始终。</w:t>
      </w:r>
    </w:p>
    <w:p w14:paraId="057E4683">
      <w:pPr>
        <w:pStyle w:val="204"/>
        <w:adjustRightInd w:val="0"/>
        <w:spacing w:after="0" w:afterLines="0"/>
        <w:ind w:firstLine="640"/>
        <w:rPr>
          <w:rFonts w:ascii="宋体" w:hAnsi="宋体" w:eastAsia="仿宋_GB2312"/>
          <w:sz w:val="32"/>
        </w:rPr>
      </w:pPr>
      <w:r>
        <w:rPr>
          <w:rFonts w:hint="eastAsia" w:ascii="宋体" w:hAnsi="宋体" w:eastAsia="仿宋_GB2312"/>
          <w:sz w:val="32"/>
        </w:rPr>
        <w:t>坚持科技创新理念。提升城市照明管理工作智能化水平，秉持科技创新的理念，推动首都“智慧城市”建设。</w:t>
      </w:r>
    </w:p>
    <w:p w14:paraId="119218CF">
      <w:pPr>
        <w:pStyle w:val="6"/>
        <w:keepNext w:val="0"/>
        <w:keepLines w:val="0"/>
        <w:adjustRightInd w:val="0"/>
        <w:spacing w:before="0" w:beforeLines="0" w:after="0" w:afterLines="0"/>
        <w:ind w:firstLine="640" w:firstLineChars="200"/>
        <w:rPr>
          <w:rFonts w:ascii="宋体" w:hAnsi="宋体" w:eastAsia="黑体" w:cs="黑体"/>
          <w:b w:val="0"/>
          <w:sz w:val="32"/>
        </w:rPr>
      </w:pPr>
      <w:bookmarkStart w:id="294" w:name="_Toc28583"/>
      <w:bookmarkStart w:id="295" w:name="_Toc11167"/>
      <w:bookmarkStart w:id="296" w:name="_Toc26747"/>
      <w:bookmarkStart w:id="297" w:name="_Toc20133"/>
      <w:bookmarkStart w:id="298" w:name="_Toc88656220"/>
      <w:bookmarkStart w:id="299" w:name="_Toc9511"/>
      <w:r>
        <w:rPr>
          <w:rFonts w:hint="eastAsia" w:ascii="宋体" w:hAnsi="宋体" w:eastAsia="黑体" w:cs="黑体"/>
          <w:b w:val="0"/>
          <w:sz w:val="32"/>
        </w:rPr>
        <w:t>三、规划依据</w:t>
      </w:r>
      <w:bookmarkEnd w:id="294"/>
      <w:bookmarkEnd w:id="295"/>
      <w:bookmarkEnd w:id="296"/>
      <w:bookmarkEnd w:id="297"/>
      <w:bookmarkEnd w:id="298"/>
      <w:bookmarkEnd w:id="299"/>
    </w:p>
    <w:p w14:paraId="3897EE70">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00" w:name="_Toc87269603"/>
      <w:bookmarkStart w:id="301" w:name="_Toc87053184"/>
      <w:bookmarkStart w:id="302" w:name="_Toc87454573"/>
      <w:bookmarkStart w:id="303" w:name="_Toc87462355"/>
      <w:bookmarkStart w:id="304" w:name="_Toc87261859"/>
      <w:bookmarkStart w:id="305" w:name="_Toc87269425"/>
      <w:bookmarkStart w:id="306" w:name="_Toc87265749"/>
      <w:bookmarkStart w:id="307" w:name="_Toc87050177"/>
      <w:bookmarkStart w:id="308" w:name="_Toc87270641"/>
      <w:bookmarkStart w:id="309" w:name="_Toc87053010"/>
      <w:bookmarkStart w:id="310" w:name="_Toc87455690"/>
      <w:bookmarkStart w:id="311" w:name="_Toc87269510"/>
      <w:r>
        <w:rPr>
          <w:rFonts w:hint="eastAsia" w:ascii="宋体" w:hAnsi="宋体" w:eastAsia="楷体_GB2312" w:cs="楷体_GB2312"/>
          <w:b w:val="0"/>
          <w:color w:val="auto"/>
        </w:rPr>
        <w:t>国家政策</w:t>
      </w:r>
      <w:bookmarkEnd w:id="300"/>
      <w:bookmarkEnd w:id="301"/>
      <w:bookmarkEnd w:id="302"/>
      <w:bookmarkEnd w:id="303"/>
      <w:bookmarkEnd w:id="304"/>
      <w:bookmarkEnd w:id="305"/>
      <w:bookmarkEnd w:id="306"/>
      <w:bookmarkEnd w:id="307"/>
      <w:bookmarkEnd w:id="308"/>
      <w:bookmarkEnd w:id="309"/>
      <w:bookmarkEnd w:id="310"/>
      <w:bookmarkEnd w:id="311"/>
    </w:p>
    <w:p w14:paraId="60B858D6">
      <w:pPr>
        <w:pStyle w:val="204"/>
        <w:adjustRightInd w:val="0"/>
        <w:spacing w:after="0" w:afterLines="0"/>
        <w:ind w:firstLine="640"/>
        <w:rPr>
          <w:rFonts w:ascii="宋体" w:hAnsi="宋体" w:eastAsia="仿宋_GB2312"/>
          <w:sz w:val="32"/>
        </w:rPr>
      </w:pPr>
      <w:r>
        <w:rPr>
          <w:rFonts w:hint="eastAsia" w:ascii="宋体" w:hAnsi="宋体" w:eastAsia="仿宋_GB2312"/>
          <w:sz w:val="32"/>
        </w:rPr>
        <w:t>《中共中央关于制定国民经济和社会发展第十四个五年规划和二〇三五年远景目标的建议》</w:t>
      </w:r>
    </w:p>
    <w:p w14:paraId="54A4E3BA">
      <w:pPr>
        <w:pStyle w:val="204"/>
        <w:adjustRightInd w:val="0"/>
        <w:spacing w:after="0" w:afterLines="0"/>
        <w:ind w:firstLine="640"/>
        <w:rPr>
          <w:rFonts w:ascii="宋体" w:hAnsi="宋体" w:eastAsia="仿宋_GB2312"/>
          <w:sz w:val="32"/>
        </w:rPr>
      </w:pPr>
      <w:r>
        <w:rPr>
          <w:rFonts w:hint="eastAsia" w:ascii="宋体" w:hAnsi="宋体" w:eastAsia="仿宋_GB2312"/>
          <w:sz w:val="32"/>
        </w:rPr>
        <w:t>国务院办公厅《关于激发文化旅游消费潜力的意见》</w:t>
      </w:r>
    </w:p>
    <w:p w14:paraId="6C18CB83">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12" w:name="_Toc87050178"/>
      <w:bookmarkStart w:id="313" w:name="_Toc87269426"/>
      <w:bookmarkStart w:id="314" w:name="_Toc87454574"/>
      <w:bookmarkStart w:id="315" w:name="_Toc87462356"/>
      <w:bookmarkStart w:id="316" w:name="_Toc87261860"/>
      <w:bookmarkStart w:id="317" w:name="_Toc87053185"/>
      <w:bookmarkStart w:id="318" w:name="_Toc87265750"/>
      <w:bookmarkStart w:id="319" w:name="_Toc87455691"/>
      <w:bookmarkStart w:id="320" w:name="_Toc87269604"/>
      <w:bookmarkStart w:id="321" w:name="_Toc87053011"/>
      <w:bookmarkStart w:id="322" w:name="_Toc87270642"/>
      <w:bookmarkStart w:id="323" w:name="_Toc87269511"/>
      <w:r>
        <w:rPr>
          <w:rFonts w:hint="eastAsia" w:ascii="宋体" w:hAnsi="宋体" w:eastAsia="楷体_GB2312" w:cs="楷体_GB2312"/>
          <w:b w:val="0"/>
          <w:color w:val="auto"/>
        </w:rPr>
        <w:t>城市规划</w:t>
      </w:r>
      <w:bookmarkEnd w:id="312"/>
      <w:bookmarkEnd w:id="313"/>
      <w:bookmarkEnd w:id="314"/>
      <w:bookmarkEnd w:id="315"/>
      <w:bookmarkEnd w:id="316"/>
      <w:bookmarkEnd w:id="317"/>
      <w:bookmarkEnd w:id="318"/>
      <w:bookmarkEnd w:id="319"/>
      <w:bookmarkEnd w:id="320"/>
      <w:bookmarkEnd w:id="321"/>
      <w:bookmarkEnd w:id="322"/>
      <w:bookmarkEnd w:id="323"/>
    </w:p>
    <w:p w14:paraId="515B900D">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《北京城市总体规划（2016年—2035年）》</w:t>
      </w:r>
    </w:p>
    <w:p w14:paraId="467459EC">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《北京市国民经济和社会发展第十四个五年规划和二〇三五年远景目标纲要》</w:t>
      </w:r>
    </w:p>
    <w:p w14:paraId="1318E544">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《北京市“十四五”时期城市管理发展规划》</w:t>
      </w:r>
    </w:p>
    <w:p w14:paraId="14E6D926">
      <w:pPr>
        <w:pStyle w:val="204"/>
        <w:adjustRightInd w:val="0"/>
        <w:spacing w:after="0" w:afterLines="0"/>
        <w:ind w:firstLine="640"/>
        <w:rPr>
          <w:rFonts w:ascii="宋体" w:hAnsi="宋体" w:eastAsia="仿宋_GB2312"/>
          <w:sz w:val="32"/>
        </w:rPr>
      </w:pPr>
      <w:r>
        <w:rPr>
          <w:rFonts w:hint="eastAsia" w:ascii="宋体" w:hAnsi="宋体" w:eastAsia="仿宋_GB2312"/>
          <w:sz w:val="32"/>
        </w:rPr>
        <w:t>《首都功能核心区控制性详细规划（街区层面）（2018年—2035年）》</w:t>
      </w:r>
    </w:p>
    <w:p w14:paraId="791DB48F">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《北京城市副中心控制性详细规划（街区层面）（2016年—2035年）》</w:t>
      </w:r>
    </w:p>
    <w:p w14:paraId="226653ED">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《北京城市副中心（通州区）国民经济和社会发展第十四个五年规划和二零三五年远景目标纲要》</w:t>
      </w:r>
    </w:p>
    <w:p w14:paraId="3E0F5B70">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24" w:name="_Toc87269427"/>
      <w:bookmarkStart w:id="325" w:name="_Toc87270643"/>
      <w:bookmarkStart w:id="326" w:name="_Toc87053186"/>
      <w:bookmarkStart w:id="327" w:name="_Toc87455692"/>
      <w:bookmarkStart w:id="328" w:name="_Toc87261861"/>
      <w:bookmarkStart w:id="329" w:name="_Toc87269605"/>
      <w:bookmarkStart w:id="330" w:name="_Toc87265751"/>
      <w:bookmarkStart w:id="331" w:name="_Toc87053012"/>
      <w:bookmarkStart w:id="332" w:name="_Toc87269512"/>
      <w:bookmarkStart w:id="333" w:name="_Toc87050179"/>
      <w:bookmarkStart w:id="334" w:name="_Toc87462357"/>
      <w:bookmarkStart w:id="335" w:name="_Toc87454575"/>
      <w:r>
        <w:rPr>
          <w:rFonts w:hint="eastAsia" w:ascii="宋体" w:hAnsi="宋体" w:eastAsia="楷体_GB2312" w:cs="楷体_GB2312"/>
          <w:b w:val="0"/>
          <w:color w:val="auto"/>
        </w:rPr>
        <w:t>相关规范</w:t>
      </w:r>
      <w:bookmarkEnd w:id="324"/>
      <w:bookmarkEnd w:id="325"/>
      <w:bookmarkEnd w:id="326"/>
      <w:bookmarkEnd w:id="327"/>
      <w:bookmarkEnd w:id="328"/>
      <w:bookmarkEnd w:id="329"/>
      <w:bookmarkEnd w:id="330"/>
      <w:bookmarkEnd w:id="331"/>
      <w:bookmarkEnd w:id="332"/>
      <w:bookmarkEnd w:id="333"/>
      <w:bookmarkEnd w:id="334"/>
      <w:bookmarkEnd w:id="335"/>
    </w:p>
    <w:p w14:paraId="6DB62EF7">
      <w:pPr>
        <w:pStyle w:val="204"/>
        <w:adjustRightInd w:val="0"/>
        <w:spacing w:after="0" w:afterLines="0"/>
        <w:ind w:firstLine="640"/>
        <w:rPr>
          <w:rFonts w:ascii="宋体" w:hAnsi="宋体" w:eastAsia="仿宋_GB2312"/>
          <w:sz w:val="32"/>
        </w:rPr>
      </w:pPr>
      <w:r>
        <w:rPr>
          <w:rFonts w:hint="eastAsia" w:ascii="宋体" w:hAnsi="宋体" w:eastAsia="仿宋_GB2312"/>
          <w:sz w:val="32"/>
        </w:rPr>
        <w:t>《建筑照明设计标准》（GB 50034—2013）</w:t>
      </w:r>
    </w:p>
    <w:p w14:paraId="61DD48E3">
      <w:pPr>
        <w:pStyle w:val="204"/>
        <w:adjustRightInd w:val="0"/>
        <w:spacing w:after="0" w:afterLines="0"/>
        <w:ind w:firstLine="640"/>
        <w:rPr>
          <w:rFonts w:ascii="宋体" w:hAnsi="宋体" w:eastAsia="仿宋_GB2312"/>
          <w:sz w:val="32"/>
        </w:rPr>
      </w:pPr>
      <w:r>
        <w:rPr>
          <w:rFonts w:hint="eastAsia" w:ascii="宋体" w:hAnsi="宋体" w:eastAsia="仿宋_GB2312"/>
          <w:sz w:val="32"/>
        </w:rPr>
        <w:t>《光环境评价方法》（GB/T12454—2017）</w:t>
      </w:r>
    </w:p>
    <w:p w14:paraId="087EA944">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《城市照明节能评价标准》（JGJ/T307—2013）</w:t>
      </w:r>
    </w:p>
    <w:p w14:paraId="3796DC64">
      <w:pPr>
        <w:pStyle w:val="204"/>
        <w:adjustRightInd w:val="0"/>
        <w:spacing w:after="0" w:afterLines="0"/>
        <w:ind w:firstLine="640"/>
        <w:rPr>
          <w:rFonts w:ascii="宋体" w:hAnsi="宋体" w:eastAsia="仿宋_GB2312"/>
          <w:sz w:val="32"/>
        </w:rPr>
      </w:pPr>
      <w:r>
        <w:rPr>
          <w:rFonts w:hint="eastAsia" w:ascii="宋体" w:hAnsi="宋体" w:eastAsia="仿宋_GB2312"/>
          <w:sz w:val="32"/>
        </w:rPr>
        <w:t>《城市道路照明设计标准》（CJJ 45—2015）</w:t>
      </w:r>
    </w:p>
    <w:p w14:paraId="7391215D">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《室外作业场地照明设计标准》（GB50582）</w:t>
      </w:r>
    </w:p>
    <w:p w14:paraId="45CFAF39">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《公路照明技术条件》（GB</w:t>
      </w:r>
      <w:r>
        <w:rPr>
          <w:rFonts w:hint="eastAsia" w:ascii="宋体" w:hAnsi="宋体" w:eastAsia="仿宋_GB2312"/>
          <w:sz w:val="32"/>
        </w:rPr>
        <w:t xml:space="preserve"> </w:t>
      </w:r>
      <w:r>
        <w:rPr>
          <w:rFonts w:hint="eastAsia" w:ascii="宋体" w:hAnsi="宋体" w:eastAsia="仿宋_GB2312"/>
          <w:sz w:val="32"/>
          <w:lang w:eastAsia="zh-Hans"/>
        </w:rPr>
        <w:t>50582</w:t>
      </w:r>
      <w:r>
        <w:rPr>
          <w:rFonts w:hint="eastAsia" w:ascii="宋体" w:hAnsi="宋体" w:eastAsia="仿宋_GB2312"/>
          <w:sz w:val="32"/>
        </w:rPr>
        <w:t>—</w:t>
      </w:r>
      <w:r>
        <w:rPr>
          <w:rFonts w:hint="eastAsia" w:ascii="宋体" w:hAnsi="宋体" w:eastAsia="仿宋_GB2312"/>
          <w:sz w:val="32"/>
          <w:lang w:eastAsia="zh-Hans"/>
        </w:rPr>
        <w:t>2010）</w:t>
      </w:r>
    </w:p>
    <w:p w14:paraId="5F8086DC">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《城市照明建设规划标准》（CJJ/T307—2019）</w:t>
      </w:r>
    </w:p>
    <w:p w14:paraId="28F44D0E">
      <w:pPr>
        <w:pStyle w:val="204"/>
        <w:adjustRightInd w:val="0"/>
        <w:spacing w:after="0" w:afterLines="0"/>
        <w:ind w:firstLine="640"/>
        <w:rPr>
          <w:rFonts w:ascii="宋体" w:hAnsi="宋体" w:eastAsia="仿宋_GB2312"/>
          <w:sz w:val="32"/>
        </w:rPr>
      </w:pPr>
      <w:r>
        <w:rPr>
          <w:rFonts w:hint="eastAsia" w:ascii="宋体" w:hAnsi="宋体" w:eastAsia="仿宋_GB2312"/>
          <w:sz w:val="32"/>
        </w:rPr>
        <w:t>《城市景观照明技术规范》（DB11/388.1~8—2015）</w:t>
      </w:r>
    </w:p>
    <w:p w14:paraId="6B3C4A4C">
      <w:pPr>
        <w:pStyle w:val="204"/>
        <w:adjustRightInd w:val="0"/>
        <w:spacing w:after="0" w:afterLines="0"/>
        <w:ind w:firstLine="640"/>
        <w:rPr>
          <w:rFonts w:ascii="宋体" w:hAnsi="宋体" w:eastAsia="仿宋_GB2312"/>
          <w:sz w:val="32"/>
        </w:rPr>
      </w:pPr>
      <w:r>
        <w:rPr>
          <w:rFonts w:hint="eastAsia" w:ascii="宋体" w:hAnsi="宋体" w:eastAsia="仿宋_GB2312"/>
          <w:sz w:val="32"/>
        </w:rPr>
        <w:t>《城市夜景照明设计规范》（JGJ/T163—2008）</w:t>
      </w:r>
    </w:p>
    <w:p w14:paraId="05DFE69C">
      <w:pPr>
        <w:pStyle w:val="204"/>
        <w:adjustRightInd w:val="0"/>
        <w:spacing w:after="0" w:afterLines="0"/>
        <w:ind w:firstLine="640"/>
        <w:rPr>
          <w:rFonts w:ascii="宋体" w:hAnsi="宋体" w:eastAsia="仿宋_GB2312"/>
          <w:sz w:val="32"/>
        </w:rPr>
      </w:pPr>
      <w:r>
        <w:rPr>
          <w:rFonts w:hint="eastAsia" w:ascii="宋体" w:hAnsi="宋体" w:eastAsia="仿宋_GB2312"/>
          <w:sz w:val="32"/>
        </w:rPr>
        <w:t>《室外照明干扰光限制规范》（GB∕T 35626—2017）</w:t>
      </w:r>
    </w:p>
    <w:p w14:paraId="30D969A0">
      <w:pPr>
        <w:pStyle w:val="204"/>
        <w:adjustRightInd w:val="0"/>
        <w:spacing w:after="0" w:afterLines="0"/>
        <w:ind w:firstLine="640"/>
        <w:rPr>
          <w:rFonts w:ascii="宋体" w:hAnsi="宋体" w:eastAsia="仿宋_GB2312"/>
          <w:sz w:val="32"/>
        </w:rPr>
      </w:pPr>
      <w:r>
        <w:rPr>
          <w:rFonts w:hint="eastAsia" w:ascii="宋体" w:hAnsi="宋体" w:eastAsia="仿宋_GB2312"/>
          <w:sz w:val="32"/>
        </w:rPr>
        <w:t>《绿色照明检测及评价标准》（GB/T51268—2017）</w:t>
      </w:r>
    </w:p>
    <w:p w14:paraId="70F0A7D4">
      <w:pPr>
        <w:pStyle w:val="2"/>
        <w:numPr>
          <w:ilvl w:val="0"/>
          <w:numId w:val="21"/>
        </w:numPr>
        <w:spacing w:before="0" w:beforeLines="0" w:after="0" w:afterLines="0"/>
        <w:ind w:firstLine="640" w:firstLineChars="200"/>
        <w:rPr>
          <w:rFonts w:ascii="宋体" w:hAnsi="宋体" w:eastAsia="楷体_GB2312" w:cs="楷体_GB2312"/>
          <w:b w:val="0"/>
          <w:color w:val="auto"/>
        </w:rPr>
      </w:pPr>
      <w:bookmarkStart w:id="336" w:name="_Toc87261862"/>
      <w:bookmarkStart w:id="337" w:name="_Toc87265752"/>
      <w:bookmarkStart w:id="338" w:name="_Toc87454576"/>
      <w:bookmarkStart w:id="339" w:name="_Toc87053013"/>
      <w:bookmarkStart w:id="340" w:name="_Toc87269606"/>
      <w:bookmarkStart w:id="341" w:name="_Toc87050180"/>
      <w:bookmarkStart w:id="342" w:name="_Toc87269513"/>
      <w:bookmarkStart w:id="343" w:name="_Toc87269428"/>
      <w:bookmarkStart w:id="344" w:name="_Toc87455693"/>
      <w:bookmarkStart w:id="345" w:name="_Toc87270644"/>
      <w:bookmarkStart w:id="346" w:name="_Toc87053187"/>
      <w:bookmarkStart w:id="347" w:name="_Toc87462358"/>
      <w:r>
        <w:rPr>
          <w:rFonts w:hint="eastAsia" w:ascii="宋体" w:hAnsi="宋体" w:eastAsia="楷体_GB2312" w:cs="楷体_GB2312"/>
          <w:b w:val="0"/>
          <w:color w:val="auto"/>
        </w:rPr>
        <w:t>管理办法</w:t>
      </w:r>
      <w:bookmarkEnd w:id="336"/>
      <w:bookmarkEnd w:id="337"/>
      <w:bookmarkEnd w:id="338"/>
      <w:bookmarkEnd w:id="339"/>
      <w:bookmarkEnd w:id="340"/>
      <w:bookmarkEnd w:id="341"/>
      <w:bookmarkEnd w:id="342"/>
      <w:bookmarkEnd w:id="343"/>
      <w:bookmarkEnd w:id="344"/>
      <w:bookmarkEnd w:id="345"/>
      <w:bookmarkEnd w:id="346"/>
      <w:bookmarkEnd w:id="347"/>
      <w:r>
        <w:rPr>
          <w:rFonts w:hint="eastAsia" w:ascii="宋体" w:hAnsi="宋体" w:eastAsia="楷体_GB2312" w:cs="楷体_GB2312"/>
          <w:b w:val="0"/>
          <w:color w:val="auto"/>
        </w:rPr>
        <w:t>等文件</w:t>
      </w:r>
    </w:p>
    <w:p w14:paraId="0EB4D5CC">
      <w:pPr>
        <w:pStyle w:val="204"/>
        <w:adjustRightInd w:val="0"/>
        <w:spacing w:after="0" w:afterLines="0"/>
        <w:ind w:firstLine="640"/>
        <w:rPr>
          <w:rFonts w:ascii="宋体" w:hAnsi="宋体" w:eastAsia="仿宋_GB2312"/>
          <w:sz w:val="32"/>
        </w:rPr>
      </w:pPr>
      <w:r>
        <w:rPr>
          <w:rFonts w:hint="eastAsia" w:ascii="宋体" w:hAnsi="宋体" w:eastAsia="仿宋_GB2312"/>
          <w:sz w:val="32"/>
        </w:rPr>
        <w:t>《城市照明管理规定》</w:t>
      </w:r>
    </w:p>
    <w:p w14:paraId="47A586C7">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《关于切实加强城市照明节能管理严格控制景观照明的通知》(建城〔2010〕92号)</w:t>
      </w:r>
    </w:p>
    <w:p w14:paraId="6A3794D2">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《北京市市容环境卫生条例》</w:t>
      </w:r>
    </w:p>
    <w:p w14:paraId="41DB5A6E">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《北京市夜景照明管理办法》</w:t>
      </w:r>
    </w:p>
    <w:p w14:paraId="05067678">
      <w:pPr>
        <w:pStyle w:val="204"/>
        <w:adjustRightInd w:val="0"/>
        <w:spacing w:after="0" w:afterLines="0"/>
        <w:ind w:firstLine="640"/>
        <w:rPr>
          <w:rFonts w:ascii="宋体" w:hAnsi="宋体" w:eastAsia="仿宋_GB2312"/>
          <w:sz w:val="32"/>
        </w:rPr>
      </w:pPr>
      <w:r>
        <w:rPr>
          <w:rFonts w:hint="eastAsia" w:ascii="宋体" w:hAnsi="宋体" w:eastAsia="仿宋_GB2312"/>
          <w:sz w:val="32"/>
        </w:rPr>
        <w:t>《北京道路照明发展指导意见》</w:t>
      </w:r>
    </w:p>
    <w:p w14:paraId="2B6EB1C9">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《关于加强农村基础设施维护和管理的意见》（京政发〔2011〕28号）</w:t>
      </w:r>
    </w:p>
    <w:p w14:paraId="51AA944D">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《北京市城市道路照明管理联动工作办法》</w:t>
      </w:r>
    </w:p>
    <w:p w14:paraId="49E8D4B1">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《北京市中心城区城市道路照明设施移交暂行办法》</w:t>
      </w:r>
    </w:p>
    <w:p w14:paraId="2D184E14">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《北京市城市照明管理规定实施意见》</w:t>
      </w:r>
    </w:p>
    <w:p w14:paraId="0D4996E7">
      <w:pPr>
        <w:pStyle w:val="204"/>
        <w:adjustRightInd w:val="0"/>
        <w:spacing w:after="0" w:afterLines="0"/>
        <w:ind w:firstLine="640"/>
        <w:rPr>
          <w:rFonts w:ascii="宋体" w:hAnsi="宋体" w:eastAsia="仿宋_GB2312"/>
          <w:sz w:val="32"/>
        </w:rPr>
      </w:pPr>
      <w:r>
        <w:rPr>
          <w:rFonts w:hint="eastAsia" w:ascii="宋体" w:hAnsi="宋体" w:eastAsia="仿宋_GB2312"/>
          <w:sz w:val="32"/>
        </w:rPr>
        <w:t>关于《北京城市总体规划(2016年—2035年)》实施情况的报告</w:t>
      </w:r>
    </w:p>
    <w:p w14:paraId="06FF9747">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《北京市进一步强化节能实施方案》</w:t>
      </w:r>
    </w:p>
    <w:p w14:paraId="645C48CD">
      <w:pPr>
        <w:pStyle w:val="204"/>
        <w:adjustRightInd w:val="0"/>
        <w:spacing w:after="0" w:afterLines="0"/>
        <w:ind w:firstLine="640"/>
        <w:rPr>
          <w:rFonts w:ascii="宋体" w:hAnsi="宋体" w:eastAsia="仿宋_GB2312"/>
          <w:sz w:val="32"/>
        </w:rPr>
      </w:pPr>
      <w:r>
        <w:rPr>
          <w:rFonts w:hint="eastAsia" w:ascii="宋体" w:hAnsi="宋体" w:eastAsia="仿宋_GB2312"/>
          <w:sz w:val="32"/>
        </w:rPr>
        <w:t>《北京市关于进一步繁荣夜间经济促进消费增长的措施》</w:t>
      </w:r>
    </w:p>
    <w:p w14:paraId="060376A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48" w:name="_Toc88656221"/>
      <w:bookmarkStart w:id="349" w:name="_Toc6764"/>
      <w:bookmarkStart w:id="350" w:name="_Toc23472"/>
      <w:bookmarkStart w:id="351" w:name="_Toc13603"/>
      <w:bookmarkStart w:id="352" w:name="_Toc3951"/>
      <w:bookmarkStart w:id="353" w:name="_Toc95"/>
      <w:r>
        <w:rPr>
          <w:rFonts w:hint="eastAsia" w:ascii="宋体" w:hAnsi="宋体" w:eastAsia="黑体" w:cs="黑体"/>
          <w:b w:val="0"/>
          <w:sz w:val="32"/>
        </w:rPr>
        <w:t>四、发展目标</w:t>
      </w:r>
      <w:bookmarkEnd w:id="348"/>
      <w:bookmarkEnd w:id="349"/>
      <w:bookmarkEnd w:id="350"/>
      <w:bookmarkEnd w:id="351"/>
      <w:bookmarkEnd w:id="352"/>
      <w:bookmarkEnd w:id="353"/>
      <w:bookmarkStart w:id="354" w:name="_Hlk519875136"/>
    </w:p>
    <w:p w14:paraId="042195D5">
      <w:pPr>
        <w:pStyle w:val="204"/>
        <w:adjustRightInd w:val="0"/>
        <w:spacing w:after="0" w:afterLines="0"/>
        <w:ind w:firstLine="640"/>
        <w:rPr>
          <w:rFonts w:ascii="宋体" w:hAnsi="宋体" w:eastAsia="仿宋_GB2312"/>
          <w:sz w:val="32"/>
        </w:rPr>
      </w:pPr>
      <w:r>
        <w:rPr>
          <w:rFonts w:hint="eastAsia" w:ascii="宋体" w:hAnsi="宋体" w:eastAsia="仿宋_GB2312"/>
          <w:sz w:val="32"/>
        </w:rPr>
        <w:t>围绕“四个中心”战略定位，坚持人民至上，以科技创新为引领，推动高质量双碳发展，保障夜间出行安全，促进夜间繁荣，呈现“庄重大气的政治中心、古今交融的文化中心、壮丽有序的国际交往中心、简洁高效的科技创新中心”的首都夜景风貌，塑造大国首都、国际一流、和谐宜居的夜间光环境品质。</w:t>
      </w:r>
    </w:p>
    <w:p w14:paraId="60CD9452">
      <w:pPr>
        <w:pStyle w:val="204"/>
        <w:adjustRightInd w:val="0"/>
        <w:spacing w:after="0" w:afterLines="0"/>
        <w:ind w:firstLine="640"/>
        <w:rPr>
          <w:rFonts w:ascii="宋体" w:hAnsi="宋体" w:eastAsia="仿宋_GB2312"/>
          <w:sz w:val="32"/>
        </w:rPr>
      </w:pPr>
      <w:r>
        <w:rPr>
          <w:rFonts w:hint="eastAsia" w:ascii="宋体" w:hAnsi="宋体" w:eastAsia="仿宋_GB2312"/>
          <w:sz w:val="32"/>
        </w:rPr>
        <w:t>——安全宜居，构建一流城市照明。进一步加强城市道路照明治理，解决城市道路无路灯问题。落实首都功能核心区环境整治工作，逐步开展核心区照明基础设施升级改造；完善安全保障机制，建立统一管理、统一协调的安全保障体系。</w:t>
      </w:r>
    </w:p>
    <w:p w14:paraId="74A80ED7">
      <w:pPr>
        <w:pStyle w:val="204"/>
        <w:adjustRightInd w:val="0"/>
        <w:spacing w:after="0" w:afterLines="0"/>
        <w:ind w:firstLine="640"/>
        <w:rPr>
          <w:rFonts w:ascii="宋体" w:hAnsi="宋体" w:eastAsia="仿宋_GB2312"/>
          <w:sz w:val="32"/>
        </w:rPr>
      </w:pPr>
      <w:r>
        <w:rPr>
          <w:rFonts w:hint="eastAsia" w:ascii="宋体" w:hAnsi="宋体" w:eastAsia="仿宋_GB2312"/>
          <w:sz w:val="32"/>
        </w:rPr>
        <w:t>——双碳统筹，打造低碳节能典范。通过建立城市负面清单、全国横向对比后的科学指标体系、严格景观照明时间管控等措施，实现能耗强度及亮度效果双管控。</w:t>
      </w:r>
    </w:p>
    <w:p w14:paraId="1D8064B7">
      <w:pPr>
        <w:pStyle w:val="204"/>
        <w:adjustRightInd w:val="0"/>
        <w:spacing w:after="0" w:afterLines="0"/>
        <w:ind w:firstLine="640"/>
        <w:rPr>
          <w:rFonts w:ascii="宋体" w:hAnsi="宋体" w:eastAsia="仿宋_GB2312"/>
          <w:sz w:val="32"/>
        </w:rPr>
      </w:pPr>
      <w:r>
        <w:rPr>
          <w:rFonts w:hint="eastAsia" w:ascii="宋体" w:hAnsi="宋体" w:eastAsia="仿宋_GB2312"/>
          <w:sz w:val="32"/>
        </w:rPr>
        <w:t>——完善景观照明体系，展示“四个中心”的特色夜间风貌。配合重大国事活动，提升北京市景观照明品质，丰富景观照明层次，优化景观照明体系；深入挖掘核心区历史文化内涵，提升景观照明文化品位，彰显古都风貌。</w:t>
      </w:r>
    </w:p>
    <w:p w14:paraId="5FD738C2">
      <w:pPr>
        <w:pStyle w:val="204"/>
        <w:adjustRightInd w:val="0"/>
        <w:spacing w:after="0" w:afterLines="0"/>
        <w:ind w:firstLine="640"/>
        <w:rPr>
          <w:rFonts w:ascii="宋体" w:hAnsi="宋体" w:eastAsia="仿宋_GB2312"/>
          <w:sz w:val="32"/>
        </w:rPr>
      </w:pPr>
      <w:r>
        <w:rPr>
          <w:rFonts w:hint="eastAsia" w:ascii="宋体" w:hAnsi="宋体" w:eastAsia="仿宋_GB2312"/>
          <w:sz w:val="32"/>
        </w:rPr>
        <w:t>——夜游赋能，营造夜间繁荣消费环境。分主题、分层次打造多类型夜间活动场所及夜间消费打卡地，为市民游客提供更丰富的夜间生活环境。</w:t>
      </w:r>
    </w:p>
    <w:p w14:paraId="285C9AA9">
      <w:pPr>
        <w:pStyle w:val="204"/>
        <w:adjustRightInd w:val="0"/>
        <w:spacing w:after="0" w:afterLines="0"/>
        <w:ind w:firstLine="640"/>
        <w:rPr>
          <w:rFonts w:ascii="宋体" w:hAnsi="宋体" w:eastAsia="仿宋_GB2312"/>
          <w:sz w:val="32"/>
        </w:rPr>
      </w:pPr>
      <w:r>
        <w:rPr>
          <w:rFonts w:hint="eastAsia" w:ascii="宋体" w:hAnsi="宋体" w:eastAsia="仿宋_GB2312"/>
          <w:sz w:val="32"/>
        </w:rPr>
        <w:t>——加快生态文明建设，营造绿色宜居的夜间光环境。推进城市照明节能减排，有效控制光污染，严格“暗天空”保护，创造绿色生态的夜间环境。</w:t>
      </w:r>
      <w:r>
        <w:rPr>
          <w:rFonts w:hint="eastAsia" w:ascii="宋体" w:hAnsi="宋体" w:eastAsia="仿宋_GB2312"/>
          <w:sz w:val="32"/>
        </w:rPr>
        <w:cr/>
      </w:r>
      <w:r>
        <w:rPr>
          <w:rFonts w:ascii="宋体" w:hAnsi="宋体"/>
        </w:rPr>
        <w:t xml:space="preserve">    </w:t>
      </w:r>
      <w:r>
        <w:rPr>
          <w:rFonts w:hint="eastAsia" w:ascii="宋体" w:hAnsi="宋体" w:eastAsia="仿宋_GB2312"/>
          <w:sz w:val="32"/>
        </w:rPr>
        <w:t>——改革体制机制，进一步提升城市照明管理水平。加快城市照明体制机制改革，规范城市照明工作，提升照明管理工作效率，实现城市照明管理工作精治、共治、法治。</w:t>
      </w:r>
    </w:p>
    <w:p w14:paraId="0459AB51">
      <w:pPr>
        <w:pStyle w:val="204"/>
        <w:adjustRightInd w:val="0"/>
        <w:spacing w:after="0" w:afterLines="0"/>
        <w:ind w:firstLine="640"/>
        <w:rPr>
          <w:rFonts w:ascii="宋体" w:hAnsi="宋体" w:eastAsia="仿宋_GB2312"/>
          <w:sz w:val="32"/>
        </w:rPr>
      </w:pPr>
      <w:r>
        <w:rPr>
          <w:rFonts w:hint="eastAsia" w:ascii="宋体" w:hAnsi="宋体" w:eastAsia="仿宋_GB2312"/>
          <w:sz w:val="32"/>
        </w:rPr>
        <w:t>——科技创新引领，推进城市照明现代化。加大科技创新意识，运用物联网、云计算、移动互联网和人工智能等现代信息技术手段，推进城市照明科技创新进程。</w:t>
      </w:r>
    </w:p>
    <w:bookmarkEnd w:id="354"/>
    <w:p w14:paraId="366CFC5C">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55" w:name="_Toc88656222"/>
      <w:bookmarkStart w:id="356" w:name="_Toc11919"/>
      <w:bookmarkStart w:id="357" w:name="_Toc31530"/>
      <w:bookmarkStart w:id="358" w:name="_Toc6260"/>
      <w:bookmarkStart w:id="359" w:name="_Toc6877"/>
      <w:bookmarkStart w:id="360" w:name="_Toc23456"/>
      <w:r>
        <w:rPr>
          <w:rFonts w:hint="eastAsia" w:ascii="宋体" w:hAnsi="宋体" w:eastAsia="黑体" w:cs="黑体"/>
          <w:b w:val="0"/>
          <w:sz w:val="32"/>
        </w:rPr>
        <w:t>五、主要指标</w:t>
      </w:r>
      <w:bookmarkEnd w:id="355"/>
      <w:bookmarkEnd w:id="356"/>
      <w:bookmarkEnd w:id="357"/>
      <w:bookmarkEnd w:id="358"/>
      <w:bookmarkEnd w:id="359"/>
      <w:bookmarkEnd w:id="360"/>
    </w:p>
    <w:p w14:paraId="28D2C427">
      <w:pPr>
        <w:pStyle w:val="204"/>
        <w:adjustRightInd w:val="0"/>
        <w:spacing w:after="0" w:afterLines="0"/>
        <w:ind w:firstLine="640"/>
        <w:rPr>
          <w:rFonts w:ascii="宋体" w:hAnsi="宋体" w:eastAsia="仿宋_GB2312"/>
          <w:sz w:val="32"/>
        </w:rPr>
      </w:pPr>
      <w:r>
        <w:rPr>
          <w:rFonts w:hint="eastAsia" w:ascii="宋体" w:hAnsi="宋体" w:eastAsia="仿宋_GB2312"/>
          <w:sz w:val="32"/>
        </w:rPr>
        <w:t>到2025年，城市道路照明应建尽建，应亮尽亮;城市照明诉求问题动态清零，解决率、满意率稳步提升。建立健全城市照明统筹监管工作机制，形成完善的城市照明管理体系。到2035年，实现生态环境良好、夜间生活丰富、创新智慧、国际一流的和谐宜居之都的夜间光环境。</w:t>
      </w:r>
    </w:p>
    <w:p w14:paraId="51419F9F">
      <w:pPr>
        <w:pStyle w:val="204"/>
        <w:spacing w:after="156"/>
        <w:ind w:firstLine="600"/>
        <w:rPr>
          <w:rFonts w:ascii="宋体" w:hAnsi="宋体"/>
        </w:rPr>
      </w:pPr>
    </w:p>
    <w:p w14:paraId="310B4523">
      <w:pPr>
        <w:widowControl/>
        <w:jc w:val="left"/>
        <w:rPr>
          <w:rStyle w:val="194"/>
          <w:rFonts w:ascii="宋体" w:hAnsi="宋体" w:eastAsia="方正小标宋简体" w:cs="宋体"/>
          <w:kern w:val="44"/>
          <w:sz w:val="40"/>
          <w:szCs w:val="40"/>
        </w:rPr>
      </w:pPr>
      <w:r>
        <w:rPr>
          <w:rStyle w:val="194"/>
          <w:rFonts w:ascii="宋体" w:hAnsi="宋体" w:eastAsia="方正小标宋简体" w:cs="宋体"/>
          <w:sz w:val="40"/>
          <w:szCs w:val="40"/>
        </w:rPr>
        <w:br w:type="page"/>
      </w:r>
    </w:p>
    <w:p w14:paraId="5964B0DE">
      <w:pPr>
        <w:pStyle w:val="5"/>
        <w:rPr>
          <w:rStyle w:val="194"/>
          <w:rFonts w:ascii="宋体" w:hAnsi="宋体" w:eastAsia="方正小标宋简体" w:cs="方正小标宋简体"/>
          <w:b w:val="0"/>
          <w:bCs w:val="0"/>
        </w:rPr>
      </w:pPr>
      <w:bookmarkStart w:id="361" w:name="_Toc5594"/>
      <w:bookmarkStart w:id="362" w:name="_Toc31017"/>
      <w:bookmarkStart w:id="363" w:name="_Toc88656223"/>
      <w:bookmarkStart w:id="364" w:name="_Toc23256"/>
      <w:bookmarkStart w:id="365" w:name="_Toc29350"/>
      <w:bookmarkStart w:id="366" w:name="_Toc20191"/>
      <w:r>
        <w:rPr>
          <w:rStyle w:val="194"/>
          <w:rFonts w:hint="eastAsia" w:ascii="宋体" w:hAnsi="宋体" w:eastAsia="方正小标宋简体" w:cs="方正小标宋简体"/>
          <w:b w:val="0"/>
          <w:bCs w:val="0"/>
        </w:rPr>
        <w:t>安全宜居，构建一流</w:t>
      </w:r>
      <w:bookmarkEnd w:id="361"/>
      <w:bookmarkEnd w:id="362"/>
      <w:bookmarkEnd w:id="363"/>
      <w:r>
        <w:rPr>
          <w:rStyle w:val="194"/>
          <w:rFonts w:hint="eastAsia" w:ascii="宋体" w:hAnsi="宋体" w:eastAsia="方正小标宋简体" w:cs="方正小标宋简体"/>
          <w:b w:val="0"/>
          <w:bCs w:val="0"/>
        </w:rPr>
        <w:t>城市照明</w:t>
      </w:r>
      <w:bookmarkEnd w:id="364"/>
      <w:bookmarkEnd w:id="365"/>
      <w:bookmarkEnd w:id="366"/>
    </w:p>
    <w:p w14:paraId="152F97DC">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67" w:name="_Toc88656224"/>
      <w:bookmarkStart w:id="368" w:name="_Toc28813"/>
      <w:bookmarkStart w:id="369" w:name="_Toc29389"/>
      <w:bookmarkStart w:id="370" w:name="_Toc2985"/>
      <w:bookmarkStart w:id="371" w:name="_Toc27238"/>
      <w:bookmarkStart w:id="372" w:name="_Toc11099"/>
      <w:r>
        <w:rPr>
          <w:rFonts w:hint="eastAsia" w:ascii="宋体" w:hAnsi="宋体" w:eastAsia="黑体" w:cs="黑体"/>
          <w:b w:val="0"/>
          <w:sz w:val="32"/>
        </w:rPr>
        <w:t>一、治理无灯路段，</w:t>
      </w:r>
      <w:bookmarkEnd w:id="367"/>
      <w:r>
        <w:rPr>
          <w:rFonts w:hint="eastAsia" w:ascii="宋体" w:hAnsi="宋体" w:eastAsia="黑体" w:cs="黑体"/>
          <w:b w:val="0"/>
          <w:sz w:val="32"/>
        </w:rPr>
        <w:t>满足照明需求</w:t>
      </w:r>
      <w:bookmarkEnd w:id="368"/>
      <w:bookmarkEnd w:id="369"/>
      <w:bookmarkEnd w:id="370"/>
      <w:bookmarkEnd w:id="371"/>
      <w:bookmarkEnd w:id="372"/>
    </w:p>
    <w:p w14:paraId="4E0685F8">
      <w:pPr>
        <w:pStyle w:val="204"/>
        <w:adjustRightInd w:val="0"/>
        <w:spacing w:after="0" w:afterLines="0"/>
        <w:ind w:firstLine="640"/>
        <w:rPr>
          <w:rFonts w:ascii="宋体" w:hAnsi="宋体" w:eastAsia="仿宋_GB2312"/>
          <w:sz w:val="32"/>
        </w:rPr>
      </w:pPr>
      <w:r>
        <w:rPr>
          <w:rFonts w:hint="eastAsia" w:ascii="宋体" w:hAnsi="宋体" w:eastAsia="仿宋_GB2312"/>
          <w:sz w:val="32"/>
        </w:rPr>
        <w:t>补充有功能照明需求的公路，新建居住区周边无灯道路，河边道路、地下通道、大桥、天桥及天桥下等区域的功能照明设施，为市民夜间出行提供安全保障。</w:t>
      </w:r>
    </w:p>
    <w:p w14:paraId="5671DD35">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73" w:name="_Toc15093"/>
      <w:bookmarkStart w:id="374" w:name="_Toc11033"/>
      <w:bookmarkStart w:id="375" w:name="_Toc475"/>
      <w:bookmarkStart w:id="376" w:name="_Toc88656225"/>
      <w:bookmarkStart w:id="377" w:name="_Toc24448"/>
      <w:bookmarkStart w:id="378" w:name="_Toc25"/>
      <w:r>
        <w:rPr>
          <w:rFonts w:hint="eastAsia" w:ascii="宋体" w:hAnsi="宋体" w:eastAsia="黑体" w:cs="黑体"/>
          <w:b w:val="0"/>
          <w:sz w:val="32"/>
        </w:rPr>
        <w:t>二、区域维护改造，基础设施升级</w:t>
      </w:r>
      <w:bookmarkEnd w:id="373"/>
      <w:bookmarkEnd w:id="374"/>
      <w:bookmarkEnd w:id="375"/>
      <w:bookmarkEnd w:id="376"/>
      <w:bookmarkEnd w:id="377"/>
      <w:bookmarkEnd w:id="378"/>
    </w:p>
    <w:p w14:paraId="6ECB7E5D">
      <w:pPr>
        <w:pStyle w:val="204"/>
        <w:adjustRightInd w:val="0"/>
        <w:spacing w:after="0" w:afterLines="0"/>
        <w:ind w:firstLine="640"/>
        <w:rPr>
          <w:rFonts w:ascii="宋体" w:hAnsi="宋体" w:eastAsia="仿宋_GB2312"/>
          <w:sz w:val="32"/>
        </w:rPr>
      </w:pPr>
      <w:r>
        <w:rPr>
          <w:rFonts w:hint="eastAsia" w:ascii="宋体" w:hAnsi="宋体" w:eastAsia="仿宋_GB2312"/>
          <w:sz w:val="32"/>
        </w:rPr>
        <w:t>配合首都功能核心区街区改造进程，实施道路照明架空线入地工作，同步维护老旧路灯设施，升级首都功能核心区道路照明基础设施，选取核心区、城市副中心等重点区域，配合推进“多杆合一”试点工作。</w:t>
      </w:r>
    </w:p>
    <w:p w14:paraId="5BB12D9F">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79" w:name="_Toc88656226"/>
      <w:bookmarkStart w:id="380" w:name="_Toc4814"/>
      <w:bookmarkStart w:id="381" w:name="_Toc2892"/>
      <w:bookmarkStart w:id="382" w:name="_Toc32576"/>
      <w:bookmarkStart w:id="383" w:name="_Toc27176"/>
      <w:bookmarkStart w:id="384" w:name="_Toc8374"/>
      <w:r>
        <w:rPr>
          <w:rFonts w:hint="eastAsia" w:ascii="宋体" w:hAnsi="宋体" w:eastAsia="黑体" w:cs="黑体"/>
          <w:b w:val="0"/>
          <w:sz w:val="32"/>
        </w:rPr>
        <w:t>三、</w:t>
      </w:r>
      <w:bookmarkEnd w:id="379"/>
      <w:bookmarkEnd w:id="380"/>
      <w:bookmarkEnd w:id="381"/>
      <w:bookmarkEnd w:id="382"/>
      <w:bookmarkEnd w:id="383"/>
      <w:r>
        <w:rPr>
          <w:rFonts w:hint="eastAsia" w:ascii="宋体" w:hAnsi="宋体" w:eastAsia="黑体" w:cs="黑体"/>
          <w:b w:val="0"/>
          <w:sz w:val="32"/>
        </w:rPr>
        <w:t>突出居住区域，提升环境品质</w:t>
      </w:r>
      <w:bookmarkEnd w:id="384"/>
    </w:p>
    <w:p w14:paraId="0921046C">
      <w:pPr>
        <w:pStyle w:val="204"/>
        <w:adjustRightInd w:val="0"/>
        <w:spacing w:after="0" w:afterLines="0"/>
        <w:ind w:firstLine="640"/>
        <w:rPr>
          <w:rFonts w:ascii="宋体" w:hAnsi="宋体" w:eastAsia="仿宋_GB2312"/>
          <w:sz w:val="32"/>
        </w:rPr>
      </w:pPr>
      <w:r>
        <w:rPr>
          <w:rFonts w:hint="eastAsia" w:ascii="宋体" w:hAnsi="宋体" w:eastAsia="仿宋_GB2312"/>
          <w:sz w:val="32"/>
        </w:rPr>
        <w:t>补充完善居住区周边公园、广场、地铁出入口、公共停车场等区域的功能照明设施，包括新建居住区周边道路、背街小巷以及居住区内部道路的道路照明设施，做到道路照明治理工作入街入社区。公园、广场的照明设施应考虑白天与夜间的美观性，为周边居民提供高质量的夜间活动环境。</w:t>
      </w:r>
    </w:p>
    <w:p w14:paraId="32FC003C">
      <w:pPr>
        <w:pStyle w:val="204"/>
        <w:adjustRightInd w:val="0"/>
        <w:spacing w:after="0" w:afterLines="0"/>
        <w:ind w:firstLine="640"/>
        <w:rPr>
          <w:rFonts w:ascii="宋体" w:hAnsi="宋体" w:eastAsia="仿宋_GB2312"/>
          <w:sz w:val="32"/>
        </w:rPr>
      </w:pPr>
      <w:r>
        <w:rPr>
          <w:rFonts w:hint="eastAsia" w:ascii="宋体" w:hAnsi="宋体" w:eastAsia="仿宋_GB2312"/>
          <w:sz w:val="32"/>
        </w:rPr>
        <w:t>在居住区路灯建设方面，加大监管力度，在新建居住区的开发建设过程与入住阶段，督促建设单位做好路灯相应建设、运维工作，确保居民入住时同步使用。</w:t>
      </w:r>
    </w:p>
    <w:p w14:paraId="16A957D2">
      <w:pPr>
        <w:pStyle w:val="204"/>
        <w:adjustRightInd w:val="0"/>
        <w:spacing w:after="0" w:afterLines="0"/>
        <w:ind w:firstLine="640"/>
        <w:rPr>
          <w:rFonts w:ascii="宋体" w:hAnsi="宋体" w:eastAsia="仿宋_GB2312"/>
          <w:sz w:val="32"/>
        </w:rPr>
      </w:pPr>
      <w:r>
        <w:rPr>
          <w:rFonts w:hint="eastAsia" w:ascii="宋体" w:hAnsi="宋体" w:eastAsia="仿宋_GB2312"/>
          <w:sz w:val="32"/>
        </w:rPr>
        <w:t>对现有居住小区需要补建路灯的，督促物业服务企业或属地街道（乡镇）负责组织相关权属单位或自行组织实施，集中力量在1—2年内解决小区缺灯问题。</w:t>
      </w:r>
    </w:p>
    <w:p w14:paraId="5B7EE41B">
      <w:pPr>
        <w:pStyle w:val="204"/>
        <w:adjustRightInd w:val="0"/>
        <w:spacing w:after="0" w:afterLines="0"/>
        <w:ind w:firstLine="640"/>
        <w:rPr>
          <w:rFonts w:ascii="宋体" w:hAnsi="宋体" w:eastAsia="仿宋_GB2312"/>
          <w:sz w:val="32"/>
        </w:rPr>
      </w:pPr>
      <w:r>
        <w:rPr>
          <w:rFonts w:hint="eastAsia" w:ascii="宋体" w:hAnsi="宋体" w:eastAsia="仿宋_GB2312"/>
          <w:sz w:val="32"/>
        </w:rPr>
        <w:t>加强居住区路灯维护监管工作，明确责任主体，力争实现“动态清零”，为市民夜间安全出行提供良好的照明条件。</w:t>
      </w:r>
    </w:p>
    <w:p w14:paraId="4CCDEC0E">
      <w:pPr>
        <w:pStyle w:val="204"/>
        <w:adjustRightInd w:val="0"/>
        <w:spacing w:after="0" w:afterLines="0"/>
        <w:ind w:firstLine="640"/>
        <w:rPr>
          <w:rFonts w:ascii="宋体" w:hAnsi="宋体" w:eastAsia="仿宋_GB2312"/>
          <w:sz w:val="32"/>
        </w:rPr>
      </w:pPr>
      <w:r>
        <w:rPr>
          <w:rFonts w:hint="eastAsia" w:ascii="宋体" w:hAnsi="宋体" w:eastAsia="仿宋_GB2312"/>
          <w:sz w:val="32"/>
        </w:rPr>
        <w:t>加强监管考核，推进共建共治，各级管理部门要严格落实责任。市城市管理部门和市住房城乡建设部门密切配合，加强对各区的工作指导和监督；健全路灯接诉即办问题的处置、监督机制；组织制定小区路灯监督检查、考核评价制度，定期开展联合检查和年度考评工作。</w:t>
      </w:r>
    </w:p>
    <w:p w14:paraId="440DE965">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85" w:name="_Toc5564"/>
      <w:bookmarkStart w:id="386" w:name="_Toc6867"/>
      <w:bookmarkStart w:id="387" w:name="_Toc6011"/>
      <w:bookmarkStart w:id="388" w:name="_Toc13964"/>
      <w:bookmarkStart w:id="389" w:name="_Toc2970"/>
      <w:bookmarkStart w:id="390" w:name="_Toc88656227"/>
      <w:r>
        <w:rPr>
          <w:rFonts w:hint="eastAsia" w:ascii="宋体" w:hAnsi="宋体" w:eastAsia="黑体" w:cs="黑体"/>
          <w:b w:val="0"/>
          <w:sz w:val="32"/>
        </w:rPr>
        <w:t>四、完善</w:t>
      </w:r>
      <w:r>
        <w:rPr>
          <w:rFonts w:hint="eastAsia" w:ascii="宋体" w:hAnsi="宋体" w:eastAsia="黑体" w:cs="黑体"/>
          <w:b w:val="0"/>
          <w:sz w:val="32"/>
          <w:lang w:eastAsia="zh-Hans"/>
        </w:rPr>
        <w:t>指标</w:t>
      </w:r>
      <w:r>
        <w:rPr>
          <w:rFonts w:hint="eastAsia" w:ascii="宋体" w:hAnsi="宋体" w:eastAsia="黑体" w:cs="黑体"/>
          <w:b w:val="0"/>
          <w:sz w:val="32"/>
        </w:rPr>
        <w:t>体系，健全功能照明</w:t>
      </w:r>
      <w:bookmarkEnd w:id="385"/>
      <w:bookmarkEnd w:id="386"/>
      <w:bookmarkEnd w:id="387"/>
      <w:bookmarkEnd w:id="388"/>
      <w:bookmarkEnd w:id="389"/>
      <w:bookmarkEnd w:id="390"/>
    </w:p>
    <w:p w14:paraId="5F78007F">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对北京城市道路系统进行分级照明，形成北京特色的城市道路功能照明体系，满足机动车辆驾驶员以及行人辨识方向、视看环境等基本的功能要求。</w:t>
      </w:r>
      <w:r>
        <w:rPr>
          <w:rFonts w:hint="eastAsia" w:ascii="宋体" w:hAnsi="宋体" w:eastAsia="仿宋_GB2312"/>
          <w:sz w:val="32"/>
        </w:rPr>
        <w:t>（详见第十三章 一、功能照明分区及控制指标）</w:t>
      </w:r>
    </w:p>
    <w:p w14:paraId="3EB1335E">
      <w:pPr>
        <w:pStyle w:val="5"/>
        <w:rPr>
          <w:rStyle w:val="194"/>
          <w:rFonts w:ascii="宋体" w:hAnsi="宋体" w:eastAsia="方正小标宋简体" w:cs="方正小标宋简体"/>
          <w:b w:val="0"/>
          <w:bCs w:val="0"/>
        </w:rPr>
      </w:pPr>
      <w:bookmarkStart w:id="391" w:name="_Toc20368"/>
      <w:bookmarkStart w:id="392" w:name="_Toc12080"/>
      <w:bookmarkStart w:id="393" w:name="_Toc29678"/>
      <w:bookmarkStart w:id="394" w:name="_Toc32665"/>
      <w:bookmarkStart w:id="395" w:name="_Toc10476"/>
      <w:bookmarkStart w:id="396" w:name="_Toc88656228"/>
      <w:r>
        <w:rPr>
          <w:rStyle w:val="194"/>
          <w:rFonts w:hint="eastAsia" w:ascii="宋体" w:hAnsi="宋体" w:eastAsia="方正小标宋简体" w:cs="方正小标宋简体"/>
          <w:b w:val="0"/>
          <w:bCs w:val="0"/>
        </w:rPr>
        <w:t>双碳统筹，建设低碳节能典范</w:t>
      </w:r>
      <w:bookmarkEnd w:id="391"/>
      <w:bookmarkEnd w:id="392"/>
      <w:bookmarkEnd w:id="393"/>
      <w:bookmarkEnd w:id="394"/>
      <w:bookmarkEnd w:id="395"/>
      <w:bookmarkEnd w:id="396"/>
    </w:p>
    <w:p w14:paraId="4C735CDC">
      <w:pPr>
        <w:pStyle w:val="6"/>
        <w:keepNext w:val="0"/>
        <w:keepLines w:val="0"/>
        <w:adjustRightInd w:val="0"/>
        <w:spacing w:before="0" w:beforeLines="0" w:after="0" w:afterLines="0"/>
        <w:ind w:firstLine="640" w:firstLineChars="200"/>
        <w:rPr>
          <w:rFonts w:ascii="宋体" w:hAnsi="宋体" w:eastAsia="黑体" w:cs="黑体"/>
          <w:b w:val="0"/>
          <w:sz w:val="32"/>
        </w:rPr>
      </w:pPr>
      <w:bookmarkStart w:id="397" w:name="_Toc30035"/>
      <w:bookmarkStart w:id="398" w:name="_Toc88656229"/>
      <w:bookmarkStart w:id="399" w:name="_Toc22120"/>
      <w:bookmarkStart w:id="400" w:name="_Toc30251"/>
      <w:bookmarkStart w:id="401" w:name="_Toc28198"/>
      <w:bookmarkStart w:id="402" w:name="_Toc2507"/>
      <w:r>
        <w:rPr>
          <w:rFonts w:hint="eastAsia" w:ascii="宋体" w:hAnsi="宋体" w:eastAsia="黑体" w:cs="黑体"/>
          <w:b w:val="0"/>
          <w:sz w:val="32"/>
        </w:rPr>
        <w:t>一、建立负面清单制度，强化标准约束</w:t>
      </w:r>
      <w:bookmarkEnd w:id="397"/>
      <w:bookmarkEnd w:id="398"/>
      <w:bookmarkEnd w:id="399"/>
      <w:bookmarkEnd w:id="400"/>
      <w:bookmarkEnd w:id="401"/>
      <w:bookmarkEnd w:id="402"/>
    </w:p>
    <w:p w14:paraId="50282A45">
      <w:pPr>
        <w:pStyle w:val="204"/>
        <w:adjustRightInd w:val="0"/>
        <w:spacing w:after="0" w:afterLines="0"/>
        <w:ind w:firstLine="640"/>
        <w:rPr>
          <w:rFonts w:ascii="宋体" w:hAnsi="宋体" w:eastAsia="仿宋_GB2312"/>
          <w:sz w:val="32"/>
        </w:rPr>
      </w:pPr>
      <w:r>
        <w:rPr>
          <w:rFonts w:hint="eastAsia" w:ascii="宋体" w:hAnsi="宋体" w:eastAsia="仿宋_GB2312"/>
          <w:sz w:val="32"/>
        </w:rPr>
        <w:t>照明建设严格按城市照明规划实施，保证功能照明的前提下，对各类照明区域内不同性质的建构筑物和开放空间明确能耗及光污染控制指标要求；严格控制景观照明的范围和规模，合理配置照明资源，明确城市夜景建设边界，设立“暗天空”保护区，加强设计方案的论证和审查。在兼顾城市空间夜景形象塑造的同时，有效控制城市照明能耗，将耗电强度及合理亮度上限进行双控。以最少的资源实现照明的可持续发展，减少夜间碳排放，助力双碳目标实现。详见《北京市城市景观照明设计导则》第二部分规划总则—5“暗天空”保护。</w:t>
      </w:r>
    </w:p>
    <w:p w14:paraId="693949EA">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负面清单： </w:t>
      </w:r>
    </w:p>
    <w:p w14:paraId="72FE9DB1">
      <w:pPr>
        <w:pStyle w:val="204"/>
        <w:adjustRightInd w:val="0"/>
        <w:spacing w:after="0" w:afterLines="0"/>
        <w:ind w:firstLine="640"/>
        <w:rPr>
          <w:rFonts w:ascii="宋体" w:hAnsi="宋体" w:eastAsia="仿宋_GB2312"/>
          <w:sz w:val="32"/>
        </w:rPr>
      </w:pPr>
      <w:r>
        <w:rPr>
          <w:rFonts w:hint="eastAsia" w:ascii="宋体" w:hAnsi="宋体" w:eastAsia="仿宋_GB2312"/>
          <w:sz w:val="32"/>
        </w:rPr>
        <w:t>1.禁止激光灯或大功率光束灯向天空投射；</w:t>
      </w:r>
    </w:p>
    <w:p w14:paraId="7608A96B">
      <w:pPr>
        <w:pStyle w:val="204"/>
        <w:adjustRightInd w:val="0"/>
        <w:spacing w:after="0" w:afterLines="0"/>
        <w:ind w:firstLine="640"/>
        <w:rPr>
          <w:rFonts w:ascii="宋体" w:hAnsi="宋体" w:eastAsia="仿宋_GB2312"/>
          <w:sz w:val="32"/>
        </w:rPr>
      </w:pPr>
      <w:r>
        <w:rPr>
          <w:rFonts w:hint="eastAsia" w:ascii="宋体" w:hAnsi="宋体" w:eastAsia="仿宋_GB2312"/>
          <w:sz w:val="32"/>
        </w:rPr>
        <w:t>2.电子屏幕尺寸规范应遵循相关广告标准规范；</w:t>
      </w:r>
    </w:p>
    <w:p w14:paraId="2E21C9CC">
      <w:pPr>
        <w:pStyle w:val="204"/>
        <w:adjustRightInd w:val="0"/>
        <w:spacing w:after="0" w:afterLines="0"/>
        <w:ind w:firstLine="640"/>
        <w:rPr>
          <w:rFonts w:ascii="宋体" w:hAnsi="宋体" w:eastAsia="仿宋_GB2312"/>
          <w:sz w:val="32"/>
        </w:rPr>
      </w:pPr>
      <w:r>
        <w:rPr>
          <w:rFonts w:hint="eastAsia" w:ascii="宋体" w:hAnsi="宋体" w:eastAsia="仿宋_GB2312"/>
          <w:sz w:val="32"/>
        </w:rPr>
        <w:t>3.禁止大功率（≥2000W）投光灯泛光照明；</w:t>
      </w:r>
    </w:p>
    <w:p w14:paraId="1BE24DB5">
      <w:pPr>
        <w:pStyle w:val="204"/>
        <w:adjustRightInd w:val="0"/>
        <w:spacing w:after="0" w:afterLines="0"/>
        <w:ind w:firstLine="640"/>
        <w:rPr>
          <w:rFonts w:ascii="宋体" w:hAnsi="宋体" w:eastAsia="仿宋_GB2312"/>
          <w:sz w:val="32"/>
        </w:rPr>
      </w:pPr>
      <w:r>
        <w:rPr>
          <w:rFonts w:hint="eastAsia" w:ascii="宋体" w:hAnsi="宋体" w:eastAsia="仿宋_GB2312"/>
          <w:sz w:val="32"/>
        </w:rPr>
        <w:t>4.严格控制媒体立面，保证与周边环境形成适宜环境比，避免光污染，建设实施时需按有关规定履行项目审批流程。</w:t>
      </w:r>
    </w:p>
    <w:p w14:paraId="137FED1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03" w:name="_Toc88656230"/>
      <w:bookmarkStart w:id="404" w:name="_Toc26889"/>
      <w:bookmarkStart w:id="405" w:name="_Toc17221"/>
      <w:bookmarkStart w:id="406" w:name="_Toc25033"/>
      <w:bookmarkStart w:id="407" w:name="_Toc1790"/>
      <w:bookmarkStart w:id="408" w:name="_Toc12408"/>
      <w:r>
        <w:rPr>
          <w:rFonts w:hint="eastAsia" w:ascii="宋体" w:hAnsi="宋体" w:eastAsia="黑体" w:cs="黑体"/>
          <w:b w:val="0"/>
          <w:sz w:val="32"/>
        </w:rPr>
        <w:t>二、严控照明启闭时间及供电</w:t>
      </w:r>
      <w:bookmarkEnd w:id="403"/>
      <w:bookmarkEnd w:id="404"/>
      <w:bookmarkEnd w:id="405"/>
      <w:bookmarkEnd w:id="406"/>
      <w:bookmarkEnd w:id="407"/>
      <w:bookmarkEnd w:id="408"/>
    </w:p>
    <w:p w14:paraId="62639DAD">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进一步精细化管控景观照明启闭时间，保障多模式、多场景的景观照明需求。合理降低照明强度、压缩开启时间，助力城市节能减排。</w:t>
      </w:r>
    </w:p>
    <w:p w14:paraId="2000EADF">
      <w:pPr>
        <w:pStyle w:val="204"/>
        <w:adjustRightInd w:val="0"/>
        <w:spacing w:after="0" w:afterLines="0"/>
        <w:ind w:firstLine="640"/>
        <w:rPr>
          <w:rFonts w:ascii="宋体" w:hAnsi="宋体" w:eastAsia="仿宋_GB2312"/>
          <w:sz w:val="32"/>
        </w:rPr>
      </w:pPr>
      <w:r>
        <w:rPr>
          <w:rFonts w:hint="eastAsia" w:ascii="宋体" w:hAnsi="宋体" w:eastAsia="仿宋_GB2312"/>
          <w:sz w:val="32"/>
        </w:rPr>
        <w:t>城市景观照明项目用电与道路照明为主的功能照明用电需严格区分，对“灯光秀”等非民生用电项目按照工商业用电执行电价政策。景观照明对与功能照明基础设施同线同路的，应及时改造、改接，分开供电。加强对景观照明项目的用电管理和计量，实施集中管理，集中控制和分时控制。（详见第十三章，表13—11 建（构）筑物景观照明时间模式控制表）</w:t>
      </w:r>
    </w:p>
    <w:p w14:paraId="4AD59730">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09" w:name="_Toc88656231"/>
      <w:bookmarkStart w:id="410" w:name="_Toc16770"/>
      <w:bookmarkStart w:id="411" w:name="_Toc5159"/>
      <w:bookmarkStart w:id="412" w:name="_Toc28953"/>
      <w:bookmarkStart w:id="413" w:name="_Toc28547"/>
      <w:bookmarkStart w:id="414" w:name="_Toc24366"/>
      <w:r>
        <w:rPr>
          <w:rFonts w:hint="eastAsia" w:ascii="宋体" w:hAnsi="宋体" w:eastAsia="黑体" w:cs="黑体"/>
          <w:b w:val="0"/>
          <w:sz w:val="32"/>
        </w:rPr>
        <w:t>三、推广高效产品，促进低碳节能</w:t>
      </w:r>
      <w:bookmarkEnd w:id="409"/>
      <w:bookmarkEnd w:id="410"/>
      <w:bookmarkEnd w:id="411"/>
      <w:bookmarkEnd w:id="412"/>
      <w:bookmarkEnd w:id="413"/>
      <w:bookmarkEnd w:id="414"/>
    </w:p>
    <w:p w14:paraId="44E20B34">
      <w:pPr>
        <w:pStyle w:val="204"/>
        <w:adjustRightInd w:val="0"/>
        <w:spacing w:after="0" w:afterLines="0"/>
        <w:ind w:firstLine="640"/>
        <w:rPr>
          <w:rFonts w:ascii="宋体" w:hAnsi="宋体" w:eastAsia="仿宋_GB2312"/>
          <w:sz w:val="32"/>
        </w:rPr>
      </w:pPr>
      <w:r>
        <w:rPr>
          <w:rFonts w:hint="eastAsia" w:ascii="宋体" w:hAnsi="宋体" w:eastAsia="仿宋_GB2312"/>
          <w:sz w:val="32"/>
        </w:rPr>
        <w:t>大力推广高效能、新产品、新技术和智能化控制系统使用，根据实际需要进行理性选择，以达到长期节约能源与降低投资的目的。</w:t>
      </w:r>
    </w:p>
    <w:p w14:paraId="59E4E89F">
      <w:pPr>
        <w:pStyle w:val="204"/>
        <w:adjustRightInd w:val="0"/>
        <w:spacing w:after="0" w:afterLines="0"/>
        <w:ind w:firstLine="640"/>
        <w:rPr>
          <w:rFonts w:ascii="宋体" w:hAnsi="宋体" w:eastAsia="仿宋_GB2312"/>
          <w:sz w:val="32"/>
        </w:rPr>
      </w:pPr>
      <w:r>
        <w:rPr>
          <w:rFonts w:hint="eastAsia" w:ascii="宋体" w:hAnsi="宋体" w:eastAsia="仿宋_GB2312"/>
          <w:sz w:val="32"/>
        </w:rPr>
        <w:t>加快实施道路照明节能改造和推广使用LED高效能光源设备。五环外道路由传统光源路段根据建设年限逐年替换为LED等高效能光源。科学合理控制路灯开启时间，推进路灯智能分时分区控制，以达到提质增效的目的。</w:t>
      </w:r>
    </w:p>
    <w:p w14:paraId="3624831D">
      <w:pPr>
        <w:pStyle w:val="204"/>
        <w:adjustRightInd w:val="0"/>
        <w:spacing w:after="0" w:afterLines="0"/>
        <w:ind w:firstLine="640"/>
        <w:rPr>
          <w:rFonts w:ascii="宋体" w:hAnsi="宋体" w:eastAsia="仿宋_GB2312"/>
          <w:sz w:val="32"/>
        </w:rPr>
      </w:pPr>
      <w:r>
        <w:rPr>
          <w:rFonts w:hint="eastAsia" w:ascii="宋体" w:hAnsi="宋体" w:eastAsia="仿宋_GB2312"/>
          <w:sz w:val="32"/>
        </w:rPr>
        <w:t>建（构）筑物景观照明的照度、功率密度（LPD）值不应超过附表13—12的规定值。建筑物外部空间的景观照明功率密度值应不应超过附表13—13的规定值。城市道路功能照明功率密度值应符合附表13—14的规定值。</w:t>
      </w:r>
    </w:p>
    <w:p w14:paraId="4916110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15" w:name="_Toc23028"/>
      <w:bookmarkStart w:id="416" w:name="_Toc5641"/>
      <w:bookmarkStart w:id="417" w:name="_Toc17793"/>
      <w:bookmarkStart w:id="418" w:name="_Toc8340"/>
      <w:bookmarkStart w:id="419" w:name="_Toc14527"/>
      <w:bookmarkStart w:id="420" w:name="_Toc88656232"/>
      <w:r>
        <w:rPr>
          <w:rFonts w:hint="eastAsia" w:ascii="宋体" w:hAnsi="宋体" w:eastAsia="黑体" w:cs="黑体"/>
          <w:b w:val="0"/>
          <w:sz w:val="32"/>
        </w:rPr>
        <w:t>四、建立科学指标体系</w:t>
      </w:r>
      <w:bookmarkEnd w:id="415"/>
      <w:bookmarkEnd w:id="416"/>
      <w:bookmarkEnd w:id="417"/>
      <w:bookmarkEnd w:id="418"/>
      <w:bookmarkEnd w:id="419"/>
      <w:bookmarkEnd w:id="420"/>
    </w:p>
    <w:p w14:paraId="4C5C1984">
      <w:pPr>
        <w:pStyle w:val="2"/>
        <w:numPr>
          <w:ilvl w:val="0"/>
          <w:numId w:val="22"/>
        </w:numPr>
        <w:spacing w:before="0" w:beforeLines="0" w:after="0" w:afterLines="0"/>
        <w:ind w:firstLine="640" w:firstLineChars="200"/>
        <w:rPr>
          <w:rFonts w:ascii="宋体" w:hAnsi="宋体" w:eastAsia="楷体_GB2312" w:cs="楷体_GB2312"/>
          <w:b w:val="0"/>
          <w:color w:val="auto"/>
        </w:rPr>
      </w:pPr>
      <w:bookmarkStart w:id="421" w:name="_Toc87462371"/>
      <w:r>
        <w:rPr>
          <w:rFonts w:hint="eastAsia" w:ascii="宋体" w:hAnsi="宋体" w:eastAsia="楷体_GB2312" w:cs="楷体_GB2312"/>
          <w:b w:val="0"/>
          <w:color w:val="auto"/>
        </w:rPr>
        <w:t>景观照明分区</w:t>
      </w:r>
      <w:bookmarkEnd w:id="421"/>
    </w:p>
    <w:p w14:paraId="73727225">
      <w:pPr>
        <w:pStyle w:val="204"/>
        <w:adjustRightInd w:val="0"/>
        <w:spacing w:after="0" w:afterLines="0"/>
        <w:ind w:firstLine="640"/>
        <w:rPr>
          <w:rFonts w:ascii="宋体" w:hAnsi="宋体" w:eastAsia="仿宋_GB2312"/>
          <w:sz w:val="32"/>
        </w:rPr>
      </w:pPr>
      <w:r>
        <w:rPr>
          <w:rFonts w:hint="eastAsia" w:ascii="宋体" w:hAnsi="宋体" w:eastAsia="仿宋_GB2312"/>
          <w:sz w:val="32"/>
        </w:rPr>
        <w:t>在北京市各区域职能、城市空间结构基础上，根据城市产业功能布局、用地功能布局、人口规模分布等因素，对北京市进行景观照明分区。同一区域内的照明载体采用相同或相似的照明手段，使各个不同区域展现与其属性相符的夜间形象，使照明在宏观尺度上形成秩序。同时，建立时间与空间上全覆盖的规划平台，通过限定城市载体的照明主要指标，对城市规划区内未来的照明建设进行宏观指导，防止照明过度发展。（见图</w:t>
      </w:r>
      <w:r>
        <w:rPr>
          <w:rFonts w:ascii="宋体" w:hAnsi="宋体" w:eastAsia="仿宋_GB2312"/>
          <w:sz w:val="32"/>
        </w:rPr>
        <w:t>4</w:t>
      </w:r>
      <w:r>
        <w:rPr>
          <w:rFonts w:hint="eastAsia" w:ascii="宋体" w:hAnsi="宋体" w:eastAsia="仿宋_GB2312"/>
          <w:sz w:val="32"/>
        </w:rPr>
        <w:t>—</w:t>
      </w:r>
      <w:r>
        <w:rPr>
          <w:rFonts w:ascii="宋体" w:hAnsi="宋体" w:eastAsia="仿宋_GB2312"/>
          <w:sz w:val="32"/>
        </w:rPr>
        <w:t>1</w:t>
      </w:r>
      <w:r>
        <w:rPr>
          <w:rFonts w:hint="eastAsia" w:ascii="宋体" w:hAnsi="宋体" w:eastAsia="仿宋_GB2312"/>
          <w:sz w:val="32"/>
        </w:rPr>
        <w:t>北京市景观照明区划图、图</w:t>
      </w:r>
      <w:r>
        <w:rPr>
          <w:rFonts w:ascii="宋体" w:hAnsi="宋体" w:eastAsia="仿宋_GB2312"/>
          <w:sz w:val="32"/>
        </w:rPr>
        <w:t>4</w:t>
      </w:r>
      <w:r>
        <w:rPr>
          <w:rFonts w:hint="eastAsia" w:ascii="宋体" w:hAnsi="宋体" w:eastAsia="仿宋_GB2312"/>
          <w:sz w:val="32"/>
        </w:rPr>
        <w:t>—</w:t>
      </w:r>
      <w:r>
        <w:rPr>
          <w:rFonts w:ascii="宋体" w:hAnsi="宋体" w:eastAsia="仿宋_GB2312"/>
          <w:sz w:val="32"/>
        </w:rPr>
        <w:t>2</w:t>
      </w:r>
      <w:r>
        <w:rPr>
          <w:rFonts w:hint="eastAsia" w:ascii="宋体" w:hAnsi="宋体" w:eastAsia="仿宋_GB2312"/>
          <w:sz w:val="32"/>
        </w:rPr>
        <w:t>北京市中心城景观照明区划图）</w:t>
      </w:r>
    </w:p>
    <w:p w14:paraId="6DA41E60">
      <w:pPr>
        <w:pStyle w:val="204"/>
        <w:adjustRightInd w:val="0"/>
        <w:spacing w:after="0" w:afterLines="0"/>
        <w:ind w:firstLine="640"/>
        <w:rPr>
          <w:rFonts w:ascii="宋体" w:hAnsi="宋体" w:eastAsia="仿宋_GB2312"/>
          <w:sz w:val="32"/>
        </w:rPr>
      </w:pPr>
      <w:r>
        <w:rPr>
          <w:rFonts w:hint="eastAsia" w:ascii="宋体" w:hAnsi="宋体" w:eastAsia="仿宋_GB2312"/>
          <w:sz w:val="32"/>
        </w:rPr>
        <w:t>特级照明区：在一类照明区基础上，具有重要景观照明价值的标志性建筑。能够突出展示北京政治中心、文化中心、国际交往中心、科技创新中心夜间风貌的区域。</w:t>
      </w:r>
    </w:p>
    <w:p w14:paraId="2512EFF3">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一类照明区：以商业金融用地、市政公共设施用地、体育用地为主，夜间具有大量商业、娱乐活动，人流集中，能充分体现城市的活力。 </w:t>
      </w:r>
    </w:p>
    <w:p w14:paraId="398B4F2C">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二类照明区：以居住用地、教育科研设计用地、广场停车场用地为主，夜间人流量稍小，但属于城市夜间景观的重要组成部分。 </w:t>
      </w:r>
    </w:p>
    <w:p w14:paraId="46116845">
      <w:pPr>
        <w:pStyle w:val="204"/>
        <w:adjustRightInd w:val="0"/>
        <w:spacing w:after="0" w:afterLines="0"/>
        <w:ind w:firstLine="640"/>
        <w:rPr>
          <w:rFonts w:ascii="宋体" w:hAnsi="宋体" w:eastAsia="仿宋_GB2312"/>
          <w:sz w:val="32"/>
        </w:rPr>
      </w:pPr>
      <w:r>
        <w:rPr>
          <w:rFonts w:hint="eastAsia" w:ascii="宋体" w:hAnsi="宋体" w:eastAsia="仿宋_GB2312"/>
          <w:sz w:val="32"/>
        </w:rPr>
        <w:t>三类照明区：以文物古迹用地、公共服务设施用地、混合用地、绿地为主，对景观照明有严格控制要求的区域或景观价值相对较低，以功能照明需求为主的建筑载体。</w:t>
      </w:r>
    </w:p>
    <w:p w14:paraId="668B5D1F">
      <w:pPr>
        <w:pStyle w:val="204"/>
        <w:adjustRightInd w:val="0"/>
        <w:spacing w:after="0" w:afterLines="0"/>
        <w:ind w:firstLine="640"/>
        <w:rPr>
          <w:rFonts w:ascii="宋体" w:hAnsi="宋体" w:eastAsia="仿宋_GB2312"/>
          <w:sz w:val="32"/>
        </w:rPr>
      </w:pPr>
      <w:r>
        <w:rPr>
          <w:rFonts w:hint="eastAsia" w:ascii="宋体" w:hAnsi="宋体" w:eastAsia="仿宋_GB2312"/>
          <w:sz w:val="32"/>
        </w:rPr>
        <w:t>四类照明区：由工业用地、农业用地、仓储用地、特殊用地、机场用地、铁路用地、生产防护绿地、林地、自然保护区构成。对夜间环境亮度控制严格，保持城市暗环境。</w:t>
      </w:r>
    </w:p>
    <w:p w14:paraId="6254CA93">
      <w:pPr>
        <w:pStyle w:val="2"/>
        <w:numPr>
          <w:ilvl w:val="0"/>
          <w:numId w:val="22"/>
        </w:numPr>
        <w:spacing w:before="0" w:beforeLines="0" w:after="0" w:afterLines="0"/>
        <w:ind w:firstLine="640" w:firstLineChars="200"/>
        <w:rPr>
          <w:rFonts w:ascii="宋体" w:hAnsi="宋体" w:eastAsia="楷体_GB2312" w:cs="楷体_GB2312"/>
          <w:b w:val="0"/>
          <w:color w:val="auto"/>
        </w:rPr>
      </w:pPr>
      <w:bookmarkStart w:id="422" w:name="_Toc87462372"/>
      <w:r>
        <w:rPr>
          <w:rFonts w:hint="eastAsia" w:ascii="宋体" w:hAnsi="宋体" w:eastAsia="楷体_GB2312" w:cs="楷体_GB2312"/>
          <w:b w:val="0"/>
          <w:color w:val="auto"/>
        </w:rPr>
        <w:t>景观照明控制指标</w:t>
      </w:r>
      <w:bookmarkEnd w:id="422"/>
      <w:r>
        <w:rPr>
          <w:rFonts w:hint="eastAsia" w:ascii="宋体" w:hAnsi="宋体" w:eastAsia="楷体_GB2312" w:cs="楷体_GB2312"/>
          <w:b w:val="0"/>
          <w:color w:val="auto"/>
        </w:rPr>
        <w:t xml:space="preserve"> </w:t>
      </w:r>
    </w:p>
    <w:p w14:paraId="3E42D537">
      <w:pPr>
        <w:pStyle w:val="204"/>
        <w:adjustRightInd w:val="0"/>
        <w:spacing w:after="0" w:afterLines="0"/>
        <w:ind w:firstLine="640"/>
        <w:rPr>
          <w:rFonts w:ascii="宋体" w:hAnsi="宋体" w:eastAsia="仿宋_GB2312"/>
          <w:sz w:val="32"/>
        </w:rPr>
      </w:pPr>
      <w:r>
        <w:rPr>
          <w:rFonts w:hint="eastAsia" w:ascii="宋体" w:hAnsi="宋体" w:eastAsia="仿宋_GB2312"/>
          <w:sz w:val="32"/>
        </w:rPr>
        <w:t>为实现城市照明资源的合理配置，对规划范围内一般载体，提出亮度、动态、光色三个控制指标，通过落实所在地块，获取控制要求。（详见第十三章 二、景观照明控制指标）</w:t>
      </w:r>
    </w:p>
    <w:p w14:paraId="3D65897C">
      <w:pPr>
        <w:pStyle w:val="205"/>
        <w:spacing w:before="156" w:after="156"/>
        <w:rPr>
          <w:rFonts w:ascii="宋体" w:hAnsi="宋体"/>
          <w:bCs w:val="0"/>
          <w:sz w:val="24"/>
          <w:szCs w:val="24"/>
        </w:rPr>
      </w:pPr>
      <w:r>
        <w:rPr>
          <w:rFonts w:hint="eastAsia" w:ascii="宋体" w:hAnsi="宋体"/>
          <w:bCs w:val="0"/>
          <w:sz w:val="24"/>
          <w:szCs w:val="24"/>
        </w:rPr>
        <w:t>表</w:t>
      </w:r>
      <w:r>
        <w:rPr>
          <w:rFonts w:ascii="宋体" w:hAnsi="宋体"/>
          <w:bCs w:val="0"/>
          <w:sz w:val="24"/>
          <w:szCs w:val="24"/>
        </w:rPr>
        <w:t>4</w:t>
      </w:r>
      <w:r>
        <w:rPr>
          <w:rFonts w:hint="eastAsia" w:ascii="宋体" w:hAnsi="宋体"/>
          <w:bCs w:val="0"/>
          <w:sz w:val="24"/>
          <w:szCs w:val="24"/>
        </w:rPr>
        <w:t>—1</w:t>
      </w:r>
      <w:r>
        <w:rPr>
          <w:rFonts w:ascii="宋体" w:hAnsi="宋体"/>
          <w:bCs w:val="0"/>
          <w:sz w:val="24"/>
          <w:szCs w:val="24"/>
        </w:rPr>
        <w:t xml:space="preserve"> </w:t>
      </w:r>
      <w:r>
        <w:rPr>
          <w:rFonts w:hint="eastAsia" w:ascii="宋体" w:hAnsi="宋体"/>
          <w:bCs w:val="0"/>
          <w:sz w:val="24"/>
          <w:szCs w:val="24"/>
        </w:rPr>
        <w:t>控制指标主要内容表</w:t>
      </w:r>
    </w:p>
    <w:tbl>
      <w:tblPr>
        <w:tblStyle w:val="191"/>
        <w:tblW w:w="8825" w:type="dxa"/>
        <w:jc w:val="center"/>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Layout w:type="fixed"/>
        <w:tblCellMar>
          <w:top w:w="0" w:type="dxa"/>
          <w:left w:w="108" w:type="dxa"/>
          <w:bottom w:w="0" w:type="dxa"/>
          <w:right w:w="108" w:type="dxa"/>
        </w:tblCellMar>
      </w:tblPr>
      <w:tblGrid>
        <w:gridCol w:w="1854"/>
        <w:gridCol w:w="1574"/>
        <w:gridCol w:w="5397"/>
      </w:tblGrid>
      <w:tr w14:paraId="322A6791">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664" w:hRule="exact"/>
          <w:jc w:val="center"/>
        </w:trPr>
        <w:tc>
          <w:tcPr>
            <w:tcW w:w="1854" w:type="dxa"/>
            <w:tcBorders>
              <w:bottom w:val="nil"/>
            </w:tcBorders>
            <w:vAlign w:val="center"/>
          </w:tcPr>
          <w:p w14:paraId="1C6D433C">
            <w:pPr>
              <w:pStyle w:val="190"/>
              <w:kinsoku w:val="0"/>
              <w:overflowPunct w:val="0"/>
              <w:jc w:val="center"/>
              <w:rPr>
                <w:rFonts w:ascii="宋体" w:hAnsi="宋体" w:eastAsia="仿宋_GB2312" w:cs="仿宋"/>
                <w:b/>
                <w:bCs/>
              </w:rPr>
            </w:pPr>
            <w:r>
              <w:rPr>
                <w:rFonts w:hint="eastAsia" w:ascii="宋体" w:hAnsi="宋体" w:eastAsia="仿宋_GB2312" w:cs="仿宋"/>
                <w:b w:val="0"/>
                <w:bCs w:val="0"/>
              </w:rPr>
              <w:t>等级划分</w:t>
            </w:r>
          </w:p>
        </w:tc>
        <w:tc>
          <w:tcPr>
            <w:tcW w:w="1574" w:type="dxa"/>
            <w:tcBorders>
              <w:bottom w:val="nil"/>
            </w:tcBorders>
            <w:vAlign w:val="center"/>
          </w:tcPr>
          <w:p w14:paraId="0DA8D950">
            <w:pPr>
              <w:pStyle w:val="190"/>
              <w:kinsoku w:val="0"/>
              <w:overflowPunct w:val="0"/>
              <w:jc w:val="center"/>
              <w:rPr>
                <w:rFonts w:ascii="宋体" w:hAnsi="宋体" w:eastAsia="仿宋_GB2312" w:cs="仿宋"/>
                <w:b/>
                <w:bCs/>
              </w:rPr>
            </w:pPr>
            <w:r>
              <w:rPr>
                <w:rFonts w:hint="eastAsia" w:ascii="宋体" w:hAnsi="宋体" w:eastAsia="仿宋_GB2312" w:cs="仿宋"/>
                <w:b w:val="0"/>
                <w:bCs w:val="0"/>
              </w:rPr>
              <w:t>控制要点</w:t>
            </w:r>
          </w:p>
        </w:tc>
        <w:tc>
          <w:tcPr>
            <w:tcW w:w="5397" w:type="dxa"/>
            <w:tcBorders>
              <w:bottom w:val="nil"/>
            </w:tcBorders>
            <w:vAlign w:val="center"/>
          </w:tcPr>
          <w:p w14:paraId="523C62EA">
            <w:pPr>
              <w:pStyle w:val="190"/>
              <w:kinsoku w:val="0"/>
              <w:overflowPunct w:val="0"/>
              <w:jc w:val="center"/>
              <w:rPr>
                <w:rFonts w:ascii="宋体" w:hAnsi="宋体" w:eastAsia="仿宋_GB2312" w:cs="仿宋"/>
                <w:b/>
                <w:bCs/>
              </w:rPr>
            </w:pPr>
            <w:r>
              <w:rPr>
                <w:rFonts w:hint="eastAsia" w:ascii="宋体" w:hAnsi="宋体" w:eastAsia="仿宋_GB2312" w:cs="仿宋"/>
                <w:b w:val="0"/>
                <w:bCs w:val="0"/>
              </w:rPr>
              <w:t>技术指标</w:t>
            </w:r>
          </w:p>
        </w:tc>
      </w:tr>
      <w:tr w14:paraId="5AC0ED90">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632" w:hRule="exact"/>
          <w:jc w:val="center"/>
        </w:trPr>
        <w:tc>
          <w:tcPr>
            <w:tcW w:w="1854" w:type="dxa"/>
            <w:vMerge w:val="restart"/>
            <w:vAlign w:val="center"/>
          </w:tcPr>
          <w:p w14:paraId="174E53E7">
            <w:pPr>
              <w:pStyle w:val="190"/>
              <w:kinsoku w:val="0"/>
              <w:overflowPunct w:val="0"/>
              <w:jc w:val="center"/>
              <w:rPr>
                <w:rFonts w:ascii="宋体" w:hAnsi="宋体" w:eastAsia="仿宋_GB2312" w:cs="仿宋"/>
                <w:b/>
                <w:bCs/>
                <w:kern w:val="2"/>
              </w:rPr>
            </w:pPr>
            <w:r>
              <w:rPr>
                <w:rFonts w:hint="eastAsia" w:ascii="宋体" w:hAnsi="宋体" w:eastAsia="仿宋_GB2312" w:cs="仿宋"/>
                <w:b w:val="0"/>
                <w:bCs w:val="0"/>
                <w:kern w:val="2"/>
              </w:rPr>
              <w:t>照明分区；单体照明价值</w:t>
            </w:r>
          </w:p>
        </w:tc>
        <w:tc>
          <w:tcPr>
            <w:tcW w:w="1574" w:type="dxa"/>
            <w:vAlign w:val="center"/>
          </w:tcPr>
          <w:p w14:paraId="6E735FEE">
            <w:pPr>
              <w:pStyle w:val="190"/>
              <w:kinsoku w:val="0"/>
              <w:overflowPunct w:val="0"/>
              <w:jc w:val="center"/>
              <w:rPr>
                <w:rFonts w:ascii="宋体" w:hAnsi="宋体" w:eastAsia="仿宋_GB2312" w:cs="仿宋"/>
                <w:kern w:val="2"/>
              </w:rPr>
            </w:pPr>
            <w:r>
              <w:rPr>
                <w:rFonts w:hint="eastAsia" w:ascii="宋体" w:hAnsi="宋体" w:eastAsia="仿宋_GB2312" w:cs="仿宋"/>
                <w:kern w:val="2"/>
              </w:rPr>
              <w:t>平均亮度和水平照度</w:t>
            </w:r>
          </w:p>
        </w:tc>
        <w:tc>
          <w:tcPr>
            <w:tcW w:w="5397" w:type="dxa"/>
            <w:vAlign w:val="center"/>
          </w:tcPr>
          <w:p w14:paraId="3DB52A5A">
            <w:pPr>
              <w:pStyle w:val="190"/>
              <w:kinsoku w:val="0"/>
              <w:overflowPunct w:val="0"/>
              <w:jc w:val="center"/>
              <w:rPr>
                <w:rFonts w:ascii="宋体" w:hAnsi="宋体" w:eastAsia="仿宋_GB2312" w:cs="仿宋"/>
                <w:kern w:val="2"/>
              </w:rPr>
            </w:pPr>
            <w:r>
              <w:rPr>
                <w:rFonts w:hint="eastAsia" w:ascii="宋体" w:hAnsi="宋体" w:eastAsia="仿宋_GB2312" w:cs="仿宋"/>
                <w:kern w:val="2"/>
              </w:rPr>
              <w:t>特级、一级、二级、三级、四级照明</w:t>
            </w:r>
          </w:p>
        </w:tc>
      </w:tr>
      <w:tr w14:paraId="35F458EE">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793" w:hRule="exact"/>
          <w:jc w:val="center"/>
        </w:trPr>
        <w:tc>
          <w:tcPr>
            <w:tcW w:w="1854" w:type="dxa"/>
            <w:vMerge w:val="continue"/>
            <w:vAlign w:val="center"/>
          </w:tcPr>
          <w:p w14:paraId="39012C06">
            <w:pPr>
              <w:pStyle w:val="190"/>
              <w:kinsoku w:val="0"/>
              <w:overflowPunct w:val="0"/>
              <w:jc w:val="center"/>
              <w:rPr>
                <w:rFonts w:ascii="宋体" w:hAnsi="宋体" w:eastAsia="仿宋_GB2312" w:cs="仿宋"/>
                <w:b/>
                <w:bCs/>
                <w:kern w:val="2"/>
              </w:rPr>
            </w:pPr>
          </w:p>
        </w:tc>
        <w:tc>
          <w:tcPr>
            <w:tcW w:w="1574" w:type="dxa"/>
            <w:vAlign w:val="center"/>
          </w:tcPr>
          <w:p w14:paraId="0D33877A">
            <w:pPr>
              <w:pStyle w:val="190"/>
              <w:kinsoku w:val="0"/>
              <w:overflowPunct w:val="0"/>
              <w:jc w:val="center"/>
              <w:rPr>
                <w:rFonts w:ascii="宋体" w:hAnsi="宋体" w:eastAsia="仿宋_GB2312" w:cs="仿宋"/>
                <w:kern w:val="2"/>
              </w:rPr>
            </w:pPr>
            <w:r>
              <w:rPr>
                <w:rFonts w:hint="eastAsia" w:ascii="宋体" w:hAnsi="宋体" w:eastAsia="仿宋_GB2312" w:cs="仿宋"/>
                <w:kern w:val="2"/>
              </w:rPr>
              <w:t>动态</w:t>
            </w:r>
          </w:p>
        </w:tc>
        <w:tc>
          <w:tcPr>
            <w:tcW w:w="5397" w:type="dxa"/>
            <w:vAlign w:val="center"/>
          </w:tcPr>
          <w:p w14:paraId="77C3FCF4">
            <w:pPr>
              <w:pStyle w:val="190"/>
              <w:kinsoku w:val="0"/>
              <w:overflowPunct w:val="0"/>
              <w:jc w:val="center"/>
              <w:rPr>
                <w:rFonts w:ascii="宋体" w:hAnsi="宋体" w:eastAsia="仿宋_GB2312" w:cs="仿宋"/>
                <w:kern w:val="2"/>
              </w:rPr>
            </w:pPr>
            <w:r>
              <w:rPr>
                <w:rFonts w:hint="eastAsia" w:ascii="宋体" w:hAnsi="宋体" w:eastAsia="仿宋_GB2312" w:cs="仿宋"/>
                <w:kern w:val="2"/>
              </w:rPr>
              <w:t>静态、缓慢动态、动态不限</w:t>
            </w:r>
          </w:p>
        </w:tc>
      </w:tr>
      <w:tr w14:paraId="108D960B">
        <w:tblPrEx>
          <w:tblBorders>
            <w:top w:val="single" w:color="7E7E7E" w:themeColor="text1" w:themeTint="80" w:sz="8" w:space="0"/>
            <w:left w:val="single" w:color="7E7E7E" w:themeColor="text1" w:themeTint="80" w:sz="8" w:space="0"/>
            <w:bottom w:val="single" w:color="7E7E7E" w:themeColor="text1" w:themeTint="80" w:sz="8" w:space="0"/>
            <w:right w:val="single" w:color="7E7E7E" w:themeColor="text1" w:themeTint="80" w:sz="8" w:space="0"/>
            <w:insideH w:val="single" w:color="7E7E7E" w:themeColor="text1" w:themeTint="80" w:sz="8" w:space="0"/>
            <w:insideV w:val="single" w:color="7E7E7E" w:themeColor="text1" w:themeTint="80" w:sz="8" w:space="0"/>
          </w:tblBorders>
          <w:tblCellMar>
            <w:top w:w="0" w:type="dxa"/>
            <w:left w:w="108" w:type="dxa"/>
            <w:bottom w:w="0" w:type="dxa"/>
            <w:right w:w="108" w:type="dxa"/>
          </w:tblCellMar>
        </w:tblPrEx>
        <w:trPr>
          <w:trHeight w:val="1327" w:hRule="exact"/>
          <w:jc w:val="center"/>
        </w:trPr>
        <w:tc>
          <w:tcPr>
            <w:tcW w:w="1854" w:type="dxa"/>
            <w:vMerge w:val="continue"/>
            <w:vAlign w:val="center"/>
          </w:tcPr>
          <w:p w14:paraId="0369E507">
            <w:pPr>
              <w:pStyle w:val="190"/>
              <w:kinsoku w:val="0"/>
              <w:overflowPunct w:val="0"/>
              <w:jc w:val="center"/>
              <w:rPr>
                <w:rFonts w:ascii="宋体" w:hAnsi="宋体" w:eastAsia="仿宋_GB2312" w:cs="仿宋"/>
                <w:b/>
                <w:bCs/>
                <w:kern w:val="2"/>
              </w:rPr>
            </w:pPr>
          </w:p>
        </w:tc>
        <w:tc>
          <w:tcPr>
            <w:tcW w:w="1574" w:type="dxa"/>
            <w:vAlign w:val="center"/>
          </w:tcPr>
          <w:p w14:paraId="7EE8DA5E">
            <w:pPr>
              <w:pStyle w:val="190"/>
              <w:kinsoku w:val="0"/>
              <w:overflowPunct w:val="0"/>
              <w:jc w:val="center"/>
              <w:rPr>
                <w:rFonts w:ascii="宋体" w:hAnsi="宋体" w:eastAsia="仿宋_GB2312" w:cs="仿宋"/>
                <w:kern w:val="2"/>
              </w:rPr>
            </w:pPr>
            <w:r>
              <w:rPr>
                <w:rFonts w:hint="eastAsia" w:ascii="宋体" w:hAnsi="宋体" w:eastAsia="仿宋_GB2312" w:cs="仿宋"/>
                <w:kern w:val="2"/>
              </w:rPr>
              <w:t>光色及彩光比例</w:t>
            </w:r>
          </w:p>
        </w:tc>
        <w:tc>
          <w:tcPr>
            <w:tcW w:w="5397" w:type="dxa"/>
            <w:vAlign w:val="center"/>
          </w:tcPr>
          <w:p w14:paraId="1277A5E1">
            <w:pPr>
              <w:pStyle w:val="190"/>
              <w:kinsoku w:val="0"/>
              <w:overflowPunct w:val="0"/>
              <w:jc w:val="center"/>
              <w:rPr>
                <w:rFonts w:ascii="宋体" w:hAnsi="宋体" w:eastAsia="仿宋_GB2312" w:cs="仿宋"/>
                <w:kern w:val="2"/>
              </w:rPr>
            </w:pPr>
            <w:r>
              <w:rPr>
                <w:rFonts w:hint="eastAsia" w:ascii="宋体" w:hAnsi="宋体" w:eastAsia="仿宋_GB2312" w:cs="仿宋"/>
                <w:kern w:val="2"/>
              </w:rPr>
              <w:t>暖色表、中间色表、特殊色表、禁止彩光、</w:t>
            </w:r>
            <w:r>
              <w:rPr>
                <w:rFonts w:ascii="宋体" w:hAnsi="宋体" w:eastAsia="仿宋_GB2312" w:cs="仿宋"/>
                <w:kern w:val="2"/>
              </w:rPr>
              <w:t>30%</w:t>
            </w:r>
            <w:r>
              <w:rPr>
                <w:rFonts w:hint="eastAsia" w:ascii="宋体" w:hAnsi="宋体" w:eastAsia="仿宋_GB2312" w:cs="仿宋"/>
                <w:kern w:val="2"/>
              </w:rPr>
              <w:t>局部彩光、</w:t>
            </w:r>
            <w:r>
              <w:rPr>
                <w:rFonts w:ascii="宋体" w:hAnsi="宋体" w:eastAsia="仿宋_GB2312" w:cs="仿宋"/>
                <w:kern w:val="2"/>
              </w:rPr>
              <w:t>50%</w:t>
            </w:r>
            <w:r>
              <w:rPr>
                <w:rFonts w:hint="eastAsia" w:ascii="宋体" w:hAnsi="宋体" w:eastAsia="仿宋_GB2312" w:cs="仿宋"/>
                <w:kern w:val="2"/>
              </w:rPr>
              <w:t>局部彩光、光色不限</w:t>
            </w:r>
          </w:p>
        </w:tc>
      </w:tr>
    </w:tbl>
    <w:p w14:paraId="259DB473">
      <w:pPr>
        <w:pStyle w:val="204"/>
        <w:spacing w:after="0" w:afterLines="0" w:line="20" w:lineRule="exact"/>
        <w:ind w:firstLine="600"/>
        <w:rPr>
          <w:rFonts w:ascii="宋体" w:hAnsi="宋体" w:cs="仿宋_GB2312"/>
          <w:kern w:val="0"/>
        </w:rPr>
      </w:pPr>
    </w:p>
    <w:p w14:paraId="1F494FAE">
      <w:pPr>
        <w:pStyle w:val="5"/>
        <w:rPr>
          <w:rStyle w:val="194"/>
          <w:rFonts w:ascii="宋体" w:hAnsi="宋体" w:eastAsia="方正小标宋简体" w:cs="方正小标宋简体"/>
          <w:b w:val="0"/>
          <w:bCs w:val="0"/>
        </w:rPr>
      </w:pPr>
      <w:bookmarkStart w:id="423" w:name="_Toc9998"/>
      <w:bookmarkStart w:id="424" w:name="_Toc17153"/>
      <w:bookmarkStart w:id="425" w:name="_Toc88656233"/>
      <w:bookmarkStart w:id="426" w:name="_Toc26109"/>
      <w:bookmarkStart w:id="427" w:name="_Toc28510"/>
      <w:bookmarkStart w:id="428" w:name="_Toc8593"/>
      <w:r>
        <w:rPr>
          <w:rStyle w:val="194"/>
          <w:rFonts w:hint="eastAsia" w:ascii="宋体" w:hAnsi="宋体" w:eastAsia="方正小标宋简体" w:cs="方正小标宋简体"/>
          <w:b w:val="0"/>
          <w:bCs w:val="0"/>
        </w:rPr>
        <w:t>绿色生态，全生命周期管理</w:t>
      </w:r>
      <w:bookmarkEnd w:id="423"/>
      <w:bookmarkEnd w:id="424"/>
      <w:bookmarkEnd w:id="425"/>
      <w:bookmarkEnd w:id="426"/>
      <w:bookmarkEnd w:id="427"/>
      <w:bookmarkEnd w:id="428"/>
    </w:p>
    <w:p w14:paraId="7D3F3C15">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29" w:name="_Toc30872"/>
      <w:bookmarkStart w:id="430" w:name="_Toc3407"/>
      <w:bookmarkStart w:id="431" w:name="_Toc22578"/>
      <w:bookmarkStart w:id="432" w:name="_Toc88656234"/>
      <w:bookmarkStart w:id="433" w:name="_Toc32428"/>
      <w:bookmarkStart w:id="434" w:name="_Toc9888"/>
      <w:bookmarkStart w:id="435" w:name="_Hlk87459842"/>
      <w:r>
        <w:rPr>
          <w:rFonts w:hint="eastAsia" w:ascii="宋体" w:hAnsi="宋体" w:eastAsia="黑体" w:cs="黑体"/>
          <w:b w:val="0"/>
          <w:sz w:val="32"/>
        </w:rPr>
        <w:t>一、“暗天空”保护</w:t>
      </w:r>
      <w:bookmarkEnd w:id="429"/>
      <w:bookmarkEnd w:id="430"/>
      <w:bookmarkEnd w:id="431"/>
      <w:bookmarkEnd w:id="432"/>
      <w:bookmarkEnd w:id="433"/>
      <w:bookmarkEnd w:id="434"/>
    </w:p>
    <w:p w14:paraId="22831A7C">
      <w:pPr>
        <w:pStyle w:val="204"/>
        <w:adjustRightInd w:val="0"/>
        <w:spacing w:after="0" w:afterLines="0"/>
        <w:ind w:firstLine="640"/>
        <w:rPr>
          <w:rFonts w:ascii="宋体" w:hAnsi="宋体" w:eastAsia="仿宋_GB2312"/>
          <w:sz w:val="32"/>
        </w:rPr>
      </w:pPr>
      <w:r>
        <w:rPr>
          <w:rFonts w:hint="eastAsia" w:ascii="宋体" w:hAnsi="宋体" w:eastAsia="仿宋_GB2312"/>
          <w:sz w:val="32"/>
        </w:rPr>
        <w:t>与《北京市城市景观照明设计导则》相匹配，将城市载体按用地性质划分成四类环境区，其中专门设立“暗天空”保护区（P1区），严格控制景观照明及上射光。（详见第十三章 五、“暗天空”保护控制指标）</w:t>
      </w:r>
    </w:p>
    <w:p w14:paraId="732314E3">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36" w:name="_Toc25053"/>
      <w:bookmarkStart w:id="437" w:name="_Toc24259"/>
      <w:bookmarkStart w:id="438" w:name="_Toc88656235"/>
      <w:bookmarkStart w:id="439" w:name="_Toc26750"/>
      <w:bookmarkStart w:id="440" w:name="_Toc19660"/>
      <w:bookmarkStart w:id="441" w:name="_Toc8300"/>
      <w:r>
        <w:rPr>
          <w:rFonts w:hint="eastAsia" w:ascii="宋体" w:hAnsi="宋体" w:eastAsia="黑体" w:cs="黑体"/>
          <w:b w:val="0"/>
          <w:sz w:val="32"/>
        </w:rPr>
        <w:t>二、光污染防治</w:t>
      </w:r>
      <w:bookmarkEnd w:id="436"/>
      <w:bookmarkEnd w:id="437"/>
      <w:bookmarkEnd w:id="438"/>
      <w:bookmarkEnd w:id="439"/>
      <w:bookmarkEnd w:id="440"/>
      <w:bookmarkEnd w:id="441"/>
    </w:p>
    <w:p w14:paraId="401A2100">
      <w:pPr>
        <w:pStyle w:val="204"/>
        <w:adjustRightInd w:val="0"/>
        <w:spacing w:after="0" w:afterLines="0"/>
        <w:ind w:firstLine="640"/>
        <w:rPr>
          <w:rFonts w:ascii="宋体" w:hAnsi="宋体" w:eastAsia="仿宋_GB2312"/>
          <w:sz w:val="32"/>
        </w:rPr>
      </w:pPr>
      <w:r>
        <w:rPr>
          <w:rFonts w:hint="eastAsia" w:ascii="宋体" w:hAnsi="宋体" w:eastAsia="仿宋_GB2312"/>
          <w:sz w:val="32"/>
        </w:rPr>
        <w:t>执行住房和城乡建设部《绿色照明检测及评价标准（GB/T 51268—2017）》和《室外照明干扰光限制规范（GB/T35626—2017）》中对于居住区居室窗户外表面上垂直照度的限制，逐步完善居住区周边光污染防治工作，提升居住区周边光污染治理能力。（详见第十三章 六、光污染防治控制指标）</w:t>
      </w:r>
    </w:p>
    <w:bookmarkEnd w:id="435"/>
    <w:p w14:paraId="590FDF4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42" w:name="_Toc13935"/>
      <w:bookmarkStart w:id="443" w:name="_Toc7804"/>
      <w:bookmarkStart w:id="444" w:name="_Toc88656236"/>
      <w:bookmarkStart w:id="445" w:name="_Toc7024"/>
      <w:bookmarkStart w:id="446" w:name="_Toc15525"/>
      <w:bookmarkStart w:id="447" w:name="_Toc13108"/>
      <w:r>
        <w:rPr>
          <w:rFonts w:hint="eastAsia" w:ascii="宋体" w:hAnsi="宋体" w:eastAsia="黑体" w:cs="黑体"/>
          <w:b w:val="0"/>
          <w:sz w:val="32"/>
        </w:rPr>
        <w:t>三、全生命周期</w:t>
      </w:r>
      <w:bookmarkEnd w:id="442"/>
      <w:bookmarkEnd w:id="443"/>
      <w:bookmarkEnd w:id="444"/>
      <w:bookmarkEnd w:id="445"/>
      <w:bookmarkEnd w:id="446"/>
      <w:bookmarkEnd w:id="447"/>
    </w:p>
    <w:p w14:paraId="71A7C1D9">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48" w:name="_Toc87462377"/>
      <w:bookmarkStart w:id="449" w:name="_Toc87455722"/>
      <w:r>
        <w:rPr>
          <w:rFonts w:hint="eastAsia" w:ascii="宋体" w:hAnsi="宋体" w:eastAsia="楷体_GB2312" w:cs="楷体_GB2312"/>
          <w:b w:val="0"/>
          <w:color w:val="auto"/>
        </w:rPr>
        <w:t>规划设计阶段</w:t>
      </w:r>
      <w:bookmarkEnd w:id="448"/>
      <w:bookmarkEnd w:id="449"/>
    </w:p>
    <w:p w14:paraId="0FF3A4E2">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1</w:t>
      </w:r>
      <w:r>
        <w:rPr>
          <w:rFonts w:hint="eastAsia" w:ascii="宋体" w:hAnsi="宋体" w:eastAsia="仿宋_GB2312"/>
          <w:sz w:val="32"/>
        </w:rPr>
        <w:t>.</w:t>
      </w:r>
      <w:r>
        <w:rPr>
          <w:rFonts w:hint="eastAsia" w:ascii="宋体" w:hAnsi="宋体" w:eastAsia="仿宋_GB2312"/>
          <w:sz w:val="32"/>
          <w:lang w:eastAsia="zh-Hans"/>
        </w:rPr>
        <w:t>明确全生命周期绿色控制目标</w:t>
      </w:r>
      <w:r>
        <w:rPr>
          <w:rFonts w:hint="eastAsia" w:ascii="宋体" w:hAnsi="宋体" w:eastAsia="仿宋_GB2312"/>
          <w:sz w:val="32"/>
        </w:rPr>
        <w:t>和</w:t>
      </w:r>
      <w:r>
        <w:rPr>
          <w:rFonts w:hint="eastAsia" w:ascii="宋体" w:hAnsi="宋体" w:eastAsia="仿宋_GB2312"/>
          <w:sz w:val="32"/>
          <w:lang w:eastAsia="zh-Hans"/>
        </w:rPr>
        <w:t>舒适安全、绿色环保、经济节能的基本目的，在进行照明设计时，考虑全寿命经济性的评估，包括评估工程初始投资、电气使用耗损和电力支出、维护费用等，以获得长期节约能源与投资的目的。</w:t>
      </w:r>
    </w:p>
    <w:p w14:paraId="44C105A4">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2</w:t>
      </w:r>
      <w:r>
        <w:rPr>
          <w:rFonts w:hint="eastAsia" w:ascii="宋体" w:hAnsi="宋体" w:eastAsia="仿宋_GB2312"/>
          <w:sz w:val="32"/>
        </w:rPr>
        <w:t>.</w:t>
      </w:r>
      <w:r>
        <w:rPr>
          <w:rFonts w:hint="eastAsia" w:ascii="宋体" w:hAnsi="宋体" w:eastAsia="仿宋_GB2312"/>
          <w:sz w:val="32"/>
          <w:lang w:eastAsia="zh-Hans"/>
        </w:rPr>
        <w:t>保障功能照明，调研并根据所属区域季节特性、日落时刻、极端天气、道路状态等情况设计不同应对方案，合理确定照明设施开启与关闭时间，确保群众的基本出行安全。城市景观照明设计应优化设计对象，选择在美学上、体量平衡上或建筑立面上具有表现价值的建筑作为照明对象，缩小照明对象范围</w:t>
      </w:r>
      <w:r>
        <w:rPr>
          <w:rFonts w:hint="eastAsia" w:ascii="宋体" w:hAnsi="宋体" w:eastAsia="仿宋_GB2312"/>
          <w:sz w:val="32"/>
        </w:rPr>
        <w:t>，</w:t>
      </w:r>
      <w:r>
        <w:rPr>
          <w:rFonts w:hint="eastAsia" w:ascii="宋体" w:hAnsi="宋体" w:eastAsia="仿宋_GB2312"/>
          <w:sz w:val="32"/>
          <w:lang w:eastAsia="zh-Hans"/>
        </w:rPr>
        <w:t>有效减少能源消耗。</w:t>
      </w:r>
    </w:p>
    <w:p w14:paraId="4D86AD8C">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3</w:t>
      </w:r>
      <w:r>
        <w:rPr>
          <w:rFonts w:hint="eastAsia" w:ascii="宋体" w:hAnsi="宋体" w:eastAsia="仿宋_GB2312"/>
          <w:sz w:val="32"/>
        </w:rPr>
        <w:t>.</w:t>
      </w:r>
      <w:r>
        <w:rPr>
          <w:rFonts w:hint="eastAsia" w:ascii="宋体" w:hAnsi="宋体" w:eastAsia="仿宋_GB2312"/>
          <w:sz w:val="32"/>
          <w:lang w:eastAsia="zh-Hans"/>
        </w:rPr>
        <w:t>分析照明对象的功能、特征、风格、周围环境条件、主要视点视距，提出合适的照明方式。如玻璃幕墙不应采用泛光照明，低反射比（＜0.2）墙面和透光面积较大的外立面不宜采用泛光照明。</w:t>
      </w:r>
    </w:p>
    <w:p w14:paraId="01C1D216">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4</w:t>
      </w:r>
      <w:r>
        <w:rPr>
          <w:rFonts w:hint="eastAsia" w:ascii="宋体" w:hAnsi="宋体" w:eastAsia="仿宋_GB2312"/>
          <w:sz w:val="32"/>
        </w:rPr>
        <w:t>.</w:t>
      </w:r>
      <w:r>
        <w:rPr>
          <w:rFonts w:hint="eastAsia" w:ascii="宋体" w:hAnsi="宋体" w:eastAsia="仿宋_GB2312"/>
          <w:sz w:val="32"/>
          <w:lang w:eastAsia="zh-Hans"/>
        </w:rPr>
        <w:t>提交的景观照明设计文件应规范而完整，除方案及效果表述外，还应说明节能环保措施及电气控制系统情况，以便城市景观照明管理部门对用电与投资有较为确切的把握。</w:t>
      </w:r>
    </w:p>
    <w:p w14:paraId="0DC1397B">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0" w:name="_Toc87462378"/>
      <w:bookmarkStart w:id="451" w:name="_Toc87455723"/>
      <w:r>
        <w:rPr>
          <w:rFonts w:hint="eastAsia" w:ascii="宋体" w:hAnsi="宋体" w:eastAsia="楷体_GB2312" w:cs="楷体_GB2312"/>
          <w:b w:val="0"/>
          <w:color w:val="auto"/>
        </w:rPr>
        <w:t>建设实施阶段</w:t>
      </w:r>
      <w:bookmarkEnd w:id="450"/>
      <w:bookmarkEnd w:id="451"/>
    </w:p>
    <w:p w14:paraId="3D2BDF09">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照明建设严格按城市照明规划实施，保证功能照明的前提下，对各类照明区域内不同性质的建构筑物和开放空间明确光污染及能耗控制指标要求；严格规划审批，控制景观照明的范围和规模，加强设计方案的论证和审查。</w:t>
      </w:r>
    </w:p>
    <w:p w14:paraId="01A8905B">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2" w:name="_Toc87455724"/>
      <w:bookmarkStart w:id="453" w:name="_Toc87462379"/>
      <w:r>
        <w:rPr>
          <w:rFonts w:hint="eastAsia" w:ascii="宋体" w:hAnsi="宋体" w:eastAsia="楷体_GB2312" w:cs="楷体_GB2312"/>
          <w:b w:val="0"/>
          <w:color w:val="auto"/>
        </w:rPr>
        <w:t>运行维护阶段</w:t>
      </w:r>
      <w:bookmarkEnd w:id="452"/>
      <w:bookmarkEnd w:id="453"/>
    </w:p>
    <w:p w14:paraId="54518A2B">
      <w:pPr>
        <w:pStyle w:val="204"/>
        <w:adjustRightInd w:val="0"/>
        <w:spacing w:after="0" w:afterLines="0"/>
        <w:ind w:firstLine="640"/>
        <w:rPr>
          <w:rFonts w:ascii="宋体" w:hAnsi="宋体" w:eastAsia="仿宋_GB2312"/>
          <w:sz w:val="32"/>
        </w:rPr>
      </w:pPr>
      <w:r>
        <w:rPr>
          <w:rFonts w:hint="eastAsia" w:ascii="宋体" w:hAnsi="宋体" w:eastAsia="仿宋_GB2312"/>
          <w:sz w:val="32"/>
          <w:lang w:eastAsia="zh-Hans"/>
        </w:rPr>
        <w:t>积极回收、响应、解决群众对于景观照明与功能照明的建议，及时维护问题灯具，调整灯具角度，</w:t>
      </w:r>
      <w:r>
        <w:rPr>
          <w:rFonts w:hint="eastAsia" w:ascii="宋体" w:hAnsi="宋体" w:eastAsia="仿宋_GB2312"/>
          <w:sz w:val="32"/>
        </w:rPr>
        <w:t>会同</w:t>
      </w:r>
      <w:r>
        <w:rPr>
          <w:rFonts w:hint="eastAsia" w:ascii="宋体" w:hAnsi="宋体" w:eastAsia="仿宋_GB2312"/>
          <w:sz w:val="32"/>
          <w:lang w:eastAsia="zh-Hans"/>
        </w:rPr>
        <w:t>园林绿化部门定期修剪树木，保持城市夜景照明舒适环境。</w:t>
      </w:r>
    </w:p>
    <w:p w14:paraId="31D257AE">
      <w:pPr>
        <w:pStyle w:val="2"/>
        <w:numPr>
          <w:ilvl w:val="0"/>
          <w:numId w:val="23"/>
        </w:numPr>
        <w:spacing w:before="0" w:beforeLines="0" w:after="0" w:afterLines="0"/>
        <w:ind w:firstLine="640" w:firstLineChars="200"/>
        <w:rPr>
          <w:rFonts w:ascii="宋体" w:hAnsi="宋体" w:eastAsia="楷体_GB2312" w:cs="楷体_GB2312"/>
          <w:b w:val="0"/>
          <w:color w:val="auto"/>
        </w:rPr>
      </w:pPr>
      <w:bookmarkStart w:id="454" w:name="_Toc87462380"/>
      <w:bookmarkStart w:id="455" w:name="_Toc87455725"/>
      <w:r>
        <w:rPr>
          <w:rFonts w:hint="eastAsia" w:ascii="宋体" w:hAnsi="宋体" w:eastAsia="楷体_GB2312" w:cs="楷体_GB2312"/>
          <w:b w:val="0"/>
          <w:color w:val="auto"/>
        </w:rPr>
        <w:t>回收阶段</w:t>
      </w:r>
      <w:bookmarkEnd w:id="454"/>
      <w:bookmarkEnd w:id="455"/>
    </w:p>
    <w:p w14:paraId="2C1E1025">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根据各个光污染控制区内照明设施的量化指标，定期检测灯具对光污染的影响，及时制定相关防治措施，减少光污染影响。</w:t>
      </w:r>
    </w:p>
    <w:p w14:paraId="2CE97855">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在照明设备充分利旧的前提下，建立明确易执行的各类照明设施使用年限标准、翻新维修细则、分类回收制度，对到达使用年限的照明设施进行改造，使翻新维修过程高效，回收过程绿色透明。</w:t>
      </w:r>
    </w:p>
    <w:p w14:paraId="1EF8B1C0">
      <w:pPr>
        <w:pStyle w:val="5"/>
        <w:rPr>
          <w:rStyle w:val="194"/>
          <w:rFonts w:ascii="宋体" w:hAnsi="宋体" w:eastAsia="方正小标宋简体" w:cs="方正小标宋简体"/>
          <w:b w:val="0"/>
          <w:bCs w:val="0"/>
        </w:rPr>
      </w:pPr>
      <w:bookmarkStart w:id="456" w:name="_Toc8647"/>
      <w:bookmarkStart w:id="457" w:name="_Toc7368"/>
      <w:bookmarkStart w:id="458" w:name="_Toc12731"/>
      <w:bookmarkStart w:id="459" w:name="_Toc10116"/>
      <w:bookmarkStart w:id="460" w:name="_Toc20267"/>
      <w:bookmarkStart w:id="461" w:name="_Toc88656237"/>
      <w:r>
        <w:rPr>
          <w:rStyle w:val="194"/>
          <w:rFonts w:hint="eastAsia" w:ascii="宋体" w:hAnsi="宋体" w:eastAsia="方正小标宋简体" w:cs="方正小标宋简体"/>
          <w:b w:val="0"/>
          <w:bCs w:val="0"/>
        </w:rPr>
        <w:t>特色格局，营造四种夜间氛围</w:t>
      </w:r>
      <w:bookmarkEnd w:id="456"/>
      <w:bookmarkEnd w:id="457"/>
      <w:bookmarkEnd w:id="458"/>
      <w:bookmarkEnd w:id="459"/>
      <w:bookmarkEnd w:id="460"/>
      <w:bookmarkEnd w:id="461"/>
    </w:p>
    <w:p w14:paraId="055E196C">
      <w:pPr>
        <w:pStyle w:val="204"/>
        <w:adjustRightInd w:val="0"/>
        <w:spacing w:after="0" w:afterLines="0"/>
        <w:ind w:firstLine="640"/>
        <w:rPr>
          <w:rFonts w:ascii="宋体" w:hAnsi="宋体" w:eastAsia="仿宋_GB2312"/>
          <w:sz w:val="32"/>
        </w:rPr>
      </w:pPr>
      <w:r>
        <w:rPr>
          <w:rFonts w:hint="eastAsia" w:ascii="宋体" w:hAnsi="宋体" w:eastAsia="仿宋_GB2312"/>
          <w:sz w:val="32"/>
        </w:rPr>
        <w:t>强化首都夜间“庄重大气的政治中心、古今交融的文化中心、壮丽有序的国际交往中心、简洁高效的科技创新中心”四种照明氛围，落实“一核一主一副、两轴多点一区”的城市空间结构，逐步完善“两轴、两带、三环、十八线、二十四区、滨水界面”的景观照明体系。整合重点区域夜景形象，控制夜景形态风貌，打造北京具有代表性的夜景名片，从重点区域入手，建设高品质夜间景观照明，引导城市内部景观差异化表现。详见《北京市城市景观照明设计导则》第三部分。</w:t>
      </w:r>
    </w:p>
    <w:p w14:paraId="3CBA23E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62" w:name="_Toc25861"/>
      <w:bookmarkStart w:id="463" w:name="_Toc88656238"/>
      <w:bookmarkStart w:id="464" w:name="_Toc21991"/>
      <w:bookmarkStart w:id="465" w:name="_Toc14628"/>
      <w:bookmarkStart w:id="466" w:name="_Toc29206"/>
      <w:bookmarkStart w:id="467" w:name="_Toc14869"/>
      <w:r>
        <w:rPr>
          <w:rFonts w:hint="eastAsia" w:ascii="宋体" w:hAnsi="宋体" w:eastAsia="黑体" w:cs="黑体"/>
          <w:b w:val="0"/>
          <w:sz w:val="32"/>
        </w:rPr>
        <w:t>一、庄重大气的政治中心</w:t>
      </w:r>
      <w:bookmarkEnd w:id="462"/>
      <w:bookmarkEnd w:id="463"/>
      <w:bookmarkEnd w:id="464"/>
      <w:bookmarkEnd w:id="465"/>
      <w:bookmarkEnd w:id="466"/>
      <w:bookmarkEnd w:id="467"/>
    </w:p>
    <w:p w14:paraId="17AF8119">
      <w:pPr>
        <w:pStyle w:val="204"/>
        <w:adjustRightInd w:val="0"/>
        <w:spacing w:after="0" w:afterLines="0"/>
        <w:ind w:firstLine="640"/>
        <w:rPr>
          <w:rFonts w:ascii="宋体" w:hAnsi="宋体" w:eastAsia="仿宋_GB2312"/>
          <w:sz w:val="32"/>
        </w:rPr>
      </w:pPr>
      <w:r>
        <w:rPr>
          <w:rFonts w:hint="eastAsia" w:ascii="宋体" w:hAnsi="宋体" w:eastAsia="仿宋_GB2312"/>
          <w:sz w:val="32"/>
        </w:rPr>
        <w:t>优化首都功能核心区景观照明品质，以天安门广场为核心，强化“两轴、一环”的地位，补充完善未建设景观照明的重要载体，形成有序的夜间观景界面。</w:t>
      </w:r>
    </w:p>
    <w:p w14:paraId="2675D779">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68" w:name="_Toc32007"/>
      <w:bookmarkStart w:id="469" w:name="_Toc22821"/>
      <w:bookmarkStart w:id="470" w:name="_Toc3542"/>
      <w:bookmarkStart w:id="471" w:name="_Toc88656239"/>
      <w:bookmarkStart w:id="472" w:name="_Toc400"/>
      <w:bookmarkStart w:id="473" w:name="_Toc30231"/>
      <w:r>
        <w:rPr>
          <w:rFonts w:hint="eastAsia" w:ascii="宋体" w:hAnsi="宋体" w:eastAsia="黑体" w:cs="黑体"/>
          <w:b w:val="0"/>
          <w:sz w:val="32"/>
        </w:rPr>
        <w:t>二、古今交融的文化中心</w:t>
      </w:r>
      <w:bookmarkEnd w:id="468"/>
      <w:bookmarkEnd w:id="469"/>
      <w:bookmarkEnd w:id="470"/>
      <w:bookmarkEnd w:id="471"/>
      <w:bookmarkEnd w:id="472"/>
      <w:bookmarkEnd w:id="473"/>
    </w:p>
    <w:p w14:paraId="23219534">
      <w:pPr>
        <w:pStyle w:val="204"/>
        <w:adjustRightInd w:val="0"/>
        <w:spacing w:after="0" w:afterLines="0"/>
        <w:ind w:firstLine="640"/>
        <w:rPr>
          <w:rFonts w:ascii="宋体" w:hAnsi="宋体" w:eastAsia="仿宋_GB2312"/>
          <w:sz w:val="32"/>
        </w:rPr>
      </w:pPr>
      <w:r>
        <w:rPr>
          <w:rFonts w:hint="eastAsia" w:ascii="宋体" w:hAnsi="宋体" w:eastAsia="仿宋_GB2312"/>
          <w:sz w:val="32"/>
        </w:rPr>
        <w:t>突出北京历史文化整体价值，构建绿水青山、“两轴、十片、多点”的城市景观格局，以更开阔的视角不断挖掘历史文化内涵，提升夜间文化品位。</w:t>
      </w:r>
    </w:p>
    <w:p w14:paraId="6BA777C1">
      <w:pPr>
        <w:pStyle w:val="204"/>
        <w:adjustRightInd w:val="0"/>
        <w:spacing w:after="0" w:afterLines="0"/>
        <w:ind w:firstLine="640"/>
        <w:rPr>
          <w:rFonts w:ascii="宋体" w:hAnsi="宋体" w:eastAsia="仿宋_GB2312"/>
          <w:sz w:val="32"/>
        </w:rPr>
      </w:pPr>
      <w:r>
        <w:rPr>
          <w:rFonts w:hint="eastAsia" w:ascii="宋体" w:hAnsi="宋体" w:eastAsia="仿宋_GB2312"/>
          <w:sz w:val="32"/>
        </w:rPr>
        <w:t>结合老城区整体保护与复兴工作，对五道营胡同、东四胡同区域、南锣鼓巷、东交民巷、鲜鱼口、雍和宫区域等特色胡同街区进行景观照明改造，突出古都风韵；配合老城疏解与改造进度，丰富老城区内平安大街、两广路、西单、东单的夜景照明效果，提升夜间出行乐趣；突出历史和文化价值高地段的文化品位，优化什刹海—南锣鼓巷文化精华区、雍和宫—国子监文化精华区、琉璃厂—大栅栏—前门东文化精华区、皇城根遗址公园、明城墙遗址公园、天坛、地坛夜景，展示历史文化与传承，形成有夜间活力的历史场所，满足并丰富游客的夜间游览体验；保护明清北京城“凸”字形城廓，逐步复兴重要历史水系，展现六海映日月、八水绕京华的夜景景观，为市民提供有历史感和文化魅力的滨水开敞空间。</w:t>
      </w:r>
    </w:p>
    <w:p w14:paraId="55360DFA">
      <w:pPr>
        <w:pStyle w:val="204"/>
        <w:adjustRightInd w:val="0"/>
        <w:spacing w:after="0" w:afterLines="0"/>
        <w:ind w:firstLine="640"/>
        <w:rPr>
          <w:rFonts w:ascii="宋体" w:hAnsi="宋体" w:eastAsia="仿宋_GB2312"/>
          <w:sz w:val="32"/>
        </w:rPr>
      </w:pPr>
      <w:r>
        <w:rPr>
          <w:rFonts w:hint="eastAsia" w:ascii="宋体" w:hAnsi="宋体" w:eastAsia="仿宋_GB2312"/>
          <w:sz w:val="32"/>
        </w:rPr>
        <w:t>推进大运河文化带、西山永定河文化带的保护利用，让首都传统文化更多地惠及民众。以元明清时期的京杭大运河为保护利用重点，分主题、分区段提升夜间景观照明，增强文化遗产的游览性和趣味性；西山永定河文化带以恢复生态功能和历史文化景观为主，配合永定河区域规划进程同步景观照明建设，打造“秀水青山”，展现“一半山水一半城”的美丽姿态。</w:t>
      </w:r>
    </w:p>
    <w:p w14:paraId="5BFA6C89">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74" w:name="_Toc25856"/>
      <w:bookmarkStart w:id="475" w:name="_Toc17125"/>
      <w:bookmarkStart w:id="476" w:name="_Toc28568"/>
      <w:bookmarkStart w:id="477" w:name="_Toc31108"/>
      <w:bookmarkStart w:id="478" w:name="_Toc13037"/>
      <w:bookmarkStart w:id="479" w:name="_Toc88656240"/>
      <w:r>
        <w:rPr>
          <w:rFonts w:hint="eastAsia" w:ascii="宋体" w:hAnsi="宋体" w:eastAsia="黑体" w:cs="黑体"/>
          <w:b w:val="0"/>
          <w:sz w:val="32"/>
        </w:rPr>
        <w:t>三、壮丽有序的国际交往中心</w:t>
      </w:r>
      <w:bookmarkEnd w:id="474"/>
      <w:bookmarkEnd w:id="475"/>
      <w:bookmarkEnd w:id="476"/>
      <w:bookmarkEnd w:id="477"/>
      <w:bookmarkEnd w:id="478"/>
      <w:bookmarkEnd w:id="479"/>
    </w:p>
    <w:p w14:paraId="78FCEBED">
      <w:pPr>
        <w:pStyle w:val="204"/>
        <w:adjustRightInd w:val="0"/>
        <w:spacing w:after="0" w:afterLines="0"/>
        <w:ind w:firstLine="640"/>
        <w:rPr>
          <w:rFonts w:ascii="宋体" w:hAnsi="宋体" w:eastAsia="仿宋_GB2312"/>
          <w:sz w:val="32"/>
        </w:rPr>
      </w:pPr>
      <w:r>
        <w:rPr>
          <w:rFonts w:hint="eastAsia" w:ascii="宋体" w:hAnsi="宋体" w:eastAsia="仿宋_GB2312"/>
          <w:sz w:val="32"/>
        </w:rPr>
        <w:t>加强沿线重要桥体照明建设，以点带线串联路径。在现状照明基础上充分利旧，灵活创新，整体形成壮丽有序、大气迎宾的夜景氛围。借助北京城市副中心建设契机，将通州区与城市副中心的夜间环境作为整体考虑，构建蓝绿交织、清新明亮、水城共融的生态景象。</w:t>
      </w:r>
    </w:p>
    <w:p w14:paraId="74F5C86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80" w:name="_Toc2778"/>
      <w:bookmarkStart w:id="481" w:name="_Toc7388"/>
      <w:bookmarkStart w:id="482" w:name="_Toc30733"/>
      <w:bookmarkStart w:id="483" w:name="_Toc15798"/>
      <w:bookmarkStart w:id="484" w:name="_Toc88656241"/>
      <w:bookmarkStart w:id="485" w:name="_Toc32436"/>
      <w:r>
        <w:rPr>
          <w:rFonts w:hint="eastAsia" w:ascii="宋体" w:hAnsi="宋体" w:eastAsia="黑体" w:cs="黑体"/>
          <w:b w:val="0"/>
          <w:sz w:val="32"/>
        </w:rPr>
        <w:t>四、简洁高效的科技创新中心</w:t>
      </w:r>
      <w:bookmarkEnd w:id="480"/>
      <w:bookmarkEnd w:id="481"/>
      <w:bookmarkEnd w:id="482"/>
      <w:bookmarkEnd w:id="483"/>
      <w:bookmarkEnd w:id="484"/>
      <w:bookmarkEnd w:id="485"/>
    </w:p>
    <w:p w14:paraId="4B8B5BBA">
      <w:pPr>
        <w:pStyle w:val="204"/>
        <w:adjustRightInd w:val="0"/>
        <w:spacing w:after="0" w:afterLines="0"/>
        <w:ind w:firstLine="640"/>
        <w:rPr>
          <w:rFonts w:ascii="宋体" w:hAnsi="宋体" w:eastAsia="仿宋_GB2312"/>
          <w:sz w:val="32"/>
        </w:rPr>
      </w:pPr>
      <w:r>
        <w:rPr>
          <w:rFonts w:hint="eastAsia" w:ascii="宋体" w:hAnsi="宋体" w:eastAsia="仿宋_GB2312"/>
          <w:sz w:val="32"/>
        </w:rPr>
        <w:t>积极展示北京经济发展新高地，对于中关村科学城、怀柔科学城、未来科学城、经济技术开发区等城市重点发展区，配合项目进程同步景观照明建设。</w:t>
      </w:r>
    </w:p>
    <w:p w14:paraId="69319535">
      <w:pPr>
        <w:pStyle w:val="5"/>
        <w:rPr>
          <w:rStyle w:val="194"/>
          <w:rFonts w:ascii="宋体" w:hAnsi="宋体" w:eastAsia="方正小标宋简体" w:cs="方正小标宋简体"/>
          <w:b w:val="0"/>
          <w:bCs w:val="0"/>
        </w:rPr>
      </w:pPr>
      <w:bookmarkStart w:id="486" w:name="_Toc88656242"/>
      <w:bookmarkStart w:id="487" w:name="_Toc17860"/>
      <w:bookmarkStart w:id="488" w:name="_Toc30838"/>
      <w:bookmarkStart w:id="489" w:name="_Toc32300"/>
      <w:bookmarkStart w:id="490" w:name="_Toc21464"/>
      <w:bookmarkStart w:id="491" w:name="_Toc28558"/>
      <w:r>
        <w:rPr>
          <w:rStyle w:val="194"/>
          <w:rFonts w:hint="eastAsia" w:ascii="宋体" w:hAnsi="宋体" w:eastAsia="方正小标宋简体" w:cs="方正小标宋简体"/>
          <w:b w:val="0"/>
          <w:bCs w:val="0"/>
        </w:rPr>
        <w:t>夜游赋能，营造夜间繁荣消费</w:t>
      </w:r>
      <w:bookmarkEnd w:id="486"/>
      <w:bookmarkEnd w:id="487"/>
      <w:r>
        <w:rPr>
          <w:rStyle w:val="194"/>
          <w:rFonts w:hint="eastAsia" w:ascii="宋体" w:hAnsi="宋体" w:eastAsia="方正小标宋简体" w:cs="方正小标宋简体"/>
          <w:b w:val="0"/>
          <w:bCs w:val="0"/>
        </w:rPr>
        <w:t>环境</w:t>
      </w:r>
      <w:bookmarkEnd w:id="488"/>
      <w:bookmarkEnd w:id="489"/>
      <w:bookmarkEnd w:id="490"/>
      <w:bookmarkEnd w:id="491"/>
    </w:p>
    <w:p w14:paraId="2F68CA6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92" w:name="_Toc2077"/>
      <w:bookmarkStart w:id="493" w:name="_Toc31135"/>
      <w:bookmarkStart w:id="494" w:name="_Toc8717"/>
      <w:bookmarkStart w:id="495" w:name="_Toc230"/>
      <w:bookmarkStart w:id="496" w:name="_Toc18809"/>
      <w:bookmarkStart w:id="497" w:name="_Toc88656243"/>
      <w:r>
        <w:rPr>
          <w:rFonts w:hint="eastAsia" w:ascii="宋体" w:hAnsi="宋体" w:eastAsia="黑体" w:cs="黑体"/>
          <w:b w:val="0"/>
          <w:sz w:val="32"/>
        </w:rPr>
        <w:t>一、打造“夜京城”消费活力地标</w:t>
      </w:r>
      <w:bookmarkEnd w:id="492"/>
      <w:bookmarkEnd w:id="493"/>
      <w:bookmarkEnd w:id="494"/>
      <w:bookmarkEnd w:id="495"/>
      <w:bookmarkEnd w:id="496"/>
      <w:bookmarkEnd w:id="497"/>
    </w:p>
    <w:p w14:paraId="4DDA4A3F">
      <w:pPr>
        <w:pStyle w:val="204"/>
        <w:adjustRightInd w:val="0"/>
        <w:spacing w:after="0" w:afterLines="0"/>
        <w:ind w:firstLine="640"/>
        <w:rPr>
          <w:rFonts w:ascii="宋体" w:hAnsi="宋体" w:eastAsia="仿宋_GB2312"/>
          <w:sz w:val="32"/>
        </w:rPr>
      </w:pPr>
      <w:r>
        <w:rPr>
          <w:rFonts w:hint="eastAsia" w:ascii="宋体" w:hAnsi="宋体" w:eastAsia="仿宋_GB2312"/>
          <w:sz w:val="32"/>
        </w:rPr>
        <w:t>打造具有文化时尚魅力的夜间消费活力地标。在王府井步行街、前门和大栅栏、西单和金融街、国贸、三里屯、首钢园、五棵松、亮马河、丽泽、金盏国际合作服务区等区域打造首批“夜京城”消费活力地标景观照明，分别围绕“文化+潮流”“品牌+品质”“体育+创意”“时尚+跨界”“数字+商务”等主题，提升基础设施及配套照明，大力发展具有创新引领和品牌吸引力的夜间游乐消费业态，打造独具人文魅力的国际一流商业街区、精品游乐承载地与商务出行首选地、“一站式”家庭购物目的地和高品质休闲聚会首选地，吸引国内外消费者。</w:t>
      </w:r>
    </w:p>
    <w:p w14:paraId="367358C9">
      <w:pPr>
        <w:pStyle w:val="6"/>
        <w:keepNext w:val="0"/>
        <w:keepLines w:val="0"/>
        <w:adjustRightInd w:val="0"/>
        <w:spacing w:before="0" w:beforeLines="0" w:after="0" w:afterLines="0"/>
        <w:ind w:firstLine="640" w:firstLineChars="200"/>
        <w:rPr>
          <w:rFonts w:ascii="宋体" w:hAnsi="宋体" w:eastAsia="黑体" w:cs="黑体"/>
          <w:b w:val="0"/>
          <w:sz w:val="32"/>
        </w:rPr>
      </w:pPr>
      <w:bookmarkStart w:id="498" w:name="_Toc88656244"/>
      <w:bookmarkStart w:id="499" w:name="_Toc19414"/>
      <w:bookmarkStart w:id="500" w:name="_Toc28172"/>
      <w:bookmarkStart w:id="501" w:name="_Toc12899"/>
      <w:bookmarkStart w:id="502" w:name="_Toc10902"/>
      <w:bookmarkStart w:id="503" w:name="_Toc22021"/>
      <w:r>
        <w:rPr>
          <w:rFonts w:hint="eastAsia" w:ascii="宋体" w:hAnsi="宋体" w:eastAsia="黑体" w:cs="黑体"/>
          <w:b w:val="0"/>
          <w:sz w:val="32"/>
        </w:rPr>
        <w:t>二、升级“夜京城”商圈</w:t>
      </w:r>
      <w:bookmarkEnd w:id="498"/>
      <w:r>
        <w:rPr>
          <w:rFonts w:hint="eastAsia" w:ascii="宋体" w:hAnsi="宋体" w:eastAsia="黑体" w:cs="黑体"/>
          <w:b w:val="0"/>
          <w:sz w:val="32"/>
        </w:rPr>
        <w:t>照明</w:t>
      </w:r>
      <w:bookmarkEnd w:id="499"/>
      <w:bookmarkEnd w:id="500"/>
      <w:bookmarkEnd w:id="501"/>
      <w:bookmarkEnd w:id="502"/>
      <w:bookmarkEnd w:id="503"/>
    </w:p>
    <w:p w14:paraId="13DAD47F">
      <w:pPr>
        <w:pStyle w:val="204"/>
        <w:adjustRightInd w:val="0"/>
        <w:spacing w:after="0" w:afterLines="0"/>
        <w:ind w:firstLine="640"/>
        <w:rPr>
          <w:rFonts w:ascii="宋体" w:hAnsi="宋体" w:eastAsia="仿宋_GB2312"/>
          <w:sz w:val="32"/>
        </w:rPr>
      </w:pPr>
      <w:r>
        <w:rPr>
          <w:rFonts w:hint="eastAsia" w:ascii="宋体" w:hAnsi="宋体" w:eastAsia="仿宋_GB2312"/>
          <w:sz w:val="32"/>
        </w:rPr>
        <w:t>在蓝色港湾、世贸天阶、簋街、合生汇、郎园、食宝街、荟聚、中粮·祥云小镇、奥林匹克公园等区域，打造首批“夜京城”商圈照明，形成“商旅文体”融合发展的夜间消费氛围，持续推进公主坟商圈等一批传统商圈照明改造升级，依托城市更新，打造主辅街融合发展的多元化夜间消费场景，提升夜间消费品质，辐射热点地区消费者。</w:t>
      </w:r>
    </w:p>
    <w:p w14:paraId="3CCF021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04" w:name="_Toc88656245"/>
      <w:bookmarkStart w:id="505" w:name="_Toc11346"/>
      <w:bookmarkStart w:id="506" w:name="_Toc32"/>
      <w:bookmarkStart w:id="507" w:name="_Toc11536"/>
      <w:bookmarkStart w:id="508" w:name="_Toc18717"/>
      <w:bookmarkStart w:id="509" w:name="_Toc12387"/>
      <w:r>
        <w:rPr>
          <w:rFonts w:hint="eastAsia" w:ascii="宋体" w:hAnsi="宋体" w:eastAsia="黑体" w:cs="黑体"/>
          <w:b w:val="0"/>
          <w:sz w:val="32"/>
        </w:rPr>
        <w:t>三、建设城市副中心消费圈</w:t>
      </w:r>
      <w:bookmarkEnd w:id="504"/>
      <w:r>
        <w:rPr>
          <w:rFonts w:hint="eastAsia" w:ascii="宋体" w:hAnsi="宋体" w:eastAsia="黑体" w:cs="黑体"/>
          <w:b w:val="0"/>
          <w:sz w:val="32"/>
        </w:rPr>
        <w:t>照明</w:t>
      </w:r>
      <w:bookmarkEnd w:id="505"/>
      <w:bookmarkEnd w:id="506"/>
      <w:bookmarkEnd w:id="507"/>
      <w:bookmarkEnd w:id="508"/>
      <w:bookmarkEnd w:id="509"/>
    </w:p>
    <w:p w14:paraId="4F8FD827">
      <w:pPr>
        <w:pStyle w:val="204"/>
        <w:adjustRightInd w:val="0"/>
        <w:spacing w:after="0" w:afterLines="0"/>
        <w:ind w:firstLine="640"/>
        <w:rPr>
          <w:rFonts w:ascii="宋体" w:hAnsi="宋体" w:eastAsia="仿宋_GB2312"/>
          <w:sz w:val="32"/>
        </w:rPr>
      </w:pPr>
      <w:r>
        <w:rPr>
          <w:rFonts w:hint="eastAsia" w:ascii="宋体" w:hAnsi="宋体" w:eastAsia="仿宋_GB2312"/>
          <w:sz w:val="32"/>
        </w:rPr>
        <w:t>以北京环球主题公园、大运河景区、张家湾设计小镇、台湖演艺小镇、宋庄艺术小镇建设为重点，建设国际一流的城市副中心文化设施集群照明。植入夜间消费业态，培育夜间消费场景，提升夜间消费体验，改善城市副中心居民夜间生活品质。</w:t>
      </w:r>
    </w:p>
    <w:p w14:paraId="181CE4FF">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10" w:name="_Toc3872"/>
      <w:bookmarkStart w:id="511" w:name="_Toc22494"/>
      <w:bookmarkStart w:id="512" w:name="_Toc12303"/>
      <w:bookmarkStart w:id="513" w:name="_Toc88656246"/>
      <w:bookmarkStart w:id="514" w:name="_Toc15572"/>
      <w:bookmarkStart w:id="515" w:name="_Toc9930"/>
      <w:r>
        <w:rPr>
          <w:rFonts w:hint="eastAsia" w:ascii="宋体" w:hAnsi="宋体" w:eastAsia="黑体" w:cs="黑体"/>
          <w:b w:val="0"/>
          <w:sz w:val="32"/>
        </w:rPr>
        <w:t>四、培育“夜京城”生活圈</w:t>
      </w:r>
      <w:bookmarkEnd w:id="510"/>
      <w:bookmarkEnd w:id="511"/>
      <w:bookmarkEnd w:id="512"/>
      <w:bookmarkEnd w:id="513"/>
      <w:bookmarkEnd w:id="514"/>
      <w:bookmarkEnd w:id="515"/>
    </w:p>
    <w:p w14:paraId="2996B9C2">
      <w:pPr>
        <w:pStyle w:val="204"/>
        <w:adjustRightInd w:val="0"/>
        <w:spacing w:after="0" w:afterLines="0"/>
        <w:ind w:firstLine="640"/>
        <w:rPr>
          <w:rFonts w:ascii="宋体" w:hAnsi="宋体" w:eastAsia="仿宋_GB2312"/>
          <w:sz w:val="32"/>
        </w:rPr>
      </w:pPr>
      <w:r>
        <w:rPr>
          <w:rFonts w:hint="eastAsia" w:ascii="宋体" w:hAnsi="宋体" w:eastAsia="仿宋_GB2312"/>
          <w:sz w:val="32"/>
        </w:rPr>
        <w:t>依托北京市“多点一区”消费布局，在上地—永丰—西北旺、五道口、常营、方庄、鲁谷、梨园、永顺、回龙观、天通苑等区域，培育首批“夜京城”生活圈，提升基础设施及配套照明，促进居民夜间消费。</w:t>
      </w:r>
    </w:p>
    <w:p w14:paraId="653B7D00">
      <w:pPr>
        <w:pStyle w:val="5"/>
        <w:rPr>
          <w:rStyle w:val="194"/>
          <w:rFonts w:ascii="宋体" w:hAnsi="宋体" w:eastAsia="方正小标宋简体" w:cs="方正小标宋简体"/>
          <w:b w:val="0"/>
          <w:bCs w:val="0"/>
        </w:rPr>
      </w:pPr>
      <w:bookmarkStart w:id="516" w:name="_Toc5786"/>
      <w:bookmarkStart w:id="517" w:name="_Toc30208"/>
      <w:bookmarkStart w:id="518" w:name="_Toc28493"/>
      <w:bookmarkStart w:id="519" w:name="_Toc23796"/>
      <w:bookmarkStart w:id="520" w:name="_Toc88656247"/>
      <w:bookmarkStart w:id="521" w:name="_Toc23002"/>
      <w:r>
        <w:rPr>
          <w:rStyle w:val="194"/>
          <w:rFonts w:hint="eastAsia" w:ascii="宋体" w:hAnsi="宋体" w:eastAsia="方正小标宋简体" w:cs="方正小标宋简体"/>
          <w:b w:val="0"/>
          <w:bCs w:val="0"/>
        </w:rPr>
        <w:t>国事庆典，灯光助力大国首都风范</w:t>
      </w:r>
      <w:bookmarkEnd w:id="516"/>
      <w:bookmarkEnd w:id="517"/>
      <w:bookmarkEnd w:id="518"/>
      <w:bookmarkEnd w:id="519"/>
      <w:bookmarkEnd w:id="520"/>
      <w:bookmarkEnd w:id="521"/>
    </w:p>
    <w:p w14:paraId="34F3CABC">
      <w:pPr>
        <w:pStyle w:val="204"/>
        <w:adjustRightInd w:val="0"/>
        <w:spacing w:after="0" w:afterLines="0"/>
        <w:ind w:firstLine="640"/>
        <w:rPr>
          <w:rFonts w:ascii="宋体" w:hAnsi="宋体" w:eastAsia="仿宋_GB2312"/>
          <w:sz w:val="32"/>
        </w:rPr>
      </w:pPr>
      <w:r>
        <w:rPr>
          <w:rFonts w:hint="eastAsia" w:ascii="宋体" w:hAnsi="宋体" w:eastAsia="仿宋_GB2312"/>
          <w:sz w:val="32"/>
        </w:rPr>
        <w:t>“十四五”时期，2021年庆祝中国共产党成立100周年、2022年冬奥会和冬残奥会及召开党的二十大等重大国事活动，是彰显首都国际交往中心风采的重要契机。未来的首都夜间环境应重点传承“双奥之城”无形资产，以天安门为核心，长安街和中轴线为纽带，综合考虑临时照明设施和永久照明设施间互补效应，持续展现首都独特壮美空间秩序。</w:t>
      </w:r>
    </w:p>
    <w:p w14:paraId="498CA533">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22" w:name="_Toc88656248"/>
      <w:bookmarkStart w:id="523" w:name="_Toc13572"/>
      <w:bookmarkStart w:id="524" w:name="_Toc26723"/>
      <w:bookmarkStart w:id="525" w:name="_Toc17364"/>
      <w:bookmarkStart w:id="526" w:name="_Toc24265"/>
      <w:bookmarkStart w:id="527" w:name="_Toc17902"/>
      <w:r>
        <w:rPr>
          <w:rFonts w:hint="eastAsia" w:ascii="宋体" w:hAnsi="宋体" w:eastAsia="黑体" w:cs="黑体"/>
          <w:b w:val="0"/>
          <w:sz w:val="32"/>
        </w:rPr>
        <w:t>一、</w:t>
      </w:r>
      <w:bookmarkEnd w:id="522"/>
      <w:bookmarkEnd w:id="523"/>
      <w:bookmarkEnd w:id="524"/>
      <w:bookmarkEnd w:id="525"/>
      <w:bookmarkEnd w:id="526"/>
      <w:r>
        <w:rPr>
          <w:rFonts w:hint="eastAsia" w:ascii="宋体" w:hAnsi="宋体" w:eastAsia="黑体" w:cs="黑体"/>
          <w:b w:val="0"/>
          <w:sz w:val="32"/>
        </w:rPr>
        <w:t>彰显“双奥”优势</w:t>
      </w:r>
      <w:bookmarkEnd w:id="527"/>
    </w:p>
    <w:p w14:paraId="5CB527C9">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优化以天安门为核心的政务环境和冬奥场馆区夜间环境品质，完善北京“双奥”奥运村、奥运会场馆区、首钢园区、延庆冬奥村等地的景观照明，营造符合冬奥主题、时代精神的一系列灯光演绎。强化大兴机场、北京南站等城市重要门户区景观照明；突出阜石路、北京—延庆冬奥会场馆联系线上重要节点，以点带线、以线连面优化夜间环境。</w:t>
      </w:r>
    </w:p>
    <w:p w14:paraId="5EE960BB">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28" w:name="_Toc88656249"/>
      <w:bookmarkStart w:id="529" w:name="_Toc2770"/>
      <w:bookmarkStart w:id="530" w:name="_Toc14132"/>
      <w:bookmarkStart w:id="531" w:name="_Toc29082"/>
      <w:bookmarkStart w:id="532" w:name="_Toc31350"/>
      <w:bookmarkStart w:id="533" w:name="_Toc4806"/>
      <w:r>
        <w:rPr>
          <w:rFonts w:hint="eastAsia" w:ascii="宋体" w:hAnsi="宋体" w:eastAsia="黑体" w:cs="黑体"/>
          <w:b w:val="0"/>
          <w:sz w:val="32"/>
        </w:rPr>
        <w:t>二、</w:t>
      </w:r>
      <w:bookmarkEnd w:id="528"/>
      <w:r>
        <w:rPr>
          <w:rFonts w:hint="eastAsia" w:ascii="宋体" w:hAnsi="宋体" w:eastAsia="黑体" w:cs="黑体"/>
          <w:b w:val="0"/>
          <w:sz w:val="32"/>
        </w:rPr>
        <w:t>重大活动服务保障</w:t>
      </w:r>
      <w:bookmarkEnd w:id="529"/>
      <w:bookmarkEnd w:id="530"/>
      <w:bookmarkEnd w:id="531"/>
      <w:bookmarkEnd w:id="532"/>
      <w:bookmarkEnd w:id="533"/>
    </w:p>
    <w:p w14:paraId="4C0DF19C">
      <w:pPr>
        <w:pStyle w:val="204"/>
        <w:adjustRightInd w:val="0"/>
        <w:spacing w:after="0" w:afterLines="0"/>
        <w:ind w:firstLine="640"/>
        <w:rPr>
          <w:rFonts w:ascii="宋体" w:hAnsi="宋体" w:eastAsia="仿宋_GB2312"/>
          <w:sz w:val="32"/>
        </w:rPr>
      </w:pPr>
      <w:r>
        <w:rPr>
          <w:rFonts w:hint="eastAsia" w:ascii="宋体" w:hAnsi="宋体" w:eastAsia="仿宋_GB2312"/>
          <w:sz w:val="32"/>
        </w:rPr>
        <w:t>着眼保障首都政务工作、重大活动组织、节日庆典等工作安全、高效、有序开展，加强部门协调，持续提升首都夜间环境魅力，秉持科技创新、绿色节能的原则，对于举办活动的重点地区和重要街道，根据景观照明建设情况进行新增、维护或增设临时照明设施；对于天安门、长安街、中轴线以及重要联络线等区域可根据活动需求增设临时照明设施。活动举办前应进行全面安全巡检，消除安全隐患。</w:t>
      </w:r>
    </w:p>
    <w:p w14:paraId="1CCB1D9A">
      <w:pPr>
        <w:pStyle w:val="204"/>
        <w:adjustRightInd w:val="0"/>
        <w:spacing w:after="0" w:afterLines="0"/>
        <w:ind w:firstLine="640"/>
        <w:rPr>
          <w:rFonts w:ascii="宋体" w:hAnsi="宋体" w:eastAsia="仿宋_GB2312"/>
          <w:sz w:val="32"/>
        </w:rPr>
      </w:pPr>
      <w:r>
        <w:rPr>
          <w:rFonts w:hint="eastAsia" w:ascii="宋体" w:hAnsi="宋体" w:eastAsia="仿宋_GB2312"/>
          <w:sz w:val="32"/>
        </w:rPr>
        <w:t>对于活动新建、改建、扩建、维护的景观照明设施，在活动后应结合城市风貌、节庆主题，适当调整，按照北京市景观照明设施运行要求运行。</w:t>
      </w:r>
    </w:p>
    <w:p w14:paraId="23FA9E94">
      <w:pPr>
        <w:pStyle w:val="5"/>
        <w:rPr>
          <w:rStyle w:val="194"/>
          <w:rFonts w:ascii="宋体" w:hAnsi="宋体" w:eastAsia="方正小标宋简体" w:cs="方正小标宋简体"/>
          <w:b w:val="0"/>
          <w:bCs w:val="0"/>
        </w:rPr>
      </w:pPr>
      <w:bookmarkStart w:id="534" w:name="_Toc17297"/>
      <w:bookmarkStart w:id="535" w:name="_Toc29572"/>
      <w:bookmarkStart w:id="536" w:name="_Toc88656250"/>
      <w:bookmarkStart w:id="537" w:name="_Toc17442"/>
      <w:bookmarkStart w:id="538" w:name="_Toc5916"/>
      <w:bookmarkStart w:id="539" w:name="_Toc11224"/>
      <w:r>
        <w:rPr>
          <w:rStyle w:val="194"/>
          <w:rFonts w:hint="eastAsia" w:ascii="宋体" w:hAnsi="宋体" w:eastAsia="方正小标宋简体" w:cs="方正小标宋简体"/>
          <w:b w:val="0"/>
          <w:bCs w:val="0"/>
        </w:rPr>
        <w:t>精细管理，高品质照明治理新局面</w:t>
      </w:r>
      <w:bookmarkEnd w:id="534"/>
      <w:bookmarkEnd w:id="535"/>
      <w:bookmarkEnd w:id="536"/>
      <w:bookmarkEnd w:id="537"/>
      <w:bookmarkEnd w:id="538"/>
      <w:bookmarkEnd w:id="539"/>
    </w:p>
    <w:p w14:paraId="3EB06B46">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40" w:name="_Toc4625"/>
      <w:bookmarkStart w:id="541" w:name="_Toc88656251"/>
      <w:bookmarkStart w:id="542" w:name="_Toc18180"/>
      <w:bookmarkStart w:id="543" w:name="_Toc17506"/>
      <w:bookmarkStart w:id="544" w:name="_Toc25044"/>
      <w:bookmarkStart w:id="545" w:name="_Toc6405"/>
      <w:r>
        <w:rPr>
          <w:rFonts w:hint="eastAsia" w:ascii="宋体" w:hAnsi="宋体" w:eastAsia="黑体" w:cs="黑体"/>
          <w:b w:val="0"/>
          <w:sz w:val="32"/>
        </w:rPr>
        <w:t>一、规范编制，建立长效机制</w:t>
      </w:r>
      <w:bookmarkEnd w:id="540"/>
      <w:bookmarkEnd w:id="541"/>
      <w:bookmarkEnd w:id="542"/>
      <w:bookmarkEnd w:id="543"/>
      <w:bookmarkEnd w:id="544"/>
      <w:bookmarkEnd w:id="545"/>
    </w:p>
    <w:p w14:paraId="7ECE62C4">
      <w:pPr>
        <w:pStyle w:val="204"/>
        <w:adjustRightInd w:val="0"/>
        <w:spacing w:after="0" w:afterLines="0"/>
        <w:ind w:firstLine="640"/>
        <w:rPr>
          <w:rFonts w:ascii="宋体" w:hAnsi="宋体" w:eastAsia="仿宋_GB2312"/>
          <w:sz w:val="32"/>
        </w:rPr>
      </w:pPr>
      <w:r>
        <w:rPr>
          <w:rFonts w:hint="eastAsia" w:ascii="宋体" w:hAnsi="宋体" w:eastAsia="仿宋_GB2312"/>
          <w:sz w:val="32"/>
        </w:rPr>
        <w:t>出台城市照明管理相关规章，完善《城市道路照明运行维护规范》《城市景观照明运行维护规范》等各类北京市地方标准。规范日常巡查和维护工作，提高城市照明治理能力，提高12345市民服务热线的响应率，针对“有灯不亮”等问题，做到接诉即办，确保照明设施安全、平稳运行。</w:t>
      </w:r>
    </w:p>
    <w:p w14:paraId="1EE6A220">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46" w:name="_Toc17300"/>
      <w:bookmarkStart w:id="547" w:name="_Toc15529"/>
      <w:bookmarkStart w:id="548" w:name="_Toc29752"/>
      <w:bookmarkStart w:id="549" w:name="_Toc28586"/>
      <w:bookmarkStart w:id="550" w:name="_Toc88656252"/>
      <w:bookmarkStart w:id="551" w:name="_Toc23286"/>
      <w:r>
        <w:rPr>
          <w:rFonts w:hint="eastAsia" w:ascii="宋体" w:hAnsi="宋体" w:eastAsia="黑体" w:cs="黑体"/>
          <w:b w:val="0"/>
          <w:sz w:val="32"/>
        </w:rPr>
        <w:t>二、隐患排查，优化措施方法</w:t>
      </w:r>
      <w:bookmarkEnd w:id="546"/>
      <w:bookmarkEnd w:id="547"/>
      <w:bookmarkEnd w:id="548"/>
      <w:bookmarkEnd w:id="549"/>
      <w:bookmarkEnd w:id="550"/>
      <w:bookmarkEnd w:id="551"/>
    </w:p>
    <w:p w14:paraId="2F767F5A">
      <w:pPr>
        <w:pStyle w:val="204"/>
        <w:adjustRightInd w:val="0"/>
        <w:spacing w:after="0" w:afterLines="0"/>
        <w:ind w:firstLine="640"/>
        <w:rPr>
          <w:rFonts w:ascii="宋体" w:hAnsi="宋体" w:eastAsia="仿宋_GB2312"/>
          <w:sz w:val="32"/>
        </w:rPr>
      </w:pPr>
      <w:r>
        <w:rPr>
          <w:rFonts w:hint="eastAsia" w:ascii="宋体" w:hAnsi="宋体" w:eastAsia="仿宋_GB2312"/>
          <w:sz w:val="32"/>
        </w:rPr>
        <w:t>全面开展城市功能照明设施和景观照明设施的安全隐患排查整治工作，有序整改照明设施安全隐患问题，加强城市照明安全管理.</w:t>
      </w:r>
    </w:p>
    <w:p w14:paraId="05E55565">
      <w:pPr>
        <w:pStyle w:val="204"/>
        <w:adjustRightInd w:val="0"/>
        <w:spacing w:after="0" w:afterLines="0"/>
        <w:ind w:firstLine="640"/>
        <w:rPr>
          <w:rFonts w:ascii="宋体" w:hAnsi="宋体" w:eastAsia="仿宋_GB2312"/>
          <w:sz w:val="32"/>
        </w:rPr>
      </w:pPr>
      <w:r>
        <w:rPr>
          <w:rFonts w:hint="eastAsia" w:ascii="宋体" w:hAnsi="宋体" w:eastAsia="仿宋_GB2312"/>
          <w:sz w:val="32"/>
        </w:rPr>
        <w:t>1.灯具光源巡检：结合市级情况建立巡视制度，制定维护计划及要求，定期擦拭、更换光源和灯具，及时修复故障光源、灯具。</w:t>
      </w:r>
    </w:p>
    <w:p w14:paraId="2BC73AF5">
      <w:pPr>
        <w:pStyle w:val="204"/>
        <w:adjustRightInd w:val="0"/>
        <w:spacing w:after="0" w:afterLines="0"/>
        <w:ind w:firstLine="640"/>
        <w:rPr>
          <w:rFonts w:ascii="宋体" w:hAnsi="宋体" w:eastAsia="仿宋_GB2312"/>
          <w:sz w:val="32"/>
        </w:rPr>
      </w:pPr>
      <w:r>
        <w:rPr>
          <w:rFonts w:hint="eastAsia" w:ascii="宋体" w:hAnsi="宋体" w:eastAsia="仿宋_GB2312"/>
          <w:sz w:val="32"/>
        </w:rPr>
        <w:t>2.电缆及架空线路巡视：对于运行5年以上的电缆或重要地区电缆，在每年雨水少的季节进行一次绝缘测试，及时更换绝缘不达标的电缆；对不带绝缘皮的架空线路每月至少巡视一次；大风、大雨、大雪等恶劣天气前后要及时检查线缆稳定性。</w:t>
      </w:r>
    </w:p>
    <w:p w14:paraId="5FE97B0C">
      <w:pPr>
        <w:pStyle w:val="204"/>
        <w:adjustRightInd w:val="0"/>
        <w:spacing w:after="0" w:afterLines="0"/>
        <w:ind w:firstLine="640"/>
        <w:rPr>
          <w:rFonts w:ascii="宋体" w:hAnsi="宋体" w:eastAsia="仿宋_GB2312"/>
          <w:sz w:val="32"/>
        </w:rPr>
      </w:pPr>
      <w:r>
        <w:rPr>
          <w:rFonts w:hint="eastAsia" w:ascii="宋体" w:hAnsi="宋体" w:eastAsia="仿宋_GB2312"/>
          <w:sz w:val="32"/>
        </w:rPr>
        <w:t>3.变压器维护：每年春季安排一次全面检修，雨季前进行防汛布防。</w:t>
      </w:r>
    </w:p>
    <w:p w14:paraId="50C9C83C">
      <w:pPr>
        <w:pStyle w:val="204"/>
        <w:adjustRightInd w:val="0"/>
        <w:spacing w:after="0" w:afterLines="0"/>
        <w:ind w:firstLine="640"/>
        <w:rPr>
          <w:rFonts w:ascii="宋体" w:hAnsi="宋体" w:eastAsia="仿宋_GB2312"/>
          <w:sz w:val="32"/>
        </w:rPr>
      </w:pPr>
      <w:r>
        <w:rPr>
          <w:rFonts w:hint="eastAsia" w:ascii="宋体" w:hAnsi="宋体" w:eastAsia="仿宋_GB2312"/>
          <w:sz w:val="32"/>
        </w:rPr>
        <w:t>4.灯杆检修门、工井等设备维护：随灯具一同巡视，发现问题24小时内予以恢复。</w:t>
      </w:r>
    </w:p>
    <w:p w14:paraId="175EDB01">
      <w:pPr>
        <w:pStyle w:val="204"/>
        <w:adjustRightInd w:val="0"/>
        <w:spacing w:after="0" w:afterLines="0"/>
        <w:ind w:firstLine="640"/>
        <w:rPr>
          <w:rFonts w:ascii="宋体" w:hAnsi="宋体" w:eastAsia="仿宋_GB2312"/>
          <w:sz w:val="32"/>
        </w:rPr>
      </w:pPr>
      <w:r>
        <w:rPr>
          <w:rFonts w:hint="eastAsia" w:ascii="宋体" w:hAnsi="宋体" w:eastAsia="仿宋_GB2312"/>
          <w:sz w:val="32"/>
        </w:rPr>
        <w:t>5.对于重要地区或者可能引发事故的隐患问题，应当立即组织排除隐患。</w:t>
      </w:r>
    </w:p>
    <w:p w14:paraId="5848635A">
      <w:pPr>
        <w:pStyle w:val="204"/>
        <w:adjustRightInd w:val="0"/>
        <w:spacing w:after="0" w:afterLines="0"/>
        <w:ind w:firstLine="640"/>
        <w:rPr>
          <w:rFonts w:ascii="宋体" w:hAnsi="宋体" w:eastAsia="仿宋_GB2312"/>
          <w:sz w:val="32"/>
        </w:rPr>
      </w:pPr>
      <w:r>
        <w:rPr>
          <w:rFonts w:hint="eastAsia" w:ascii="宋体" w:hAnsi="宋体" w:eastAsia="仿宋_GB2312"/>
          <w:sz w:val="32"/>
        </w:rPr>
        <w:t>6.如实填写巡视和维护记录。</w:t>
      </w:r>
    </w:p>
    <w:p w14:paraId="3581EEFD">
      <w:pPr>
        <w:pStyle w:val="204"/>
        <w:adjustRightInd w:val="0"/>
        <w:spacing w:after="0" w:afterLines="0"/>
        <w:ind w:firstLine="640"/>
        <w:rPr>
          <w:rFonts w:ascii="宋体" w:hAnsi="宋体" w:eastAsia="仿宋_GB2312"/>
          <w:sz w:val="32"/>
        </w:rPr>
      </w:pPr>
      <w:r>
        <w:rPr>
          <w:rFonts w:hint="eastAsia" w:ascii="宋体" w:hAnsi="宋体" w:eastAsia="仿宋_GB2312"/>
          <w:sz w:val="32"/>
        </w:rPr>
        <w:t>7.行政管理部门及维护管理单位应及时落实群众来电、来信、来访所反映的问题。</w:t>
      </w:r>
    </w:p>
    <w:p w14:paraId="72C03A13">
      <w:pPr>
        <w:pStyle w:val="204"/>
        <w:adjustRightInd w:val="0"/>
        <w:spacing w:after="0" w:afterLines="0"/>
        <w:ind w:firstLine="640"/>
        <w:rPr>
          <w:rFonts w:ascii="宋体" w:hAnsi="宋体" w:eastAsia="仿宋_GB2312"/>
          <w:sz w:val="32"/>
        </w:rPr>
      </w:pPr>
      <w:r>
        <w:rPr>
          <w:rFonts w:hint="eastAsia" w:ascii="宋体" w:hAnsi="宋体" w:eastAsia="仿宋_GB2312"/>
          <w:sz w:val="32"/>
        </w:rPr>
        <w:t>8.城市照明维护单位应定期对照明灯具进行清扫，改善照明效果，保证照明设施美观整洁。</w:t>
      </w:r>
    </w:p>
    <w:p w14:paraId="45B73107">
      <w:pPr>
        <w:pStyle w:val="204"/>
        <w:adjustRightInd w:val="0"/>
        <w:spacing w:after="0" w:afterLines="0"/>
        <w:ind w:firstLine="640"/>
        <w:rPr>
          <w:rFonts w:ascii="宋体" w:hAnsi="宋体" w:eastAsia="仿宋_GB2312"/>
          <w:sz w:val="32"/>
        </w:rPr>
      </w:pPr>
      <w:r>
        <w:rPr>
          <w:rFonts w:hint="eastAsia" w:ascii="宋体" w:hAnsi="宋体" w:eastAsia="仿宋_GB2312"/>
          <w:sz w:val="32"/>
        </w:rPr>
        <w:t>9.市区两级城市照明行政主管部门应当与园林绿化部门建立联动机制，可采用修剪树木等方式妥善解决道路照明与树木生长的矛盾，新建路段应避免路灯与树木处于同一轴线。</w:t>
      </w:r>
    </w:p>
    <w:p w14:paraId="16BF3D8F">
      <w:pPr>
        <w:pStyle w:val="204"/>
        <w:adjustRightInd w:val="0"/>
        <w:spacing w:after="0" w:afterLines="0"/>
        <w:ind w:firstLine="640"/>
        <w:rPr>
          <w:rFonts w:ascii="宋体" w:hAnsi="宋体" w:eastAsia="仿宋_GB2312"/>
          <w:sz w:val="32"/>
        </w:rPr>
      </w:pPr>
      <w:r>
        <w:rPr>
          <w:rFonts w:hint="eastAsia" w:ascii="宋体" w:hAnsi="宋体" w:eastAsia="仿宋_GB2312"/>
          <w:sz w:val="32"/>
        </w:rPr>
        <w:t xml:space="preserve">提升专业服务水平，对于排查出的问题，需在第一时间进行处置，完善城市功能照明，消灭无灯区。 </w:t>
      </w:r>
    </w:p>
    <w:p w14:paraId="099B1F28">
      <w:pPr>
        <w:pStyle w:val="204"/>
        <w:adjustRightInd w:val="0"/>
        <w:spacing w:after="0" w:afterLines="0"/>
        <w:ind w:firstLine="640"/>
        <w:rPr>
          <w:rFonts w:ascii="宋体" w:hAnsi="宋体" w:eastAsia="仿宋_GB2312"/>
          <w:sz w:val="32"/>
        </w:rPr>
      </w:pPr>
      <w:r>
        <w:rPr>
          <w:rFonts w:hint="eastAsia" w:ascii="宋体" w:hAnsi="宋体" w:eastAsia="仿宋_GB2312"/>
          <w:sz w:val="32"/>
        </w:rPr>
        <w:t>重大活动庆典期间应加大排查力度，</w:t>
      </w:r>
      <w:r>
        <w:rPr>
          <w:rFonts w:hint="eastAsia" w:ascii="宋体" w:hAnsi="宋体" w:eastAsia="仿宋_GB2312"/>
          <w:sz w:val="32"/>
          <w:lang w:eastAsia="zh-Hans"/>
        </w:rPr>
        <w:t>在重要节假日、重要活动保障前夕，应对景观照明设施、供配电设施进行全面检查。需要根据重要节假日开灯保障任务有针对性试灯，确保景观照明正常亮灯，</w:t>
      </w:r>
      <w:r>
        <w:rPr>
          <w:rFonts w:hint="eastAsia" w:ascii="宋体" w:hAnsi="宋体" w:eastAsia="仿宋_GB2312"/>
          <w:sz w:val="32"/>
        </w:rPr>
        <w:t>提高首都安全保障水平。</w:t>
      </w:r>
    </w:p>
    <w:p w14:paraId="19B7681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52" w:name="_Toc8508"/>
      <w:bookmarkStart w:id="553" w:name="_Toc14790"/>
      <w:bookmarkStart w:id="554" w:name="_Toc5350"/>
      <w:bookmarkStart w:id="555" w:name="_Toc8614"/>
      <w:bookmarkStart w:id="556" w:name="_Toc22346"/>
      <w:bookmarkStart w:id="557" w:name="_Toc88656253"/>
      <w:r>
        <w:rPr>
          <w:rFonts w:hint="eastAsia" w:ascii="宋体" w:hAnsi="宋体" w:eastAsia="黑体" w:cs="黑体"/>
          <w:b w:val="0"/>
          <w:sz w:val="32"/>
        </w:rPr>
        <w:t>三、部门统筹，健全体制机制</w:t>
      </w:r>
      <w:bookmarkEnd w:id="552"/>
      <w:bookmarkEnd w:id="553"/>
      <w:bookmarkEnd w:id="554"/>
      <w:bookmarkEnd w:id="555"/>
      <w:bookmarkEnd w:id="556"/>
      <w:bookmarkEnd w:id="557"/>
    </w:p>
    <w:p w14:paraId="3978DB18">
      <w:pPr>
        <w:pStyle w:val="204"/>
        <w:adjustRightInd w:val="0"/>
        <w:spacing w:after="0" w:afterLines="0"/>
        <w:ind w:firstLine="640"/>
        <w:rPr>
          <w:rFonts w:ascii="宋体" w:hAnsi="宋体"/>
        </w:rPr>
      </w:pPr>
      <w:r>
        <w:rPr>
          <w:rFonts w:hint="eastAsia" w:ascii="宋体" w:hAnsi="宋体" w:eastAsia="仿宋_GB2312"/>
          <w:sz w:val="32"/>
        </w:rPr>
        <w:t>推进道路照明规划建设管理全流程、全覆盖有效监管，进一步明晰行政机关、事业单位、企业单位的职责分工，按照政事分开、事企分开的原则，破除现行体制机制障碍，科学调整现行道路照明运管机制，逐步完善道路照明规划、建设、运维管理体系。</w:t>
      </w:r>
    </w:p>
    <w:p w14:paraId="1DF0920B">
      <w:pPr>
        <w:pStyle w:val="5"/>
        <w:rPr>
          <w:rStyle w:val="194"/>
          <w:rFonts w:ascii="宋体" w:hAnsi="宋体" w:eastAsia="方正小标宋简体" w:cs="方正小标宋简体"/>
          <w:b w:val="0"/>
          <w:bCs w:val="0"/>
        </w:rPr>
      </w:pPr>
      <w:bookmarkStart w:id="558" w:name="_Toc88656254"/>
      <w:bookmarkStart w:id="559" w:name="_Toc18632"/>
      <w:bookmarkStart w:id="560" w:name="_Toc26137"/>
      <w:bookmarkStart w:id="561" w:name="_Toc32715"/>
      <w:bookmarkStart w:id="562" w:name="_Toc30763"/>
      <w:bookmarkStart w:id="563" w:name="_Toc29033"/>
      <w:r>
        <w:rPr>
          <w:rStyle w:val="194"/>
          <w:rFonts w:hint="eastAsia" w:ascii="宋体" w:hAnsi="宋体" w:eastAsia="方正小标宋简体" w:cs="方正小标宋简体"/>
          <w:b w:val="0"/>
          <w:bCs w:val="0"/>
        </w:rPr>
        <w:t>科技引领，构建智慧城市照明体系</w:t>
      </w:r>
      <w:bookmarkEnd w:id="558"/>
      <w:bookmarkEnd w:id="559"/>
      <w:bookmarkEnd w:id="560"/>
      <w:bookmarkEnd w:id="561"/>
      <w:bookmarkEnd w:id="562"/>
      <w:bookmarkEnd w:id="563"/>
    </w:p>
    <w:p w14:paraId="1BB34504">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64" w:name="_Toc13722"/>
      <w:bookmarkStart w:id="565" w:name="_Toc976"/>
      <w:bookmarkStart w:id="566" w:name="_Toc22493"/>
      <w:bookmarkStart w:id="567" w:name="_Toc3830"/>
      <w:bookmarkStart w:id="568" w:name="_Toc88656255"/>
      <w:bookmarkStart w:id="569" w:name="_Toc3813"/>
      <w:r>
        <w:rPr>
          <w:rFonts w:hint="eastAsia" w:ascii="宋体" w:hAnsi="宋体" w:eastAsia="黑体" w:cs="黑体"/>
          <w:b w:val="0"/>
          <w:sz w:val="32"/>
        </w:rPr>
        <w:t>一、信息化智慧化管控平台</w:t>
      </w:r>
      <w:bookmarkEnd w:id="564"/>
      <w:bookmarkEnd w:id="565"/>
      <w:bookmarkEnd w:id="566"/>
      <w:bookmarkEnd w:id="567"/>
      <w:bookmarkEnd w:id="568"/>
      <w:bookmarkEnd w:id="569"/>
    </w:p>
    <w:p w14:paraId="2BC9935D">
      <w:pPr>
        <w:pStyle w:val="204"/>
        <w:adjustRightInd w:val="0"/>
        <w:spacing w:after="0" w:afterLines="0"/>
        <w:ind w:firstLine="640"/>
        <w:rPr>
          <w:rFonts w:ascii="宋体" w:hAnsi="宋体" w:eastAsia="仿宋_GB2312"/>
          <w:sz w:val="32"/>
        </w:rPr>
      </w:pPr>
      <w:r>
        <w:rPr>
          <w:rFonts w:hint="eastAsia" w:ascii="宋体" w:hAnsi="宋体" w:eastAsia="仿宋_GB2312"/>
          <w:sz w:val="32"/>
        </w:rPr>
        <w:t>将北京科技创新优势融入城市照明建设和管理工作中，通过搭建市、区两级智能化管控平台，逐步完善分区路灯管理体系及监控系统，提升工控系统网络安全水平。同时，实现对设备的精细化监测，提高自动化水平。</w:t>
      </w:r>
    </w:p>
    <w:p w14:paraId="3506A82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70" w:name="_Toc13505"/>
      <w:bookmarkStart w:id="571" w:name="_Toc88656256"/>
      <w:bookmarkStart w:id="572" w:name="_Toc11954"/>
      <w:bookmarkStart w:id="573" w:name="_Toc25714"/>
      <w:bookmarkStart w:id="574" w:name="_Toc19040"/>
      <w:bookmarkStart w:id="575" w:name="_Toc10069"/>
      <w:r>
        <w:rPr>
          <w:rFonts w:hint="eastAsia" w:ascii="宋体" w:hAnsi="宋体" w:eastAsia="黑体" w:cs="黑体"/>
          <w:b w:val="0"/>
          <w:sz w:val="32"/>
        </w:rPr>
        <w:t>二、数媒技术共创“智慧城市”</w:t>
      </w:r>
      <w:bookmarkEnd w:id="570"/>
      <w:bookmarkEnd w:id="571"/>
      <w:bookmarkEnd w:id="572"/>
      <w:bookmarkEnd w:id="573"/>
      <w:bookmarkEnd w:id="574"/>
      <w:bookmarkEnd w:id="575"/>
    </w:p>
    <w:p w14:paraId="7546B849">
      <w:pPr>
        <w:pStyle w:val="204"/>
        <w:adjustRightInd w:val="0"/>
        <w:spacing w:after="0" w:afterLines="0"/>
        <w:ind w:firstLine="640"/>
        <w:rPr>
          <w:rFonts w:ascii="宋体" w:hAnsi="宋体" w:eastAsia="仿宋_GB2312"/>
          <w:sz w:val="32"/>
        </w:rPr>
      </w:pPr>
      <w:r>
        <w:rPr>
          <w:rFonts w:hint="eastAsia" w:ascii="宋体" w:hAnsi="宋体" w:eastAsia="仿宋_GB2312"/>
          <w:sz w:val="32"/>
        </w:rPr>
        <w:t>发挥北京科技创新优势，开展搭建新数字媒体技术，“虚拟现实系统”辅助城市照明规划审批工作的必要性、可行性研究，推进北京“智慧城市”进程，加强精细化管理。</w:t>
      </w:r>
    </w:p>
    <w:p w14:paraId="12843B3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76" w:name="_Toc20771"/>
      <w:bookmarkStart w:id="577" w:name="_Toc13545"/>
      <w:bookmarkStart w:id="578" w:name="_Toc22621"/>
      <w:bookmarkStart w:id="579" w:name="_Toc16769"/>
      <w:bookmarkStart w:id="580" w:name="_Toc4522"/>
      <w:bookmarkStart w:id="581" w:name="_Toc88656257"/>
      <w:r>
        <w:rPr>
          <w:rFonts w:hint="eastAsia" w:ascii="宋体" w:hAnsi="宋体" w:eastAsia="黑体" w:cs="黑体"/>
          <w:b w:val="0"/>
          <w:sz w:val="32"/>
        </w:rPr>
        <w:t>三、系统互联共建智慧照明</w:t>
      </w:r>
      <w:bookmarkEnd w:id="576"/>
      <w:bookmarkEnd w:id="577"/>
      <w:bookmarkEnd w:id="578"/>
      <w:bookmarkEnd w:id="579"/>
      <w:bookmarkEnd w:id="580"/>
      <w:bookmarkEnd w:id="581"/>
    </w:p>
    <w:p w14:paraId="137A7F8A">
      <w:pPr>
        <w:pStyle w:val="204"/>
        <w:adjustRightInd w:val="0"/>
        <w:spacing w:after="0" w:afterLines="0"/>
        <w:ind w:firstLine="640"/>
        <w:rPr>
          <w:rFonts w:ascii="宋体" w:hAnsi="宋体"/>
        </w:rPr>
      </w:pPr>
      <w:r>
        <w:rPr>
          <w:rFonts w:hint="eastAsia" w:ascii="宋体" w:hAnsi="宋体" w:eastAsia="仿宋_GB2312"/>
          <w:sz w:val="32"/>
        </w:rPr>
        <w:t>通过监控系统、地理信息系统、电费分析系统、运维管理系统、生产管理等系统数据的互联互通，在运行维护阶段实现智慧亮灭灯监控、高效运维、检修、抢修的一体化管理，提升城市照明管理的现代化水平。</w:t>
      </w:r>
    </w:p>
    <w:p w14:paraId="70C18D0F">
      <w:pPr>
        <w:pStyle w:val="204"/>
        <w:spacing w:after="156"/>
        <w:ind w:firstLine="600"/>
        <w:rPr>
          <w:rFonts w:ascii="宋体" w:hAnsi="宋体"/>
        </w:rPr>
        <w:sectPr>
          <w:footerReference r:id="rId7" w:type="default"/>
          <w:pgSz w:w="11906" w:h="16838"/>
          <w:pgMar w:top="2098" w:right="1474" w:bottom="1984" w:left="1587" w:header="850" w:footer="1587" w:gutter="0"/>
          <w:cols w:space="0" w:num="1"/>
          <w:docGrid w:type="lines" w:linePitch="312" w:charSpace="0"/>
        </w:sectPr>
      </w:pPr>
    </w:p>
    <w:p w14:paraId="08D5F622">
      <w:pPr>
        <w:pStyle w:val="5"/>
        <w:rPr>
          <w:rStyle w:val="194"/>
          <w:rFonts w:ascii="宋体" w:hAnsi="宋体" w:eastAsia="方正小标宋简体" w:cs="方正小标宋简体"/>
          <w:b w:val="0"/>
          <w:bCs w:val="0"/>
        </w:rPr>
      </w:pPr>
      <w:bookmarkStart w:id="582" w:name="_Toc32204"/>
      <w:bookmarkStart w:id="583" w:name="_Toc29836"/>
      <w:bookmarkStart w:id="584" w:name="_Toc2834"/>
      <w:bookmarkStart w:id="585" w:name="_Toc6894"/>
      <w:bookmarkStart w:id="586" w:name="_Toc7445"/>
      <w:bookmarkStart w:id="587" w:name="_Toc88656258"/>
      <w:r>
        <w:rPr>
          <w:rStyle w:val="194"/>
          <w:rFonts w:hint="eastAsia" w:ascii="宋体" w:hAnsi="宋体" w:eastAsia="方正小标宋简体" w:cs="方正小标宋简体"/>
          <w:b w:val="0"/>
          <w:bCs w:val="0"/>
        </w:rPr>
        <w:t>专项行动与重点项目</w:t>
      </w:r>
      <w:bookmarkEnd w:id="582"/>
      <w:bookmarkEnd w:id="583"/>
      <w:bookmarkEnd w:id="584"/>
      <w:bookmarkEnd w:id="585"/>
      <w:bookmarkEnd w:id="586"/>
      <w:bookmarkEnd w:id="587"/>
    </w:p>
    <w:p w14:paraId="46A8B969">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88" w:name="_Toc11152"/>
      <w:bookmarkStart w:id="589" w:name="_Toc88656259"/>
      <w:bookmarkStart w:id="590" w:name="_Toc30822"/>
      <w:bookmarkStart w:id="591" w:name="_Toc5627"/>
      <w:bookmarkStart w:id="592" w:name="_Toc16992"/>
      <w:bookmarkStart w:id="593" w:name="_Toc5238"/>
      <w:r>
        <w:rPr>
          <w:rFonts w:hint="eastAsia" w:ascii="宋体" w:hAnsi="宋体" w:eastAsia="黑体" w:cs="黑体"/>
          <w:b w:val="0"/>
          <w:sz w:val="32"/>
        </w:rPr>
        <w:t>一、路灯问题治理专项行动</w:t>
      </w:r>
      <w:bookmarkEnd w:id="588"/>
      <w:bookmarkEnd w:id="589"/>
      <w:bookmarkEnd w:id="590"/>
      <w:bookmarkEnd w:id="591"/>
      <w:bookmarkEnd w:id="592"/>
      <w:bookmarkEnd w:id="593"/>
    </w:p>
    <w:p w14:paraId="16961E33">
      <w:pPr>
        <w:pStyle w:val="2"/>
        <w:numPr>
          <w:ilvl w:val="0"/>
          <w:numId w:val="24"/>
        </w:numPr>
        <w:spacing w:before="0" w:beforeLines="0" w:after="0" w:afterLines="0"/>
        <w:ind w:firstLine="640" w:firstLineChars="200"/>
        <w:rPr>
          <w:rFonts w:ascii="宋体" w:hAnsi="宋体" w:eastAsia="楷体_GB2312" w:cs="楷体_GB2312"/>
          <w:b w:val="0"/>
          <w:color w:val="auto"/>
        </w:rPr>
      </w:pPr>
      <w:bookmarkStart w:id="594" w:name="_Toc87455750"/>
      <w:r>
        <w:rPr>
          <w:rFonts w:hint="eastAsia" w:ascii="宋体" w:hAnsi="宋体" w:eastAsia="楷体_GB2312" w:cs="楷体_GB2312"/>
          <w:b w:val="0"/>
          <w:color w:val="auto"/>
        </w:rPr>
        <w:t>行动目标</w:t>
      </w:r>
      <w:bookmarkEnd w:id="594"/>
    </w:p>
    <w:p w14:paraId="3F383162">
      <w:pPr>
        <w:pStyle w:val="204"/>
        <w:adjustRightInd w:val="0"/>
        <w:spacing w:after="0" w:afterLines="0"/>
        <w:ind w:firstLine="640"/>
        <w:rPr>
          <w:rFonts w:ascii="宋体" w:hAnsi="宋体" w:eastAsia="仿宋_GB2312"/>
          <w:sz w:val="32"/>
        </w:rPr>
      </w:pPr>
      <w:r>
        <w:rPr>
          <w:rFonts w:hint="eastAsia" w:ascii="宋体" w:hAnsi="宋体" w:eastAsia="仿宋_GB2312"/>
          <w:sz w:val="32"/>
        </w:rPr>
        <w:t>有效解决全市“有路无灯、有灯不亮”等路灯照明问题，关注市民生活区夜间环境，让路灯照亮市民回家路。在“十四五”末期，城市照明设施完好率、亮灯率达到主要指标，实现市民路灯投诉率大幅下降，诉求解决率达到93%以上、回访满意率达到95%以上。初步实现城市照明管理智能化，打造首都安全、舒适、优质、绿色的夜间照明环境。</w:t>
      </w:r>
    </w:p>
    <w:p w14:paraId="2E3DB4EC">
      <w:pPr>
        <w:pStyle w:val="2"/>
        <w:numPr>
          <w:ilvl w:val="0"/>
          <w:numId w:val="24"/>
        </w:numPr>
        <w:spacing w:before="0" w:beforeLines="0" w:after="0" w:afterLines="0"/>
        <w:ind w:firstLine="640" w:firstLineChars="200"/>
        <w:rPr>
          <w:rFonts w:ascii="宋体" w:hAnsi="宋体" w:eastAsia="楷体_GB2312" w:cs="楷体_GB2312"/>
          <w:b w:val="0"/>
          <w:color w:val="auto"/>
        </w:rPr>
      </w:pPr>
      <w:bookmarkStart w:id="595" w:name="_Toc87455751"/>
      <w:r>
        <w:rPr>
          <w:rFonts w:hint="eastAsia" w:ascii="宋体" w:hAnsi="宋体" w:eastAsia="楷体_GB2312" w:cs="楷体_GB2312"/>
          <w:b w:val="0"/>
          <w:color w:val="auto"/>
        </w:rPr>
        <w:t>行动内容</w:t>
      </w:r>
      <w:bookmarkEnd w:id="595"/>
    </w:p>
    <w:p w14:paraId="7B545969">
      <w:pPr>
        <w:pStyle w:val="204"/>
        <w:adjustRightInd w:val="0"/>
        <w:spacing w:after="0" w:afterLines="0"/>
        <w:ind w:firstLine="640"/>
        <w:rPr>
          <w:rFonts w:ascii="宋体" w:hAnsi="宋体" w:eastAsia="仿宋_GB2312"/>
          <w:sz w:val="32"/>
        </w:rPr>
      </w:pPr>
      <w:r>
        <w:rPr>
          <w:rFonts w:hint="eastAsia" w:ascii="宋体" w:hAnsi="宋体" w:eastAsia="仿宋_GB2312"/>
          <w:sz w:val="32"/>
        </w:rPr>
        <w:t>一是加快推进“有路无灯”治理。持续开展无灯路（含未移交道路）排查，建立问题台账、完善挂账销账制度，创新工作思路，多渠道筹措资金，简化优化增设路灯的审批流程，有效解决无灯路路灯建设问题。配合冬奥进程，完成延庆区八峪路、沈韩路等路灯建设工作。各区应根据情况安排建设计划，逐步消除有路无灯情况。</w:t>
      </w:r>
    </w:p>
    <w:p w14:paraId="38608A0F">
      <w:pPr>
        <w:pStyle w:val="204"/>
        <w:adjustRightInd w:val="0"/>
        <w:spacing w:after="0" w:afterLines="0"/>
        <w:ind w:firstLine="640"/>
        <w:rPr>
          <w:rFonts w:ascii="宋体" w:hAnsi="宋体" w:eastAsia="仿宋_GB2312"/>
          <w:sz w:val="32"/>
        </w:rPr>
      </w:pPr>
      <w:r>
        <w:rPr>
          <w:rFonts w:hint="eastAsia" w:ascii="宋体" w:hAnsi="宋体" w:eastAsia="仿宋_GB2312"/>
          <w:sz w:val="32"/>
        </w:rPr>
        <w:t>二是持续治理“有灯不亮”问题。加强路灯巡检维护队伍建设，强化路灯巡视检修，完善问题快速发现和应急处置机制，有效降低路灯故障率。</w:t>
      </w:r>
    </w:p>
    <w:p w14:paraId="7A22E38D">
      <w:pPr>
        <w:pStyle w:val="204"/>
        <w:adjustRightInd w:val="0"/>
        <w:spacing w:after="0" w:afterLines="0"/>
        <w:ind w:firstLine="640"/>
        <w:rPr>
          <w:rFonts w:ascii="宋体" w:hAnsi="宋体" w:eastAsia="仿宋_GB2312"/>
          <w:sz w:val="32"/>
        </w:rPr>
      </w:pPr>
      <w:r>
        <w:rPr>
          <w:rFonts w:hint="eastAsia" w:ascii="宋体" w:hAnsi="宋体" w:eastAsia="仿宋_GB2312"/>
          <w:sz w:val="32"/>
        </w:rPr>
        <w:t>三是推进城市照明管理智慧化。搭建全市路灯信息化、智能化管理平台，逐步完善分区路灯管理监控系统。</w:t>
      </w:r>
    </w:p>
    <w:p w14:paraId="385DA498">
      <w:pPr>
        <w:pStyle w:val="204"/>
        <w:adjustRightInd w:val="0"/>
        <w:spacing w:after="0" w:afterLines="0"/>
        <w:ind w:firstLine="640"/>
        <w:rPr>
          <w:rFonts w:ascii="宋体" w:hAnsi="宋体" w:eastAsia="仿宋_GB2312"/>
          <w:sz w:val="32"/>
        </w:rPr>
        <w:sectPr>
          <w:footerReference r:id="rId10" w:type="first"/>
          <w:footerReference r:id="rId8" w:type="default"/>
          <w:footerReference r:id="rId9" w:type="even"/>
          <w:pgSz w:w="11906" w:h="16838"/>
          <w:pgMar w:top="2098" w:right="1474" w:bottom="1984" w:left="1587" w:header="850" w:footer="1587" w:gutter="0"/>
          <w:cols w:space="425" w:num="1"/>
          <w:titlePg/>
          <w:docGrid w:type="lines" w:linePitch="312" w:charSpace="0"/>
        </w:sectPr>
      </w:pPr>
    </w:p>
    <w:p w14:paraId="69D59482">
      <w:pPr>
        <w:pStyle w:val="204"/>
        <w:adjustRightInd w:val="0"/>
        <w:spacing w:after="0" w:afterLines="0"/>
        <w:ind w:firstLine="640"/>
        <w:rPr>
          <w:rFonts w:ascii="宋体" w:hAnsi="宋体"/>
        </w:rPr>
      </w:pPr>
      <w:r>
        <w:rPr>
          <w:rFonts w:hint="eastAsia" w:ascii="宋体" w:hAnsi="宋体" w:eastAsia="仿宋_GB2312"/>
          <w:sz w:val="32"/>
        </w:rPr>
        <w:t>四是建立路灯长效管护机制。针对小区道路、园林道路、河湖道路、桥下通行空间等配套功能照明管理，进一步落实责任主体，明确管理职责，理顺和规范统筹监管体系。</w:t>
      </w:r>
    </w:p>
    <w:p w14:paraId="68B31C47">
      <w:pPr>
        <w:pStyle w:val="6"/>
        <w:keepNext w:val="0"/>
        <w:keepLines w:val="0"/>
        <w:adjustRightInd w:val="0"/>
        <w:spacing w:before="0" w:beforeLines="0" w:after="0" w:afterLines="0"/>
        <w:ind w:firstLine="640" w:firstLineChars="200"/>
        <w:rPr>
          <w:rFonts w:ascii="宋体" w:hAnsi="宋体" w:eastAsia="黑体" w:cs="黑体"/>
          <w:b w:val="0"/>
          <w:sz w:val="32"/>
        </w:rPr>
      </w:pPr>
      <w:bookmarkStart w:id="596" w:name="_Toc1258"/>
      <w:bookmarkStart w:id="597" w:name="_Toc28701"/>
      <w:bookmarkStart w:id="598" w:name="_Toc88656260"/>
      <w:bookmarkStart w:id="599" w:name="_Toc8452"/>
      <w:bookmarkStart w:id="600" w:name="_Toc31432"/>
      <w:bookmarkStart w:id="601" w:name="_Toc31407"/>
      <w:r>
        <w:rPr>
          <w:rFonts w:hint="eastAsia" w:ascii="宋体" w:hAnsi="宋体" w:eastAsia="黑体" w:cs="黑体"/>
          <w:b w:val="0"/>
          <w:sz w:val="32"/>
        </w:rPr>
        <w:t>二、重点建设项目</w:t>
      </w:r>
      <w:bookmarkEnd w:id="596"/>
      <w:bookmarkEnd w:id="597"/>
      <w:bookmarkEnd w:id="598"/>
      <w:bookmarkEnd w:id="599"/>
      <w:bookmarkEnd w:id="600"/>
      <w:bookmarkEnd w:id="601"/>
    </w:p>
    <w:p w14:paraId="51C02A3E">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2" w:name="_Toc87455754"/>
      <w:r>
        <w:rPr>
          <w:rFonts w:hint="eastAsia" w:ascii="宋体" w:hAnsi="宋体" w:eastAsia="楷体_GB2312" w:cs="楷体_GB2312"/>
          <w:b w:val="0"/>
          <w:color w:val="auto"/>
        </w:rPr>
        <w:t>首都功能核心区照明设施升级</w:t>
      </w:r>
      <w:bookmarkEnd w:id="602"/>
    </w:p>
    <w:p w14:paraId="03786147">
      <w:pPr>
        <w:pStyle w:val="204"/>
        <w:adjustRightInd w:val="0"/>
        <w:spacing w:after="0" w:afterLines="0"/>
        <w:ind w:firstLine="640"/>
        <w:rPr>
          <w:rFonts w:ascii="宋体" w:hAnsi="宋体" w:eastAsia="仿宋_GB2312"/>
          <w:sz w:val="32"/>
        </w:rPr>
      </w:pPr>
      <w:r>
        <w:rPr>
          <w:rFonts w:hint="eastAsia" w:ascii="宋体" w:hAnsi="宋体" w:eastAsia="仿宋_GB2312"/>
          <w:sz w:val="32"/>
        </w:rPr>
        <w:t>全面改造升级首都功能核心区城市道路照明设施，实施照明设施架空线入地，更换老旧路灯灯具，狭窄街道、道路交叉口可考虑“多杆合一”节约资源，适当增加便民设施，方便市民出行。</w:t>
      </w:r>
    </w:p>
    <w:p w14:paraId="476F4570">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3" w:name="_Toc87455755"/>
      <w:r>
        <w:rPr>
          <w:rFonts w:hint="eastAsia" w:ascii="宋体" w:hAnsi="宋体" w:eastAsia="楷体_GB2312" w:cs="楷体_GB2312"/>
          <w:b w:val="0"/>
          <w:color w:val="auto"/>
        </w:rPr>
        <w:t>城市副中心“多功能灯杆”建设</w:t>
      </w:r>
      <w:bookmarkEnd w:id="603"/>
    </w:p>
    <w:p w14:paraId="631F832A">
      <w:pPr>
        <w:pStyle w:val="204"/>
        <w:adjustRightInd w:val="0"/>
        <w:spacing w:after="0" w:afterLines="0"/>
        <w:ind w:firstLine="640"/>
        <w:rPr>
          <w:rFonts w:ascii="宋体" w:hAnsi="宋体" w:eastAsia="仿宋_GB2312"/>
          <w:sz w:val="32"/>
        </w:rPr>
      </w:pPr>
      <w:r>
        <w:rPr>
          <w:rFonts w:hint="eastAsia" w:ascii="宋体" w:hAnsi="宋体" w:eastAsia="仿宋_GB2312"/>
          <w:sz w:val="32"/>
        </w:rPr>
        <w:t>运用5G技术推动城市副中心范围内重点道路，包括智能照明、交通管理、气象监测等“多功能灯杆”的建设升级，提升城市照明运行效能，提升市政设施综合利用率，扩大道路公共空间；建设智能控制系统，对灯杆进行集约化管理，加强设备管理、运营展示、安全保障。</w:t>
      </w:r>
    </w:p>
    <w:p w14:paraId="62BF6DA2">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4" w:name="_Toc87455756"/>
      <w:r>
        <w:rPr>
          <w:rFonts w:hint="eastAsia" w:ascii="宋体" w:hAnsi="宋体" w:eastAsia="楷体_GB2312" w:cs="楷体_GB2312"/>
          <w:b w:val="0"/>
          <w:color w:val="auto"/>
        </w:rPr>
        <w:t>怀柔科学城重点区域城市照明提升</w:t>
      </w:r>
      <w:bookmarkEnd w:id="604"/>
    </w:p>
    <w:p w14:paraId="5810BD2F">
      <w:pPr>
        <w:pStyle w:val="204"/>
        <w:adjustRightInd w:val="0"/>
        <w:spacing w:after="0" w:afterLines="0"/>
        <w:ind w:firstLine="640"/>
        <w:rPr>
          <w:rFonts w:ascii="宋体" w:hAnsi="宋体" w:eastAsia="仿宋_GB2312"/>
          <w:sz w:val="32"/>
        </w:rPr>
      </w:pPr>
      <w:r>
        <w:rPr>
          <w:rFonts w:hint="eastAsia" w:ascii="宋体" w:hAnsi="宋体" w:eastAsia="仿宋_GB2312"/>
          <w:sz w:val="32"/>
        </w:rPr>
        <w:t>以杨雁路智慧路灯系统为标杆，在科学城重点区域具备条件路段进行“多杆合一”试点项目，将科技创新融入城市照明建设中，积极探索“多功能灯杆”“高效低能”等新的技术手段，为怀柔科学城城市照明管理工作起到示范引领作用。</w:t>
      </w:r>
    </w:p>
    <w:p w14:paraId="2D0EEB99">
      <w:pPr>
        <w:pStyle w:val="204"/>
        <w:adjustRightInd w:val="0"/>
        <w:spacing w:after="0" w:afterLines="0"/>
        <w:ind w:firstLine="640"/>
        <w:rPr>
          <w:rFonts w:ascii="宋体" w:hAnsi="宋体" w:eastAsia="仿宋_GB2312"/>
          <w:sz w:val="32"/>
        </w:rPr>
      </w:pPr>
      <w:r>
        <w:rPr>
          <w:rFonts w:hint="eastAsia" w:ascii="宋体" w:hAnsi="宋体" w:eastAsia="仿宋_GB2312"/>
          <w:sz w:val="32"/>
        </w:rPr>
        <w:t>怀柔科学城重点区域景观照明提升项目。以怀柔科学城起步区、中心区南部组团、科学城东区一装置五平台及雁栖河生态廊道地块为重要节点，在科学城进行试点项目，将科技创新融入城市照明建设中，积极探索LED太阳能演绎灯光系统及太阳能演绎灯光智能控制系统；采用可提升效率、降低整体建设成本的低压48V灯具等新技术手段，提升怀柔科学城城市景观照明效果。</w:t>
      </w:r>
    </w:p>
    <w:p w14:paraId="485BDC38">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5" w:name="_Toc87455757"/>
      <w:r>
        <w:rPr>
          <w:rFonts w:hint="eastAsia" w:ascii="宋体" w:hAnsi="宋体" w:eastAsia="楷体_GB2312" w:cs="楷体_GB2312"/>
          <w:b w:val="0"/>
          <w:color w:val="auto"/>
        </w:rPr>
        <w:t>“两轴、一环”景观照明提升</w:t>
      </w:r>
      <w:bookmarkEnd w:id="605"/>
    </w:p>
    <w:p w14:paraId="3AB33C84">
      <w:pPr>
        <w:pStyle w:val="204"/>
        <w:adjustRightInd w:val="0"/>
        <w:spacing w:after="0" w:afterLines="0"/>
        <w:ind w:firstLine="640"/>
        <w:rPr>
          <w:rFonts w:ascii="宋体" w:hAnsi="宋体" w:eastAsia="仿宋_GB2312"/>
          <w:sz w:val="32"/>
        </w:rPr>
      </w:pPr>
      <w:r>
        <w:rPr>
          <w:rFonts w:hint="eastAsia" w:ascii="宋体" w:hAnsi="宋体" w:eastAsia="仿宋_GB2312"/>
          <w:sz w:val="32"/>
        </w:rPr>
        <w:t>完善长安街东、西延长线景观照明，打通与城市副中心、通州大运河文化带、西山永定河文化带的夜间景观联系线，形成庄重、明亮、大气、典雅的夜间照明氛围；补充中轴线（永定门—奥运场馆区）永定门公园、地安门外大街、鼓楼外大街（黄寺大街以南）等未设景观照明的区域，强化奥林匹克中心区国际交往功能，完善国家会议中心二期、亚洲金融大厦等新建建筑的景观照明，展示传统文化精髓，体现现代文明美丽，营造古今交相辉映的夜间景象；完成二环沿线左安门桥、景泰桥等桥体景观照明改造项目。</w:t>
      </w:r>
    </w:p>
    <w:p w14:paraId="358E6A74">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6" w:name="_Toc87455758"/>
      <w:r>
        <w:rPr>
          <w:rFonts w:hint="eastAsia" w:ascii="宋体" w:hAnsi="宋体" w:eastAsia="楷体_GB2312" w:cs="楷体_GB2312"/>
          <w:b w:val="0"/>
          <w:color w:val="auto"/>
        </w:rPr>
        <w:t>通州区景观照明提升</w:t>
      </w:r>
      <w:bookmarkEnd w:id="606"/>
    </w:p>
    <w:p w14:paraId="0FE7B182">
      <w:pPr>
        <w:pStyle w:val="204"/>
        <w:adjustRightInd w:val="0"/>
        <w:spacing w:after="0" w:afterLines="0"/>
        <w:ind w:firstLine="640"/>
        <w:rPr>
          <w:rFonts w:ascii="宋体" w:hAnsi="宋体" w:eastAsia="仿宋_GB2312"/>
          <w:sz w:val="32"/>
        </w:rPr>
      </w:pPr>
      <w:r>
        <w:rPr>
          <w:rFonts w:hint="eastAsia" w:ascii="宋体" w:hAnsi="宋体" w:eastAsia="仿宋_GB2312"/>
          <w:sz w:val="32"/>
        </w:rPr>
        <w:t>持续开展通州区商务中心区、北京环球主题公园及度假区等区域景观照明建设；重点塑造城市绿心、通惠河（八里桥—五河交汇）、运潮减河景观带、减河公园等市民夜间游憩场所，丰富文化体验；优化新华大街（通州融媒体中心—东关大桥）、通济路（北运河大桥—京津公路）景观照明品质，美化市民出行环境。</w:t>
      </w:r>
    </w:p>
    <w:p w14:paraId="2F4AE16F">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7" w:name="_Toc87455759"/>
      <w:r>
        <w:rPr>
          <w:rFonts w:hint="eastAsia" w:ascii="宋体" w:hAnsi="宋体" w:eastAsia="楷体_GB2312" w:cs="楷体_GB2312"/>
          <w:b w:val="0"/>
          <w:color w:val="auto"/>
        </w:rPr>
        <w:t>大运河文化带景观照明提升</w:t>
      </w:r>
      <w:bookmarkEnd w:id="607"/>
    </w:p>
    <w:p w14:paraId="354CBA54">
      <w:pPr>
        <w:pStyle w:val="204"/>
        <w:adjustRightInd w:val="0"/>
        <w:spacing w:after="0" w:afterLines="0"/>
        <w:ind w:firstLine="640"/>
        <w:rPr>
          <w:rFonts w:ascii="宋体" w:hAnsi="宋体" w:eastAsia="仿宋_GB2312"/>
          <w:sz w:val="32"/>
        </w:rPr>
      </w:pPr>
      <w:r>
        <w:rPr>
          <w:rFonts w:hint="eastAsia" w:ascii="宋体" w:hAnsi="宋体" w:eastAsia="仿宋_GB2312"/>
          <w:sz w:val="32"/>
        </w:rPr>
        <w:t>继续深入挖掘以大运河为中心的历史文化资源，持续推进运河沿岸景观照明提升工程，重点建设甘棠闸到杨家洼河段，增加水岸线、桥梁及绿化带等照明设计，满足北运河城市副中心段40公里河道全线通航的观赏性、趣味性提升需求。</w:t>
      </w:r>
    </w:p>
    <w:p w14:paraId="7E784710">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8" w:name="_Toc87455760"/>
      <w:r>
        <w:rPr>
          <w:rFonts w:hint="eastAsia" w:ascii="宋体" w:hAnsi="宋体" w:eastAsia="楷体_GB2312" w:cs="楷体_GB2312"/>
          <w:b w:val="0"/>
          <w:color w:val="auto"/>
        </w:rPr>
        <w:t>西山永定河文化带景观照明建设</w:t>
      </w:r>
      <w:bookmarkEnd w:id="608"/>
    </w:p>
    <w:p w14:paraId="63534CB0">
      <w:pPr>
        <w:pStyle w:val="204"/>
        <w:adjustRightInd w:val="0"/>
        <w:spacing w:after="0" w:afterLines="0"/>
        <w:ind w:firstLine="640"/>
        <w:rPr>
          <w:rFonts w:ascii="宋体" w:hAnsi="宋体" w:eastAsia="仿宋_GB2312"/>
          <w:sz w:val="32"/>
        </w:rPr>
      </w:pPr>
      <w:r>
        <w:rPr>
          <w:rFonts w:hint="eastAsia" w:ascii="宋体" w:hAnsi="宋体" w:eastAsia="仿宋_GB2312"/>
          <w:sz w:val="32"/>
        </w:rPr>
        <w:t>推进西山永定河文化带在石景山、门头沟区段的景观照明建设，塑造可游可赏、优美秀丽的山水文化画卷。</w:t>
      </w:r>
    </w:p>
    <w:p w14:paraId="4D26FFF1">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09" w:name="_Toc87455761"/>
      <w:r>
        <w:rPr>
          <w:rFonts w:hint="eastAsia" w:ascii="宋体" w:hAnsi="宋体" w:eastAsia="楷体_GB2312" w:cs="楷体_GB2312"/>
          <w:b w:val="0"/>
          <w:color w:val="auto"/>
        </w:rPr>
        <w:t>平安大街景观照明建设</w:t>
      </w:r>
      <w:bookmarkEnd w:id="609"/>
    </w:p>
    <w:p w14:paraId="6B9E02E3">
      <w:pPr>
        <w:pStyle w:val="204"/>
        <w:adjustRightInd w:val="0"/>
        <w:spacing w:after="0" w:afterLines="0"/>
        <w:ind w:firstLine="640"/>
        <w:rPr>
          <w:rFonts w:ascii="宋体" w:hAnsi="宋体" w:eastAsia="仿宋_GB2312"/>
          <w:sz w:val="32"/>
        </w:rPr>
      </w:pPr>
      <w:r>
        <w:rPr>
          <w:rFonts w:hint="eastAsia" w:ascii="宋体" w:hAnsi="宋体" w:eastAsia="仿宋_GB2312"/>
          <w:sz w:val="32"/>
        </w:rPr>
        <w:t>平安大街是北京重要的综合服务类街道和文化景观街道，景观照明应配合整体环境整治提升，延续老城照明秩序，还原历史文化建筑在历史沿革中自然形成的传统向现代过渡的特征界面。突出地铁出入口、街区公园节点，满足居民游客夜间安全出行、休闲观景、体验古都文化的功能需要。</w:t>
      </w:r>
    </w:p>
    <w:p w14:paraId="5702903D">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0" w:name="_Toc87455762"/>
      <w:r>
        <w:rPr>
          <w:rFonts w:hint="eastAsia" w:ascii="宋体" w:hAnsi="宋体" w:eastAsia="楷体_GB2312" w:cs="楷体_GB2312"/>
          <w:b w:val="0"/>
          <w:color w:val="auto"/>
        </w:rPr>
        <w:t>“三环、四环”夜景效果提升</w:t>
      </w:r>
      <w:bookmarkEnd w:id="610"/>
    </w:p>
    <w:p w14:paraId="229EE80F">
      <w:pPr>
        <w:pStyle w:val="204"/>
        <w:adjustRightInd w:val="0"/>
        <w:spacing w:after="0" w:afterLines="0"/>
        <w:ind w:firstLine="640"/>
        <w:rPr>
          <w:rFonts w:ascii="宋体" w:hAnsi="宋体" w:eastAsia="仿宋_GB2312"/>
          <w:sz w:val="32"/>
        </w:rPr>
      </w:pPr>
      <w:r>
        <w:rPr>
          <w:rFonts w:hint="eastAsia" w:ascii="宋体" w:hAnsi="宋体" w:eastAsia="仿宋_GB2312"/>
          <w:sz w:val="32"/>
        </w:rPr>
        <w:t>补充完善三环路、四环路沿线景观照明，整体提升夜景效果。</w:t>
      </w:r>
    </w:p>
    <w:p w14:paraId="3B1F7BCF">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1" w:name="_Toc87455763"/>
      <w:r>
        <w:rPr>
          <w:rFonts w:hint="eastAsia" w:ascii="宋体" w:hAnsi="宋体" w:eastAsia="楷体_GB2312" w:cs="楷体_GB2312"/>
          <w:b w:val="0"/>
          <w:color w:val="auto"/>
        </w:rPr>
        <w:t>城市重要联络线景观照明提升</w:t>
      </w:r>
      <w:bookmarkEnd w:id="611"/>
    </w:p>
    <w:p w14:paraId="5B139737">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加强首都功能核心区与城市副中心、怀柔科学城等城市重要发展区域的联系作用，有计划有步骤的完成广渠路、朝阳北路和朝阳路三条景观廊道；加强对机场高速、京藏高速、京承高速两侧重要节点的塑造，形成具有时代感、首都特色的夜间景观。</w:t>
      </w:r>
    </w:p>
    <w:p w14:paraId="0F881920">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2" w:name="_Toc87455764"/>
      <w:r>
        <w:rPr>
          <w:rFonts w:hint="eastAsia" w:ascii="宋体" w:hAnsi="宋体" w:eastAsia="楷体_GB2312" w:cs="楷体_GB2312"/>
          <w:b w:val="0"/>
          <w:color w:val="auto"/>
        </w:rPr>
        <w:t>朝阳区景观照明提升</w:t>
      </w:r>
      <w:bookmarkEnd w:id="612"/>
    </w:p>
    <w:p w14:paraId="755EC903">
      <w:pPr>
        <w:pStyle w:val="204"/>
        <w:adjustRightInd w:val="0"/>
        <w:spacing w:after="0" w:afterLines="0"/>
        <w:ind w:firstLine="640"/>
        <w:rPr>
          <w:rFonts w:ascii="宋体" w:hAnsi="宋体" w:eastAsia="仿宋_GB2312"/>
          <w:sz w:val="32"/>
        </w:rPr>
      </w:pPr>
      <w:r>
        <w:rPr>
          <w:rFonts w:hint="eastAsia" w:ascii="宋体" w:hAnsi="宋体" w:eastAsia="仿宋_GB2312"/>
          <w:sz w:val="32"/>
        </w:rPr>
        <w:t>强化北京朝阳站周边夜景景观，提升京沈客专沿线以及北京朝阳站周边夜间环境，打造良好的进京第一印象区。提升亮马河沿岸建筑物夜景景观，配合绿道通航工程，营造城市滨河夜游氛围，将亮马河变为夜游新景点，打造国际风情水岸，展现北京风貌。围绕金盏自贸区开展夜间景观建设，打造国际商务服务形象。</w:t>
      </w:r>
    </w:p>
    <w:p w14:paraId="5B94DB3B">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3" w:name="_Toc87455765"/>
      <w:r>
        <w:rPr>
          <w:rFonts w:hint="eastAsia" w:ascii="宋体" w:hAnsi="宋体" w:eastAsia="楷体_GB2312" w:cs="楷体_GB2312"/>
          <w:b w:val="0"/>
          <w:color w:val="auto"/>
        </w:rPr>
        <w:t>冬奥会场馆区景观照明建设</w:t>
      </w:r>
      <w:bookmarkEnd w:id="613"/>
    </w:p>
    <w:p w14:paraId="7F172A38">
      <w:pPr>
        <w:pStyle w:val="204"/>
        <w:adjustRightInd w:val="0"/>
        <w:spacing w:after="0" w:afterLines="0"/>
        <w:ind w:firstLine="640"/>
        <w:rPr>
          <w:rFonts w:ascii="宋体" w:hAnsi="宋体" w:eastAsia="仿宋_GB2312"/>
          <w:sz w:val="32"/>
        </w:rPr>
      </w:pPr>
      <w:r>
        <w:rPr>
          <w:rFonts w:hint="eastAsia" w:ascii="宋体" w:hAnsi="宋体" w:eastAsia="仿宋_GB2312"/>
          <w:sz w:val="32"/>
        </w:rPr>
        <w:t>配合冬奥会建设进程，补充完善北京冬奥村、奥林匹克中心区（冬奥场馆）、首体冬奥场馆区、五棵松冬奥场馆、延庆冬奥村等冬奥会举办地的景观照明，在符合节约用能的政策引领下，营造符合奥运主题、时代精神的一系列灯光演绎。</w:t>
      </w:r>
    </w:p>
    <w:p w14:paraId="187EB39F">
      <w:pPr>
        <w:pStyle w:val="2"/>
        <w:numPr>
          <w:ilvl w:val="0"/>
          <w:numId w:val="25"/>
        </w:numPr>
        <w:spacing w:before="0" w:beforeLines="0" w:after="0" w:afterLines="0"/>
        <w:ind w:firstLine="640" w:firstLineChars="200"/>
        <w:rPr>
          <w:rFonts w:ascii="宋体" w:hAnsi="宋体" w:eastAsia="楷体_GB2312" w:cs="楷体_GB2312"/>
          <w:b w:val="0"/>
          <w:color w:val="auto"/>
        </w:rPr>
      </w:pPr>
      <w:bookmarkStart w:id="614" w:name="_Toc87455766"/>
      <w:r>
        <w:rPr>
          <w:rFonts w:hint="eastAsia" w:ascii="宋体" w:hAnsi="宋体" w:eastAsia="楷体_GB2312" w:cs="楷体_GB2312"/>
          <w:b w:val="0"/>
          <w:color w:val="auto"/>
        </w:rPr>
        <w:t>城市门户及重要联系线景观照明提升</w:t>
      </w:r>
      <w:bookmarkEnd w:id="614"/>
    </w:p>
    <w:p w14:paraId="27A0E37C">
      <w:pPr>
        <w:pStyle w:val="204"/>
        <w:adjustRightInd w:val="0"/>
        <w:spacing w:after="0" w:afterLines="0"/>
        <w:ind w:firstLine="640"/>
        <w:rPr>
          <w:rFonts w:ascii="宋体" w:hAnsi="宋体" w:eastAsia="仿宋_GB2312"/>
          <w:sz w:val="32"/>
        </w:rPr>
      </w:pPr>
      <w:r>
        <w:rPr>
          <w:rFonts w:hint="eastAsia" w:ascii="宋体" w:hAnsi="宋体" w:eastAsia="仿宋_GB2312"/>
          <w:sz w:val="32"/>
        </w:rPr>
        <w:t>强化大兴机场临空经济区、北京南站、北京北站等城市重要门户区景观照明，展现建筑结构美学，迎合冬奥精神，接待八方友人；完善机场高速、阜石路—冬奥会首钢赛区、北京—延庆冬奥会场馆联络线上重要景观界面和重要节点照明，形成明亮清新、现代简约的夜间环境。</w:t>
      </w:r>
    </w:p>
    <w:p w14:paraId="1E4D0C5F">
      <w:pPr>
        <w:pStyle w:val="5"/>
        <w:rPr>
          <w:rStyle w:val="194"/>
          <w:rFonts w:ascii="宋体" w:hAnsi="宋体" w:eastAsia="方正小标宋简体" w:cs="方正小标宋简体"/>
          <w:b w:val="0"/>
          <w:bCs w:val="0"/>
        </w:rPr>
      </w:pPr>
      <w:bookmarkStart w:id="615" w:name="_Toc16590"/>
      <w:bookmarkStart w:id="616" w:name="_Toc3046"/>
      <w:bookmarkStart w:id="617" w:name="_Toc12361"/>
      <w:bookmarkStart w:id="618" w:name="_Toc4495"/>
      <w:bookmarkStart w:id="619" w:name="_Toc25105"/>
      <w:bookmarkStart w:id="620" w:name="_Toc88656261"/>
      <w:r>
        <w:rPr>
          <w:rStyle w:val="194"/>
          <w:rFonts w:hint="eastAsia" w:ascii="宋体" w:hAnsi="宋体" w:eastAsia="方正小标宋简体" w:cs="方正小标宋简体"/>
          <w:b w:val="0"/>
          <w:bCs w:val="0"/>
        </w:rPr>
        <w:t>保障措施</w:t>
      </w:r>
      <w:bookmarkEnd w:id="615"/>
      <w:bookmarkEnd w:id="616"/>
      <w:bookmarkEnd w:id="617"/>
      <w:bookmarkEnd w:id="618"/>
      <w:bookmarkEnd w:id="619"/>
      <w:bookmarkEnd w:id="620"/>
    </w:p>
    <w:p w14:paraId="16F4BEC4">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21" w:name="_Toc4072"/>
      <w:bookmarkStart w:id="622" w:name="_Toc22457"/>
      <w:bookmarkStart w:id="623" w:name="_Toc15448"/>
      <w:bookmarkStart w:id="624" w:name="_Toc22568"/>
      <w:bookmarkStart w:id="625" w:name="_Toc4654"/>
      <w:bookmarkStart w:id="626" w:name="_Toc88656262"/>
      <w:bookmarkStart w:id="627" w:name="_Toc44257066"/>
      <w:bookmarkStart w:id="628" w:name="_Toc44256882"/>
      <w:bookmarkStart w:id="629" w:name="_Toc44697343"/>
      <w:bookmarkStart w:id="630" w:name="_Toc53662780"/>
      <w:bookmarkStart w:id="631" w:name="_Toc44697595"/>
      <w:r>
        <w:rPr>
          <w:rFonts w:hint="eastAsia" w:ascii="宋体" w:hAnsi="宋体" w:eastAsia="黑体" w:cs="黑体"/>
          <w:b w:val="0"/>
          <w:sz w:val="32"/>
        </w:rPr>
        <w:t>一、加强组织领导，保障实施成效</w:t>
      </w:r>
      <w:bookmarkEnd w:id="621"/>
      <w:bookmarkEnd w:id="622"/>
      <w:bookmarkEnd w:id="623"/>
      <w:bookmarkEnd w:id="624"/>
      <w:bookmarkEnd w:id="625"/>
      <w:bookmarkEnd w:id="626"/>
    </w:p>
    <w:p w14:paraId="1CC1E458">
      <w:pPr>
        <w:pStyle w:val="204"/>
        <w:adjustRightInd w:val="0"/>
        <w:spacing w:after="0" w:afterLines="0"/>
        <w:ind w:firstLine="640"/>
        <w:rPr>
          <w:rFonts w:ascii="宋体" w:hAnsi="宋体" w:eastAsia="仿宋_GB2312"/>
          <w:sz w:val="32"/>
        </w:rPr>
      </w:pPr>
      <w:r>
        <w:rPr>
          <w:rFonts w:hint="eastAsia" w:ascii="宋体" w:hAnsi="宋体" w:eastAsia="仿宋_GB2312"/>
          <w:sz w:val="32"/>
        </w:rPr>
        <w:t>在规划基础上，</w:t>
      </w:r>
      <w:r>
        <w:rPr>
          <w:rFonts w:hint="eastAsia" w:ascii="宋体" w:hAnsi="宋体" w:eastAsia="仿宋_GB2312"/>
          <w:sz w:val="32"/>
          <w:lang w:eastAsia="zh-Hans"/>
        </w:rPr>
        <w:t>各区</w:t>
      </w:r>
      <w:r>
        <w:rPr>
          <w:rFonts w:hint="eastAsia" w:ascii="宋体" w:hAnsi="宋体" w:eastAsia="仿宋_GB2312"/>
          <w:sz w:val="32"/>
        </w:rPr>
        <w:t>照明管理部门</w:t>
      </w:r>
      <w:r>
        <w:rPr>
          <w:rFonts w:hint="eastAsia" w:ascii="宋体" w:hAnsi="宋体" w:eastAsia="仿宋_GB2312"/>
          <w:sz w:val="32"/>
          <w:lang w:eastAsia="zh-Hans"/>
        </w:rPr>
        <w:t>应积极开展城市照明分区规划，以上位规划为依据，组织编制</w:t>
      </w:r>
      <w:r>
        <w:rPr>
          <w:rFonts w:hint="eastAsia" w:ascii="宋体" w:hAnsi="宋体" w:eastAsia="仿宋_GB2312"/>
          <w:sz w:val="32"/>
        </w:rPr>
        <w:t>重点区域照明控制性详细规划、照明修建性详细规划、规划设计导则，进一步完善作为单体项目设计方案的管理审批依据，指导项目实施落地。同时各区照明管理部门应合理安排项目建设计划，做到项目清单动态调整，有序开展城市照明工作。</w:t>
      </w:r>
    </w:p>
    <w:p w14:paraId="0F5D270F">
      <w:pPr>
        <w:pStyle w:val="204"/>
        <w:adjustRightInd w:val="0"/>
        <w:spacing w:after="0" w:afterLines="0"/>
        <w:ind w:firstLine="640"/>
        <w:rPr>
          <w:rFonts w:ascii="宋体" w:hAnsi="宋体" w:eastAsia="仿宋_GB2312"/>
          <w:sz w:val="32"/>
        </w:rPr>
      </w:pPr>
      <w:r>
        <w:rPr>
          <w:rFonts w:hint="eastAsia" w:ascii="宋体" w:hAnsi="宋体" w:eastAsia="仿宋_GB2312"/>
          <w:sz w:val="32"/>
        </w:rPr>
        <w:t>照明建设单位要依据市城市照明主管部门提供的规划条件进行方案设计，其照明方案应在规划指导下，突出艺术性与合理性，待方案审核通过后，由照明主管部门组织进行施工图审核，审核无误后，规划审批部门发放建设工程规划许可证，方可进行工程建设，建成后由照明主管部门组织竣工验收。新建道路照明工程竣工后，应交付运行维护单位。</w:t>
      </w:r>
    </w:p>
    <w:p w14:paraId="7A4FC168">
      <w:pPr>
        <w:pStyle w:val="204"/>
        <w:adjustRightInd w:val="0"/>
        <w:spacing w:after="0" w:afterLines="0"/>
        <w:ind w:firstLine="640"/>
        <w:rPr>
          <w:rFonts w:ascii="宋体" w:hAnsi="宋体" w:eastAsia="仿宋_GB2312"/>
          <w:sz w:val="32"/>
        </w:rPr>
      </w:pPr>
      <w:r>
        <w:rPr>
          <w:rFonts w:hint="eastAsia" w:ascii="宋体" w:hAnsi="宋体" w:eastAsia="仿宋_GB2312"/>
          <w:sz w:val="32"/>
        </w:rPr>
        <w:t>运行维护单位要根据国家标准、北京市地方标准以及相关规章要求，制定后期维护计划，对城市照明设施进行维护管养，加强日常巡检工作，保障照明设施平稳运行。</w:t>
      </w:r>
    </w:p>
    <w:p w14:paraId="6278ACB1">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32" w:name="_Toc701"/>
      <w:bookmarkStart w:id="633" w:name="_Toc88656263"/>
      <w:bookmarkStart w:id="634" w:name="_Toc16891"/>
      <w:bookmarkStart w:id="635" w:name="_Toc17996"/>
      <w:bookmarkStart w:id="636" w:name="_Toc10964"/>
      <w:bookmarkStart w:id="637" w:name="_Toc29061"/>
      <w:r>
        <w:rPr>
          <w:rFonts w:hint="eastAsia" w:ascii="宋体" w:hAnsi="宋体" w:eastAsia="黑体" w:cs="黑体"/>
          <w:b w:val="0"/>
          <w:sz w:val="32"/>
        </w:rPr>
        <w:t>二、完善运行规范，出台法规标准</w:t>
      </w:r>
      <w:bookmarkEnd w:id="632"/>
      <w:bookmarkEnd w:id="633"/>
      <w:bookmarkEnd w:id="634"/>
      <w:bookmarkEnd w:id="635"/>
      <w:bookmarkEnd w:id="636"/>
      <w:bookmarkEnd w:id="637"/>
    </w:p>
    <w:p w14:paraId="7047022B">
      <w:pPr>
        <w:pStyle w:val="204"/>
        <w:adjustRightInd w:val="0"/>
        <w:spacing w:after="0" w:afterLines="0"/>
        <w:ind w:firstLine="640"/>
        <w:rPr>
          <w:rFonts w:ascii="宋体" w:hAnsi="宋体" w:eastAsia="仿宋_GB2312"/>
          <w:sz w:val="32"/>
        </w:rPr>
      </w:pPr>
      <w:r>
        <w:rPr>
          <w:rFonts w:hint="eastAsia" w:ascii="宋体" w:hAnsi="宋体" w:eastAsia="仿宋_GB2312"/>
          <w:sz w:val="32"/>
        </w:rPr>
        <w:t>加快城市照明管理规章的出台，完善《城市道路照明运行维护规范》《城市景观照明运行维护规范》等各类北京市地方标准。</w:t>
      </w:r>
    </w:p>
    <w:p w14:paraId="35255661">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38" w:name="_Toc12249"/>
      <w:bookmarkStart w:id="639" w:name="_Toc26636"/>
      <w:bookmarkStart w:id="640" w:name="_Toc88656264"/>
      <w:bookmarkStart w:id="641" w:name="_Toc24287"/>
      <w:bookmarkStart w:id="642" w:name="_Toc28784"/>
      <w:bookmarkStart w:id="643" w:name="_Toc21259"/>
      <w:r>
        <w:rPr>
          <w:rFonts w:hint="eastAsia" w:ascii="宋体" w:hAnsi="宋体" w:eastAsia="黑体" w:cs="黑体"/>
          <w:b w:val="0"/>
          <w:sz w:val="32"/>
        </w:rPr>
        <w:t>三、完善体制机制，健全管理体系</w:t>
      </w:r>
      <w:bookmarkEnd w:id="638"/>
      <w:bookmarkEnd w:id="639"/>
      <w:bookmarkEnd w:id="640"/>
      <w:bookmarkEnd w:id="641"/>
      <w:bookmarkEnd w:id="642"/>
      <w:bookmarkEnd w:id="643"/>
    </w:p>
    <w:p w14:paraId="629B3A2D">
      <w:pPr>
        <w:pStyle w:val="204"/>
        <w:adjustRightInd w:val="0"/>
        <w:spacing w:after="0" w:afterLines="0"/>
        <w:ind w:firstLine="640"/>
        <w:rPr>
          <w:rFonts w:ascii="宋体" w:hAnsi="宋体" w:eastAsia="仿宋_GB2312"/>
          <w:sz w:val="32"/>
        </w:rPr>
      </w:pPr>
      <w:r>
        <w:rPr>
          <w:rFonts w:hint="eastAsia" w:ascii="宋体" w:hAnsi="宋体" w:eastAsia="仿宋_GB2312"/>
          <w:sz w:val="32"/>
        </w:rPr>
        <w:t>进一步加强城市照明领域组织领导，推进道路照明规划建设管理全流程、全覆盖有效监管。进一步明晰行政机关、事业单位、企业单位的职责分工，按照政事分开、事企分开的原则，破除现行体制机制障碍，科学调整现行城市照明运管机制，逐步完善城市照明规划、建设、运维、监管体系。</w:t>
      </w:r>
    </w:p>
    <w:p w14:paraId="231982F8">
      <w:pPr>
        <w:pStyle w:val="204"/>
        <w:adjustRightInd w:val="0"/>
        <w:spacing w:after="0" w:afterLines="0"/>
        <w:ind w:firstLine="640"/>
        <w:rPr>
          <w:rFonts w:ascii="宋体" w:hAnsi="宋体" w:eastAsia="仿宋_GB2312"/>
          <w:sz w:val="32"/>
        </w:rPr>
      </w:pPr>
      <w:r>
        <w:rPr>
          <w:rFonts w:hint="eastAsia" w:ascii="宋体" w:hAnsi="宋体" w:eastAsia="仿宋_GB2312"/>
          <w:sz w:val="32"/>
        </w:rPr>
        <w:t>加强城市管理部门联动和市、区、街乡镇照明管理部门城乡联动，实行市区分级管理、部门协调管理的高效联动机制。</w:t>
      </w:r>
    </w:p>
    <w:p w14:paraId="1BA38003">
      <w:pPr>
        <w:pStyle w:val="2"/>
        <w:numPr>
          <w:ilvl w:val="0"/>
          <w:numId w:val="26"/>
        </w:numPr>
        <w:spacing w:before="0" w:beforeLines="0" w:after="0" w:afterLines="0"/>
        <w:ind w:firstLine="640" w:firstLineChars="200"/>
        <w:rPr>
          <w:rFonts w:ascii="宋体" w:hAnsi="宋体" w:eastAsia="楷体_GB2312" w:cs="楷体_GB2312"/>
          <w:b w:val="0"/>
          <w:color w:val="auto"/>
        </w:rPr>
      </w:pPr>
      <w:bookmarkStart w:id="644" w:name="_Toc87455774"/>
      <w:r>
        <w:rPr>
          <w:rFonts w:hint="eastAsia" w:ascii="宋体" w:hAnsi="宋体" w:eastAsia="楷体_GB2312" w:cs="楷体_GB2312"/>
          <w:b w:val="0"/>
          <w:color w:val="auto"/>
        </w:rPr>
        <w:t>景观照明管理体系</w:t>
      </w:r>
      <w:bookmarkEnd w:id="644"/>
    </w:p>
    <w:p w14:paraId="373ABB74">
      <w:pPr>
        <w:pStyle w:val="204"/>
        <w:adjustRightInd w:val="0"/>
        <w:spacing w:after="0" w:afterLines="0"/>
        <w:ind w:firstLine="640"/>
        <w:rPr>
          <w:rFonts w:ascii="宋体" w:hAnsi="宋体" w:eastAsia="仿宋_GB2312"/>
          <w:sz w:val="32"/>
        </w:rPr>
      </w:pPr>
      <w:r>
        <w:rPr>
          <w:rFonts w:hint="eastAsia" w:ascii="宋体" w:hAnsi="宋体" w:eastAsia="仿宋_GB2312"/>
          <w:sz w:val="32"/>
        </w:rPr>
        <w:t>依照“统一规划、分级负责、分区管理、独立运行”的原则，逐步完善市、区景观照明的监管体系，进一步规范景观照明规划设计、项目审批、建设、运维、监督管理工作。</w:t>
      </w:r>
    </w:p>
    <w:p w14:paraId="0E40B2A9">
      <w:pPr>
        <w:pStyle w:val="2"/>
        <w:numPr>
          <w:ilvl w:val="0"/>
          <w:numId w:val="26"/>
        </w:numPr>
        <w:spacing w:before="0" w:beforeLines="0" w:after="0" w:afterLines="0"/>
        <w:ind w:firstLine="640" w:firstLineChars="200"/>
        <w:rPr>
          <w:rFonts w:ascii="宋体" w:hAnsi="宋体" w:eastAsia="楷体_GB2312" w:cs="楷体_GB2312"/>
          <w:b w:val="0"/>
          <w:color w:val="auto"/>
        </w:rPr>
      </w:pPr>
      <w:bookmarkStart w:id="645" w:name="_Toc87455775"/>
      <w:r>
        <w:rPr>
          <w:rFonts w:hint="eastAsia" w:ascii="宋体" w:hAnsi="宋体" w:eastAsia="楷体_GB2312" w:cs="楷体_GB2312"/>
          <w:b w:val="0"/>
          <w:color w:val="auto"/>
        </w:rPr>
        <w:t>道路照明管理体系</w:t>
      </w:r>
      <w:bookmarkEnd w:id="645"/>
    </w:p>
    <w:p w14:paraId="412D94E8">
      <w:pPr>
        <w:pStyle w:val="204"/>
        <w:adjustRightInd w:val="0"/>
        <w:spacing w:after="0" w:afterLines="0"/>
        <w:ind w:firstLine="640"/>
        <w:rPr>
          <w:rFonts w:ascii="宋体" w:hAnsi="宋体"/>
        </w:rPr>
      </w:pPr>
      <w:r>
        <w:rPr>
          <w:rFonts w:hint="eastAsia" w:ascii="宋体" w:hAnsi="宋体" w:eastAsia="仿宋_GB2312"/>
          <w:sz w:val="32"/>
        </w:rPr>
        <w:t>逐步构建运行高效的道路照明领域全覆盖、全流程统一监管体系，进一步理顺和规范各相关管理部门职责，逐步完善联动工作机制、监督检查机制，优化相关审批程序，提高审批效率。逐步实现道路照明管理的制度化、标准化、规范化和科学化。</w:t>
      </w:r>
    </w:p>
    <w:p w14:paraId="71F1BF67">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46" w:name="_Toc4185"/>
      <w:bookmarkStart w:id="647" w:name="_Toc28856"/>
      <w:bookmarkStart w:id="648" w:name="_Toc23046"/>
      <w:bookmarkStart w:id="649" w:name="_Toc88656265"/>
      <w:bookmarkStart w:id="650" w:name="_Toc22791"/>
      <w:bookmarkStart w:id="651" w:name="_Toc22027"/>
      <w:r>
        <w:rPr>
          <w:rFonts w:hint="eastAsia" w:ascii="宋体" w:hAnsi="宋体" w:eastAsia="黑体" w:cs="黑体"/>
          <w:b w:val="0"/>
          <w:sz w:val="32"/>
        </w:rPr>
        <w:t>四、推进规划落实，强化审核管理</w:t>
      </w:r>
      <w:bookmarkEnd w:id="646"/>
      <w:bookmarkEnd w:id="647"/>
      <w:bookmarkEnd w:id="648"/>
      <w:bookmarkEnd w:id="649"/>
      <w:bookmarkEnd w:id="650"/>
      <w:bookmarkEnd w:id="651"/>
    </w:p>
    <w:bookmarkEnd w:id="627"/>
    <w:bookmarkEnd w:id="628"/>
    <w:bookmarkEnd w:id="629"/>
    <w:bookmarkEnd w:id="630"/>
    <w:bookmarkEnd w:id="631"/>
    <w:p w14:paraId="7592157E">
      <w:pPr>
        <w:pStyle w:val="204"/>
        <w:adjustRightInd w:val="0"/>
        <w:spacing w:after="0" w:afterLines="0"/>
        <w:ind w:firstLine="640"/>
        <w:rPr>
          <w:rFonts w:ascii="宋体" w:hAnsi="宋体"/>
        </w:rPr>
      </w:pPr>
      <w:r>
        <w:rPr>
          <w:rFonts w:hint="eastAsia" w:ascii="宋体" w:hAnsi="宋体" w:eastAsia="仿宋_GB2312"/>
          <w:sz w:val="32"/>
        </w:rPr>
        <w:t>完善景观规划评审、建设方案审核工作机制。鼓励社会力量参与城市照明建设，加强对业主自主建设项目方案的指导审核管理工作，保证自主建设项目品质，促进自主性景观照明建设品质提升。</w:t>
      </w:r>
    </w:p>
    <w:p w14:paraId="0294CA99">
      <w:pPr>
        <w:ind w:firstLine="640" w:firstLineChars="200"/>
        <w:rPr>
          <w:rFonts w:ascii="宋体" w:hAnsi="宋体" w:eastAsia="仿宋_GB2312" w:cs="仿宋_GB2312"/>
          <w:kern w:val="0"/>
          <w:sz w:val="32"/>
          <w:szCs w:val="32"/>
        </w:rPr>
        <w:sectPr>
          <w:footerReference r:id="rId12" w:type="first"/>
          <w:footerReference r:id="rId11" w:type="default"/>
          <w:pgSz w:w="11906" w:h="16838"/>
          <w:pgMar w:top="2098" w:right="1474" w:bottom="1984" w:left="1587" w:header="850" w:footer="1587" w:gutter="0"/>
          <w:cols w:space="425" w:num="1"/>
          <w:titlePg/>
          <w:docGrid w:type="lines" w:linePitch="312" w:charSpace="0"/>
        </w:sectPr>
      </w:pPr>
    </w:p>
    <w:p w14:paraId="3F19C905">
      <w:pPr>
        <w:pStyle w:val="5"/>
        <w:rPr>
          <w:rStyle w:val="194"/>
          <w:rFonts w:ascii="宋体" w:hAnsi="宋体" w:eastAsia="方正小标宋简体" w:cs="方正小标宋简体"/>
          <w:b w:val="0"/>
          <w:bCs w:val="0"/>
        </w:rPr>
      </w:pPr>
      <w:bookmarkStart w:id="652" w:name="_Toc7830"/>
      <w:bookmarkStart w:id="653" w:name="_Toc9978"/>
      <w:bookmarkStart w:id="654" w:name="_Toc4000"/>
      <w:bookmarkStart w:id="655" w:name="_Toc87042575"/>
      <w:bookmarkStart w:id="656" w:name="_Toc2523"/>
      <w:bookmarkStart w:id="657" w:name="_Toc31125"/>
      <w:bookmarkStart w:id="658" w:name="_Toc88656266"/>
      <w:bookmarkStart w:id="659" w:name="_Toc87042576"/>
      <w:bookmarkStart w:id="660" w:name="_Hlk87456770"/>
      <w:r>
        <w:rPr>
          <w:rStyle w:val="194"/>
          <w:rFonts w:hint="eastAsia" w:ascii="宋体" w:hAnsi="宋体" w:eastAsia="方正小标宋简体" w:cs="方正小标宋简体"/>
          <w:b w:val="0"/>
          <w:bCs w:val="0"/>
        </w:rPr>
        <w:t>规划指标及要求</w:t>
      </w:r>
      <w:bookmarkEnd w:id="652"/>
      <w:bookmarkEnd w:id="653"/>
      <w:bookmarkEnd w:id="654"/>
      <w:bookmarkEnd w:id="655"/>
      <w:bookmarkEnd w:id="656"/>
      <w:bookmarkEnd w:id="657"/>
      <w:bookmarkEnd w:id="658"/>
    </w:p>
    <w:p w14:paraId="58F4509A">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61" w:name="_Toc19434"/>
      <w:bookmarkStart w:id="662" w:name="_Toc88656267"/>
      <w:bookmarkStart w:id="663" w:name="_Toc5568"/>
      <w:bookmarkStart w:id="664" w:name="_Toc21449"/>
      <w:bookmarkStart w:id="665" w:name="_Toc31441"/>
      <w:bookmarkStart w:id="666" w:name="_Toc14998"/>
      <w:r>
        <w:rPr>
          <w:rFonts w:hint="eastAsia" w:ascii="宋体" w:hAnsi="宋体" w:eastAsia="黑体" w:cs="黑体"/>
          <w:b w:val="0"/>
          <w:sz w:val="32"/>
        </w:rPr>
        <w:t>一、功能照明分区及控制指标</w:t>
      </w:r>
      <w:bookmarkEnd w:id="661"/>
      <w:bookmarkEnd w:id="662"/>
      <w:bookmarkEnd w:id="663"/>
      <w:bookmarkEnd w:id="664"/>
      <w:bookmarkEnd w:id="665"/>
      <w:bookmarkEnd w:id="666"/>
    </w:p>
    <w:p w14:paraId="7B7B389E">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道路照明</w:t>
      </w:r>
      <w:bookmarkEnd w:id="659"/>
    </w:p>
    <w:p w14:paraId="26C2A349">
      <w:pPr>
        <w:pStyle w:val="204"/>
        <w:adjustRightInd w:val="0"/>
        <w:spacing w:after="0" w:afterLines="0"/>
        <w:ind w:firstLine="640"/>
        <w:rPr>
          <w:rFonts w:ascii="宋体" w:hAnsi="宋体" w:eastAsia="仿宋_GB2312"/>
          <w:sz w:val="32"/>
        </w:rPr>
      </w:pPr>
      <w:r>
        <w:rPr>
          <w:rFonts w:hint="eastAsia" w:ascii="宋体" w:hAnsi="宋体" w:eastAsia="仿宋_GB2312"/>
          <w:sz w:val="32"/>
        </w:rPr>
        <w:t>在《北京中心城城市道路网规划》《北京市干线公路网规划》《北京市高速公路网规划》的基础上，将道路照明水平划分为四个等级：特级照明、一级照明、二级照明和三级照明。（见图13—1 城市道路等级规划图、图13—2 中心城道路等级规划图）</w:t>
      </w:r>
    </w:p>
    <w:p w14:paraId="5D1C58D9">
      <w:pPr>
        <w:pStyle w:val="204"/>
        <w:adjustRightInd w:val="0"/>
        <w:spacing w:after="0" w:afterLines="0"/>
        <w:ind w:firstLine="640"/>
        <w:rPr>
          <w:rFonts w:ascii="宋体" w:hAnsi="宋体" w:eastAsia="仿宋_GB2312"/>
          <w:sz w:val="32"/>
        </w:rPr>
      </w:pPr>
      <w:r>
        <w:rPr>
          <w:rFonts w:hint="eastAsia" w:ascii="宋体" w:hAnsi="宋体" w:eastAsia="仿宋_GB2312"/>
          <w:sz w:val="32"/>
        </w:rPr>
        <w:t>特级照明包括特殊景观重要性道路；一级照明包括北京市各城区、京津冀地区重要高速公路、一级公路及快速路联络线、城市快速路及城市主干道；二级照明包括城市次干道；三级照明包括城市支路。</w:t>
      </w:r>
    </w:p>
    <w:p w14:paraId="53E85237">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 </w:t>
      </w:r>
      <w:r>
        <w:rPr>
          <w:rFonts w:hint="eastAsia" w:ascii="宋体" w:hAnsi="宋体"/>
          <w:bCs w:val="0"/>
          <w:sz w:val="24"/>
        </w:rPr>
        <w:t>北京市城市道路照明等级控制表</w:t>
      </w:r>
    </w:p>
    <w:tbl>
      <w:tblPr>
        <w:tblStyle w:val="90"/>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642"/>
        <w:gridCol w:w="1056"/>
        <w:gridCol w:w="904"/>
        <w:gridCol w:w="832"/>
        <w:gridCol w:w="1207"/>
        <w:gridCol w:w="938"/>
        <w:gridCol w:w="900"/>
        <w:gridCol w:w="818"/>
      </w:tblGrid>
      <w:tr w14:paraId="26E1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64" w:type="dxa"/>
            <w:vMerge w:val="restart"/>
            <w:shd w:val="clear" w:color="auto" w:fill="auto"/>
            <w:vAlign w:val="center"/>
          </w:tcPr>
          <w:p w14:paraId="205E5296">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规划</w:t>
            </w:r>
          </w:p>
          <w:p w14:paraId="2722348E">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分类</w:t>
            </w:r>
          </w:p>
        </w:tc>
        <w:tc>
          <w:tcPr>
            <w:tcW w:w="1642" w:type="dxa"/>
            <w:vMerge w:val="restart"/>
            <w:shd w:val="clear" w:color="auto" w:fill="auto"/>
            <w:vAlign w:val="center"/>
          </w:tcPr>
          <w:p w14:paraId="5965A879">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道路</w:t>
            </w:r>
          </w:p>
          <w:p w14:paraId="2A406AA7">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类型</w:t>
            </w:r>
          </w:p>
        </w:tc>
        <w:tc>
          <w:tcPr>
            <w:tcW w:w="2792" w:type="dxa"/>
            <w:gridSpan w:val="3"/>
            <w:shd w:val="clear" w:color="auto" w:fill="auto"/>
            <w:vAlign w:val="center"/>
          </w:tcPr>
          <w:p w14:paraId="7A00E315">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路面亮度</w:t>
            </w:r>
          </w:p>
        </w:tc>
        <w:tc>
          <w:tcPr>
            <w:tcW w:w="2145" w:type="dxa"/>
            <w:gridSpan w:val="2"/>
            <w:shd w:val="clear" w:color="auto" w:fill="auto"/>
            <w:vAlign w:val="center"/>
          </w:tcPr>
          <w:p w14:paraId="11ADBC5B">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路面照度</w:t>
            </w:r>
          </w:p>
        </w:tc>
        <w:tc>
          <w:tcPr>
            <w:tcW w:w="900" w:type="dxa"/>
            <w:vMerge w:val="restart"/>
            <w:shd w:val="clear" w:color="auto" w:fill="auto"/>
            <w:vAlign w:val="center"/>
          </w:tcPr>
          <w:p w14:paraId="2E58D7CE">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眩光限制阈值增量T</w:t>
            </w:r>
            <w:r>
              <w:rPr>
                <w:rFonts w:ascii="宋体" w:hAnsi="宋体" w:eastAsia="仿宋_GB2312"/>
                <w:bCs w:val="0"/>
                <w:color w:val="auto"/>
                <w:sz w:val="24"/>
              </w:rPr>
              <w:t>1</w:t>
            </w:r>
            <w:r>
              <w:rPr>
                <w:rFonts w:hint="eastAsia" w:ascii="宋体" w:hAnsi="宋体" w:eastAsia="仿宋_GB2312"/>
                <w:bCs w:val="0"/>
                <w:color w:val="auto"/>
                <w:sz w:val="24"/>
              </w:rPr>
              <w:t>（%）最大初始量</w:t>
            </w:r>
          </w:p>
        </w:tc>
        <w:tc>
          <w:tcPr>
            <w:tcW w:w="818" w:type="dxa"/>
            <w:vMerge w:val="restart"/>
            <w:shd w:val="clear" w:color="auto" w:fill="auto"/>
            <w:vAlign w:val="center"/>
          </w:tcPr>
          <w:p w14:paraId="1D275555">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环境比SR最小值</w:t>
            </w:r>
          </w:p>
          <w:p w14:paraId="3388B64A">
            <w:pPr>
              <w:pStyle w:val="104"/>
              <w:spacing w:line="240" w:lineRule="atLeast"/>
              <w:jc w:val="center"/>
              <w:rPr>
                <w:rFonts w:ascii="宋体" w:hAnsi="宋体" w:eastAsia="仿宋_GB2312"/>
                <w:bCs w:val="0"/>
                <w:color w:val="auto"/>
                <w:sz w:val="24"/>
                <w:lang w:eastAsia="zh-Hans"/>
              </w:rPr>
            </w:pPr>
          </w:p>
        </w:tc>
      </w:tr>
      <w:tr w14:paraId="0927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764" w:type="dxa"/>
            <w:vMerge w:val="continue"/>
            <w:shd w:val="clear" w:color="auto" w:fill="auto"/>
            <w:vAlign w:val="center"/>
          </w:tcPr>
          <w:p w14:paraId="42A0439E">
            <w:pPr>
              <w:pStyle w:val="104"/>
              <w:spacing w:line="240" w:lineRule="atLeast"/>
              <w:jc w:val="center"/>
              <w:rPr>
                <w:rFonts w:ascii="宋体" w:hAnsi="宋体" w:eastAsia="仿宋_GB2312"/>
                <w:bCs w:val="0"/>
                <w:color w:val="auto"/>
                <w:sz w:val="24"/>
                <w:lang w:eastAsia="zh-Hans"/>
              </w:rPr>
            </w:pPr>
          </w:p>
        </w:tc>
        <w:tc>
          <w:tcPr>
            <w:tcW w:w="1642" w:type="dxa"/>
            <w:vMerge w:val="continue"/>
            <w:shd w:val="clear" w:color="auto" w:fill="auto"/>
            <w:vAlign w:val="center"/>
          </w:tcPr>
          <w:p w14:paraId="739C6423">
            <w:pPr>
              <w:pStyle w:val="104"/>
              <w:spacing w:line="240" w:lineRule="atLeast"/>
              <w:jc w:val="center"/>
              <w:rPr>
                <w:rFonts w:ascii="宋体" w:hAnsi="宋体" w:eastAsia="仿宋_GB2312"/>
                <w:bCs w:val="0"/>
                <w:color w:val="auto"/>
                <w:sz w:val="24"/>
                <w:lang w:eastAsia="zh-Hans"/>
              </w:rPr>
            </w:pPr>
          </w:p>
        </w:tc>
        <w:tc>
          <w:tcPr>
            <w:tcW w:w="1056" w:type="dxa"/>
            <w:shd w:val="clear" w:color="auto" w:fill="auto"/>
            <w:vAlign w:val="center"/>
          </w:tcPr>
          <w:p w14:paraId="319A3666">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lang w:eastAsia="zh-Hans"/>
              </w:rPr>
              <w:t>平均亮度Lav（cd/m2）维持值</w:t>
            </w:r>
          </w:p>
        </w:tc>
        <w:tc>
          <w:tcPr>
            <w:tcW w:w="904" w:type="dxa"/>
            <w:shd w:val="clear" w:color="auto" w:fill="auto"/>
            <w:vAlign w:val="center"/>
          </w:tcPr>
          <w:p w14:paraId="07608835">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总均匀度Uo最小值</w:t>
            </w:r>
          </w:p>
        </w:tc>
        <w:tc>
          <w:tcPr>
            <w:tcW w:w="832" w:type="dxa"/>
            <w:shd w:val="clear" w:color="auto" w:fill="auto"/>
            <w:vAlign w:val="center"/>
          </w:tcPr>
          <w:p w14:paraId="2FD56CD4">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纵向均匀度UL最小值</w:t>
            </w:r>
          </w:p>
        </w:tc>
        <w:tc>
          <w:tcPr>
            <w:tcW w:w="1207" w:type="dxa"/>
            <w:shd w:val="clear" w:color="auto" w:fill="auto"/>
            <w:vAlign w:val="center"/>
          </w:tcPr>
          <w:p w14:paraId="491889F4">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平均照度Eh,av(lx)维持值</w:t>
            </w:r>
          </w:p>
        </w:tc>
        <w:tc>
          <w:tcPr>
            <w:tcW w:w="938" w:type="dxa"/>
            <w:shd w:val="clear" w:color="auto" w:fill="auto"/>
            <w:vAlign w:val="center"/>
          </w:tcPr>
          <w:p w14:paraId="45EA31EB">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均匀度UE最小值</w:t>
            </w:r>
          </w:p>
        </w:tc>
        <w:tc>
          <w:tcPr>
            <w:tcW w:w="900" w:type="dxa"/>
            <w:vMerge w:val="continue"/>
            <w:shd w:val="clear" w:color="auto" w:fill="auto"/>
            <w:vAlign w:val="center"/>
          </w:tcPr>
          <w:p w14:paraId="27AB772F">
            <w:pPr>
              <w:pStyle w:val="104"/>
              <w:spacing w:line="240" w:lineRule="atLeast"/>
              <w:jc w:val="center"/>
              <w:rPr>
                <w:rFonts w:ascii="宋体" w:hAnsi="宋体" w:eastAsia="仿宋_GB2312"/>
                <w:bCs w:val="0"/>
                <w:color w:val="auto"/>
                <w:sz w:val="24"/>
                <w:lang w:eastAsia="zh-Hans"/>
              </w:rPr>
            </w:pPr>
          </w:p>
        </w:tc>
        <w:tc>
          <w:tcPr>
            <w:tcW w:w="818" w:type="dxa"/>
            <w:vMerge w:val="continue"/>
            <w:shd w:val="clear" w:color="auto" w:fill="auto"/>
            <w:vAlign w:val="center"/>
          </w:tcPr>
          <w:p w14:paraId="404C6C02">
            <w:pPr>
              <w:pStyle w:val="104"/>
              <w:spacing w:line="240" w:lineRule="atLeast"/>
              <w:jc w:val="center"/>
              <w:rPr>
                <w:rFonts w:ascii="宋体" w:hAnsi="宋体" w:eastAsia="仿宋_GB2312"/>
                <w:bCs w:val="0"/>
                <w:color w:val="auto"/>
                <w:sz w:val="24"/>
                <w:lang w:eastAsia="zh-Hans"/>
              </w:rPr>
            </w:pPr>
          </w:p>
        </w:tc>
      </w:tr>
      <w:tr w14:paraId="2D59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64" w:type="dxa"/>
            <w:shd w:val="clear" w:color="auto" w:fill="auto"/>
            <w:vAlign w:val="center"/>
          </w:tcPr>
          <w:p w14:paraId="00032606">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特级照明</w:t>
            </w:r>
          </w:p>
        </w:tc>
        <w:tc>
          <w:tcPr>
            <w:tcW w:w="1642" w:type="dxa"/>
            <w:shd w:val="clear" w:color="auto" w:fill="auto"/>
            <w:vAlign w:val="center"/>
          </w:tcPr>
          <w:p w14:paraId="702BFBDD">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特殊景观重要性道路</w:t>
            </w:r>
          </w:p>
        </w:tc>
        <w:tc>
          <w:tcPr>
            <w:tcW w:w="1056" w:type="dxa"/>
            <w:shd w:val="clear" w:color="auto" w:fill="auto"/>
            <w:vAlign w:val="center"/>
          </w:tcPr>
          <w:p w14:paraId="60B10B2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2.0/2.5</w:t>
            </w:r>
          </w:p>
        </w:tc>
        <w:tc>
          <w:tcPr>
            <w:tcW w:w="904" w:type="dxa"/>
            <w:shd w:val="clear" w:color="auto" w:fill="auto"/>
            <w:vAlign w:val="center"/>
          </w:tcPr>
          <w:p w14:paraId="3E3AAD45">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14:paraId="56A8245A">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0.7</w:t>
            </w:r>
          </w:p>
        </w:tc>
        <w:tc>
          <w:tcPr>
            <w:tcW w:w="1207" w:type="dxa"/>
            <w:shd w:val="clear" w:color="auto" w:fill="auto"/>
            <w:vAlign w:val="center"/>
          </w:tcPr>
          <w:p w14:paraId="5617185C">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30</w:t>
            </w:r>
          </w:p>
        </w:tc>
        <w:tc>
          <w:tcPr>
            <w:tcW w:w="938" w:type="dxa"/>
            <w:shd w:val="clear" w:color="auto" w:fill="auto"/>
            <w:vAlign w:val="center"/>
          </w:tcPr>
          <w:p w14:paraId="591352D5">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14:paraId="66A06193">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14:paraId="4E1490FD">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14:paraId="2D2F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64" w:type="dxa"/>
            <w:shd w:val="clear" w:color="auto" w:fill="auto"/>
            <w:vAlign w:val="center"/>
          </w:tcPr>
          <w:p w14:paraId="664C55F9">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一级照明</w:t>
            </w:r>
          </w:p>
        </w:tc>
        <w:tc>
          <w:tcPr>
            <w:tcW w:w="1642" w:type="dxa"/>
            <w:shd w:val="clear" w:color="auto" w:fill="auto"/>
            <w:vAlign w:val="center"/>
          </w:tcPr>
          <w:p w14:paraId="01CA88CB">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高速公路、一级公路及快速路联络线、城市快速路及城市主干道</w:t>
            </w:r>
          </w:p>
        </w:tc>
        <w:tc>
          <w:tcPr>
            <w:tcW w:w="1056" w:type="dxa"/>
            <w:shd w:val="clear" w:color="auto" w:fill="auto"/>
            <w:vAlign w:val="center"/>
          </w:tcPr>
          <w:p w14:paraId="44058A3C">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1.5/2.0</w:t>
            </w:r>
          </w:p>
        </w:tc>
        <w:tc>
          <w:tcPr>
            <w:tcW w:w="904" w:type="dxa"/>
            <w:shd w:val="clear" w:color="auto" w:fill="auto"/>
            <w:vAlign w:val="center"/>
          </w:tcPr>
          <w:p w14:paraId="31606D43">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14:paraId="56AECB3E">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0.7</w:t>
            </w:r>
          </w:p>
        </w:tc>
        <w:tc>
          <w:tcPr>
            <w:tcW w:w="1207" w:type="dxa"/>
            <w:shd w:val="clear" w:color="auto" w:fill="auto"/>
            <w:vAlign w:val="center"/>
          </w:tcPr>
          <w:p w14:paraId="7D53B664">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20/30</w:t>
            </w:r>
          </w:p>
        </w:tc>
        <w:tc>
          <w:tcPr>
            <w:tcW w:w="938" w:type="dxa"/>
            <w:shd w:val="clear" w:color="auto" w:fill="auto"/>
            <w:vAlign w:val="center"/>
          </w:tcPr>
          <w:p w14:paraId="2B5F3285">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14:paraId="6AD0C496">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14:paraId="08EFE04A">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14:paraId="5F9B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64" w:type="dxa"/>
            <w:shd w:val="clear" w:color="auto" w:fill="auto"/>
            <w:vAlign w:val="center"/>
          </w:tcPr>
          <w:p w14:paraId="26C8BAD4">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二级照明</w:t>
            </w:r>
          </w:p>
        </w:tc>
        <w:tc>
          <w:tcPr>
            <w:tcW w:w="1642" w:type="dxa"/>
            <w:shd w:val="clear" w:color="auto" w:fill="auto"/>
            <w:vAlign w:val="center"/>
          </w:tcPr>
          <w:p w14:paraId="4917790C">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城市次干道</w:t>
            </w:r>
          </w:p>
        </w:tc>
        <w:tc>
          <w:tcPr>
            <w:tcW w:w="1056" w:type="dxa"/>
            <w:shd w:val="clear" w:color="auto" w:fill="auto"/>
            <w:vAlign w:val="center"/>
          </w:tcPr>
          <w:p w14:paraId="3EBFFC5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1.0/1.5</w:t>
            </w:r>
          </w:p>
        </w:tc>
        <w:tc>
          <w:tcPr>
            <w:tcW w:w="904" w:type="dxa"/>
            <w:shd w:val="clear" w:color="auto" w:fill="auto"/>
            <w:vAlign w:val="center"/>
          </w:tcPr>
          <w:p w14:paraId="081E7DB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832" w:type="dxa"/>
            <w:shd w:val="clear" w:color="auto" w:fill="auto"/>
            <w:vAlign w:val="center"/>
          </w:tcPr>
          <w:p w14:paraId="66D6A611">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c>
          <w:tcPr>
            <w:tcW w:w="1207" w:type="dxa"/>
            <w:shd w:val="clear" w:color="auto" w:fill="auto"/>
            <w:vAlign w:val="center"/>
          </w:tcPr>
          <w:p w14:paraId="31EC551D">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15/20</w:t>
            </w:r>
          </w:p>
        </w:tc>
        <w:tc>
          <w:tcPr>
            <w:tcW w:w="938" w:type="dxa"/>
            <w:shd w:val="clear" w:color="auto" w:fill="auto"/>
            <w:vAlign w:val="center"/>
          </w:tcPr>
          <w:p w14:paraId="0FAA712D">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0.4</w:t>
            </w:r>
          </w:p>
        </w:tc>
        <w:tc>
          <w:tcPr>
            <w:tcW w:w="900" w:type="dxa"/>
            <w:shd w:val="clear" w:color="auto" w:fill="auto"/>
            <w:vAlign w:val="center"/>
          </w:tcPr>
          <w:p w14:paraId="10771F6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818" w:type="dxa"/>
            <w:shd w:val="clear" w:color="auto" w:fill="auto"/>
            <w:vAlign w:val="center"/>
          </w:tcPr>
          <w:p w14:paraId="1F25888F">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w:t>
            </w:r>
          </w:p>
        </w:tc>
      </w:tr>
      <w:tr w14:paraId="5EA7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shd w:val="clear" w:color="auto" w:fill="auto"/>
            <w:vAlign w:val="center"/>
          </w:tcPr>
          <w:p w14:paraId="62A3E9E4">
            <w:pPr>
              <w:pStyle w:val="104"/>
              <w:spacing w:line="240" w:lineRule="atLeast"/>
              <w:jc w:val="center"/>
              <w:rPr>
                <w:rFonts w:ascii="宋体" w:hAnsi="宋体" w:eastAsia="仿宋_GB2312"/>
                <w:bCs w:val="0"/>
                <w:color w:val="auto"/>
                <w:sz w:val="24"/>
                <w:lang w:eastAsia="zh-Hans"/>
              </w:rPr>
            </w:pPr>
            <w:r>
              <w:rPr>
                <w:rFonts w:hint="eastAsia" w:ascii="宋体" w:hAnsi="宋体" w:eastAsia="仿宋_GB2312"/>
                <w:bCs w:val="0"/>
                <w:color w:val="auto"/>
                <w:sz w:val="24"/>
              </w:rPr>
              <w:t>三级照明</w:t>
            </w:r>
          </w:p>
        </w:tc>
        <w:tc>
          <w:tcPr>
            <w:tcW w:w="1642" w:type="dxa"/>
            <w:shd w:val="clear" w:color="auto" w:fill="auto"/>
            <w:vAlign w:val="center"/>
          </w:tcPr>
          <w:p w14:paraId="2A6D13AC">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城市支路</w:t>
            </w:r>
          </w:p>
        </w:tc>
        <w:tc>
          <w:tcPr>
            <w:tcW w:w="1056" w:type="dxa"/>
            <w:shd w:val="clear" w:color="auto" w:fill="auto"/>
            <w:vAlign w:val="center"/>
          </w:tcPr>
          <w:p w14:paraId="67F4A841">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0.5/0.75</w:t>
            </w:r>
          </w:p>
        </w:tc>
        <w:tc>
          <w:tcPr>
            <w:tcW w:w="904" w:type="dxa"/>
            <w:shd w:val="clear" w:color="auto" w:fill="auto"/>
            <w:vAlign w:val="center"/>
          </w:tcPr>
          <w:p w14:paraId="0423404A">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0.3/0.4</w:t>
            </w:r>
          </w:p>
        </w:tc>
        <w:tc>
          <w:tcPr>
            <w:tcW w:w="832" w:type="dxa"/>
            <w:shd w:val="clear" w:color="auto" w:fill="auto"/>
            <w:vAlign w:val="center"/>
          </w:tcPr>
          <w:p w14:paraId="715DC610">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207" w:type="dxa"/>
            <w:shd w:val="clear" w:color="auto" w:fill="auto"/>
            <w:vAlign w:val="center"/>
          </w:tcPr>
          <w:p w14:paraId="1362A5B3">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8/10</w:t>
            </w:r>
          </w:p>
        </w:tc>
        <w:tc>
          <w:tcPr>
            <w:tcW w:w="938" w:type="dxa"/>
            <w:shd w:val="clear" w:color="auto" w:fill="auto"/>
            <w:vAlign w:val="center"/>
          </w:tcPr>
          <w:p w14:paraId="00EBA7BF">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0.3</w:t>
            </w:r>
          </w:p>
        </w:tc>
        <w:tc>
          <w:tcPr>
            <w:tcW w:w="900" w:type="dxa"/>
            <w:shd w:val="clear" w:color="auto" w:fill="auto"/>
            <w:vAlign w:val="center"/>
          </w:tcPr>
          <w:p w14:paraId="1F8CE089">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15</w:t>
            </w:r>
          </w:p>
        </w:tc>
        <w:tc>
          <w:tcPr>
            <w:tcW w:w="818" w:type="dxa"/>
            <w:shd w:val="clear" w:color="auto" w:fill="auto"/>
            <w:vAlign w:val="center"/>
          </w:tcPr>
          <w:p w14:paraId="113D5472">
            <w:pPr>
              <w:pStyle w:val="104"/>
              <w:spacing w:line="240" w:lineRule="atLeast"/>
              <w:jc w:val="center"/>
              <w:rPr>
                <w:rFonts w:ascii="宋体" w:hAnsi="宋体" w:eastAsia="仿宋_GB2312"/>
                <w:bCs w:val="0"/>
                <w:color w:val="auto"/>
                <w:sz w:val="24"/>
              </w:rPr>
            </w:pPr>
            <w:r>
              <w:rPr>
                <w:rFonts w:hint="eastAsia" w:ascii="宋体" w:hAnsi="宋体" w:eastAsia="仿宋_GB2312"/>
                <w:bCs w:val="0"/>
                <w:color w:val="auto"/>
                <w:sz w:val="24"/>
              </w:rPr>
              <w:t>—</w:t>
            </w:r>
          </w:p>
        </w:tc>
      </w:tr>
      <w:tr w14:paraId="24D9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1" w:type="dxa"/>
            <w:gridSpan w:val="9"/>
            <w:shd w:val="clear" w:color="auto" w:fill="auto"/>
            <w:vAlign w:val="center"/>
          </w:tcPr>
          <w:p w14:paraId="1669BCA2">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注：</w:t>
            </w:r>
          </w:p>
          <w:p w14:paraId="328C31CF">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表中所列的平均照度仅适用于沥青路面。</w:t>
            </w:r>
          </w:p>
          <w:p w14:paraId="5E6DFBEB">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若系水泥混凝土路面，其平均照度值相应降低约30%。</w:t>
            </w:r>
          </w:p>
          <w:p w14:paraId="0675F247">
            <w:pPr>
              <w:pStyle w:val="202"/>
              <w:spacing w:before="0" w:beforeLines="0" w:after="0" w:afterLines="0" w:line="240" w:lineRule="atLeast"/>
              <w:rPr>
                <w:rFonts w:ascii="宋体" w:hAnsi="宋体" w:eastAsia="仿宋_GB2312" w:cs="幼圆"/>
                <w:sz w:val="24"/>
              </w:rPr>
            </w:pPr>
            <w:r>
              <w:rPr>
                <w:rFonts w:hint="eastAsia" w:ascii="宋体" w:hAnsi="宋体" w:eastAsia="仿宋_GB2312" w:cs="幼圆"/>
                <w:sz w:val="24"/>
              </w:rPr>
              <w:t>表中各项数值仅适用于干燥路面。</w:t>
            </w:r>
          </w:p>
          <w:p w14:paraId="7C92FC85">
            <w:pPr>
              <w:pStyle w:val="202"/>
              <w:spacing w:before="0" w:beforeLines="0" w:after="0" w:afterLines="0" w:line="240" w:lineRule="atLeast"/>
              <w:rPr>
                <w:rFonts w:ascii="宋体" w:hAnsi="宋体" w:eastAsia="仿宋_GB2312"/>
                <w:sz w:val="24"/>
                <w:lang w:eastAsia="zh-Hans"/>
              </w:rPr>
            </w:pPr>
            <w:r>
              <w:rPr>
                <w:rFonts w:hint="eastAsia" w:ascii="宋体" w:hAnsi="宋体" w:eastAsia="仿宋_GB2312" w:cs="幼圆"/>
                <w:sz w:val="24"/>
              </w:rPr>
              <w:t>表中对每一级道路的平均亮度和平均照度给出了两档标准值，“/”的左侧为低档值，右侧为高档值。</w:t>
            </w:r>
          </w:p>
        </w:tc>
      </w:tr>
    </w:tbl>
    <w:p w14:paraId="7753CD99">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3—2</w:t>
      </w:r>
      <w:r>
        <w:rPr>
          <w:rFonts w:ascii="宋体" w:hAnsi="宋体"/>
          <w:bCs w:val="0"/>
          <w:sz w:val="24"/>
        </w:rPr>
        <w:t xml:space="preserve"> </w:t>
      </w:r>
      <w:r>
        <w:rPr>
          <w:rFonts w:hint="eastAsia" w:ascii="宋体" w:hAnsi="宋体"/>
          <w:bCs w:val="0"/>
          <w:sz w:val="24"/>
        </w:rPr>
        <w:t>北京市人行道及非机动车道照明等级控制表</w:t>
      </w:r>
    </w:p>
    <w:tbl>
      <w:tblPr>
        <w:tblStyle w:val="8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2838"/>
        <w:gridCol w:w="1299"/>
        <w:gridCol w:w="1522"/>
        <w:gridCol w:w="1567"/>
        <w:gridCol w:w="1369"/>
      </w:tblGrid>
      <w:tr w14:paraId="1310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blHeader/>
        </w:trPr>
        <w:tc>
          <w:tcPr>
            <w:tcW w:w="466" w:type="dxa"/>
            <w:shd w:val="clear" w:color="auto" w:fill="auto"/>
            <w:vAlign w:val="center"/>
          </w:tcPr>
          <w:p w14:paraId="4652813D">
            <w:pPr>
              <w:pStyle w:val="104"/>
              <w:rPr>
                <w:rFonts w:ascii="宋体" w:hAnsi="宋体" w:eastAsia="仿宋_GB2312"/>
                <w:bCs w:val="0"/>
                <w:color w:val="auto"/>
                <w:sz w:val="24"/>
              </w:rPr>
            </w:pPr>
            <w:r>
              <w:rPr>
                <w:rFonts w:hint="eastAsia" w:ascii="宋体" w:hAnsi="宋体" w:eastAsia="仿宋_GB2312"/>
                <w:bCs w:val="0"/>
                <w:color w:val="auto"/>
                <w:sz w:val="24"/>
              </w:rPr>
              <w:t>级别</w:t>
            </w:r>
          </w:p>
        </w:tc>
        <w:tc>
          <w:tcPr>
            <w:tcW w:w="2838" w:type="dxa"/>
            <w:shd w:val="clear" w:color="auto" w:fill="auto"/>
            <w:vAlign w:val="center"/>
          </w:tcPr>
          <w:p w14:paraId="56502A0C">
            <w:pPr>
              <w:pStyle w:val="104"/>
              <w:rPr>
                <w:rFonts w:ascii="宋体" w:hAnsi="宋体" w:eastAsia="仿宋_GB2312"/>
                <w:bCs w:val="0"/>
                <w:color w:val="auto"/>
                <w:sz w:val="24"/>
              </w:rPr>
            </w:pPr>
            <w:r>
              <w:rPr>
                <w:rFonts w:hint="eastAsia" w:ascii="宋体" w:hAnsi="宋体" w:eastAsia="仿宋_GB2312"/>
                <w:bCs w:val="0"/>
                <w:color w:val="auto"/>
                <w:sz w:val="24"/>
              </w:rPr>
              <w:t>夜间行人流量</w:t>
            </w:r>
          </w:p>
        </w:tc>
        <w:tc>
          <w:tcPr>
            <w:tcW w:w="1299" w:type="dxa"/>
            <w:shd w:val="clear" w:color="auto" w:fill="auto"/>
            <w:vAlign w:val="center"/>
          </w:tcPr>
          <w:p w14:paraId="6DF38944">
            <w:pPr>
              <w:pStyle w:val="104"/>
              <w:rPr>
                <w:rFonts w:ascii="宋体" w:hAnsi="宋体" w:eastAsia="仿宋_GB2312"/>
                <w:bCs w:val="0"/>
                <w:color w:val="auto"/>
                <w:sz w:val="24"/>
              </w:rPr>
            </w:pPr>
            <w:r>
              <w:rPr>
                <w:rFonts w:hint="eastAsia" w:ascii="宋体" w:hAnsi="宋体" w:eastAsia="仿宋_GB2312"/>
                <w:bCs w:val="0"/>
                <w:color w:val="auto"/>
                <w:sz w:val="24"/>
              </w:rPr>
              <w:t>路面平均照度</w:t>
            </w:r>
            <w:r>
              <w:rPr>
                <w:rFonts w:ascii="宋体" w:hAnsi="宋体" w:eastAsia="仿宋_GB2312"/>
                <w:bCs w:val="0"/>
                <w:color w:val="auto"/>
                <w:sz w:val="24"/>
              </w:rPr>
              <w:t xml:space="preserve">Eh.av </w:t>
            </w:r>
            <w:r>
              <w:rPr>
                <w:rFonts w:hint="eastAsia" w:ascii="宋体" w:hAnsi="宋体" w:eastAsia="仿宋_GB2312"/>
                <w:bCs w:val="0"/>
                <w:color w:val="auto"/>
                <w:sz w:val="24"/>
              </w:rPr>
              <w:t>(lx)维持值</w:t>
            </w:r>
          </w:p>
        </w:tc>
        <w:tc>
          <w:tcPr>
            <w:tcW w:w="1522" w:type="dxa"/>
            <w:shd w:val="clear" w:color="auto" w:fill="auto"/>
            <w:vAlign w:val="center"/>
          </w:tcPr>
          <w:p w14:paraId="4713E396">
            <w:pPr>
              <w:pStyle w:val="104"/>
              <w:rPr>
                <w:rFonts w:ascii="宋体" w:hAnsi="宋体" w:eastAsia="仿宋_GB2312"/>
                <w:bCs w:val="0"/>
                <w:color w:val="auto"/>
                <w:sz w:val="24"/>
              </w:rPr>
            </w:pPr>
            <w:r>
              <w:rPr>
                <w:rFonts w:hint="eastAsia" w:ascii="宋体" w:hAnsi="宋体" w:eastAsia="仿宋_GB2312"/>
                <w:bCs w:val="0"/>
                <w:color w:val="auto"/>
                <w:sz w:val="24"/>
              </w:rPr>
              <w:t>路面最小照度</w:t>
            </w:r>
            <w:r>
              <w:rPr>
                <w:rFonts w:ascii="宋体" w:hAnsi="宋体" w:eastAsia="仿宋_GB2312"/>
                <w:bCs w:val="0"/>
                <w:color w:val="auto"/>
                <w:sz w:val="24"/>
              </w:rPr>
              <w:t xml:space="preserve">Eh.min </w:t>
            </w:r>
            <w:r>
              <w:rPr>
                <w:rFonts w:hint="eastAsia" w:ascii="宋体" w:hAnsi="宋体" w:eastAsia="仿宋_GB2312"/>
                <w:bCs w:val="0"/>
                <w:color w:val="auto"/>
                <w:sz w:val="24"/>
              </w:rPr>
              <w:t>(lx)维持值</w:t>
            </w:r>
          </w:p>
        </w:tc>
        <w:tc>
          <w:tcPr>
            <w:tcW w:w="1567" w:type="dxa"/>
            <w:shd w:val="clear" w:color="auto" w:fill="auto"/>
            <w:vAlign w:val="center"/>
          </w:tcPr>
          <w:p w14:paraId="60546B50">
            <w:pPr>
              <w:pStyle w:val="104"/>
              <w:rPr>
                <w:rFonts w:ascii="宋体" w:hAnsi="宋体" w:eastAsia="仿宋_GB2312"/>
                <w:bCs w:val="0"/>
                <w:color w:val="auto"/>
                <w:sz w:val="24"/>
              </w:rPr>
            </w:pPr>
            <w:r>
              <w:rPr>
                <w:rFonts w:hint="eastAsia" w:ascii="宋体" w:hAnsi="宋体" w:eastAsia="仿宋_GB2312"/>
                <w:bCs w:val="0"/>
                <w:color w:val="auto"/>
                <w:sz w:val="24"/>
              </w:rPr>
              <w:t>最小垂直照度</w:t>
            </w:r>
            <w:r>
              <w:rPr>
                <w:rFonts w:ascii="宋体" w:hAnsi="宋体" w:eastAsia="仿宋_GB2312"/>
                <w:bCs w:val="0"/>
                <w:color w:val="auto"/>
                <w:sz w:val="24"/>
              </w:rPr>
              <w:t xml:space="preserve">Ev.min </w:t>
            </w:r>
            <w:r>
              <w:rPr>
                <w:rFonts w:hint="eastAsia" w:ascii="宋体" w:hAnsi="宋体" w:eastAsia="仿宋_GB2312"/>
                <w:bCs w:val="0"/>
                <w:color w:val="auto"/>
                <w:sz w:val="24"/>
              </w:rPr>
              <w:t>(lx)维持值</w:t>
            </w:r>
          </w:p>
        </w:tc>
        <w:tc>
          <w:tcPr>
            <w:tcW w:w="1369" w:type="dxa"/>
            <w:shd w:val="clear" w:color="auto" w:fill="auto"/>
            <w:vAlign w:val="center"/>
          </w:tcPr>
          <w:p w14:paraId="2E209154">
            <w:pPr>
              <w:pStyle w:val="104"/>
              <w:rPr>
                <w:rFonts w:ascii="宋体" w:hAnsi="宋体" w:eastAsia="仿宋_GB2312"/>
                <w:bCs w:val="0"/>
                <w:color w:val="auto"/>
                <w:sz w:val="24"/>
              </w:rPr>
            </w:pPr>
            <w:r>
              <w:rPr>
                <w:rFonts w:hint="eastAsia" w:ascii="宋体" w:hAnsi="宋体" w:eastAsia="仿宋_GB2312"/>
                <w:bCs w:val="0"/>
                <w:color w:val="auto"/>
                <w:sz w:val="24"/>
              </w:rPr>
              <w:t>最小半柱面照度</w:t>
            </w:r>
            <w:r>
              <w:rPr>
                <w:rFonts w:ascii="宋体" w:hAnsi="宋体" w:eastAsia="仿宋_GB2312"/>
                <w:bCs w:val="0"/>
                <w:color w:val="auto"/>
                <w:sz w:val="24"/>
              </w:rPr>
              <w:t>Esc.min</w:t>
            </w:r>
            <w:r>
              <w:rPr>
                <w:rFonts w:hint="eastAsia" w:ascii="宋体" w:hAnsi="宋体" w:eastAsia="仿宋_GB2312"/>
                <w:bCs w:val="0"/>
                <w:color w:val="auto"/>
                <w:sz w:val="24"/>
              </w:rPr>
              <w:t>(lx)维持值</w:t>
            </w:r>
          </w:p>
        </w:tc>
      </w:tr>
      <w:tr w14:paraId="2C02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66" w:type="dxa"/>
            <w:shd w:val="clear" w:color="auto" w:fill="auto"/>
            <w:vAlign w:val="center"/>
          </w:tcPr>
          <w:p w14:paraId="0D3E5F98">
            <w:pPr>
              <w:pStyle w:val="104"/>
              <w:rPr>
                <w:rFonts w:ascii="宋体" w:hAnsi="宋体" w:eastAsia="仿宋_GB2312"/>
                <w:bCs w:val="0"/>
                <w:color w:val="auto"/>
                <w:sz w:val="24"/>
              </w:rPr>
            </w:pPr>
            <w:r>
              <w:rPr>
                <w:rFonts w:hint="eastAsia" w:ascii="宋体" w:hAnsi="宋体" w:eastAsia="仿宋_GB2312"/>
                <w:bCs w:val="0"/>
                <w:color w:val="auto"/>
                <w:sz w:val="24"/>
              </w:rPr>
              <w:t>1</w:t>
            </w:r>
          </w:p>
        </w:tc>
        <w:tc>
          <w:tcPr>
            <w:tcW w:w="2838" w:type="dxa"/>
            <w:shd w:val="clear" w:color="auto" w:fill="auto"/>
            <w:vAlign w:val="center"/>
          </w:tcPr>
          <w:p w14:paraId="4037005B">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商业步行街；市中心或商业区行人流量高的道路；机动车与行人混合使用、与城市机动车道路连接的居住区出入道路</w:t>
            </w:r>
          </w:p>
        </w:tc>
        <w:tc>
          <w:tcPr>
            <w:tcW w:w="1299" w:type="dxa"/>
            <w:shd w:val="clear" w:color="auto" w:fill="auto"/>
            <w:vAlign w:val="center"/>
          </w:tcPr>
          <w:p w14:paraId="06BBBAD5">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522" w:type="dxa"/>
            <w:shd w:val="clear" w:color="auto" w:fill="auto"/>
            <w:vAlign w:val="center"/>
          </w:tcPr>
          <w:p w14:paraId="6597584F">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1567" w:type="dxa"/>
            <w:shd w:val="clear" w:color="auto" w:fill="auto"/>
            <w:vAlign w:val="center"/>
          </w:tcPr>
          <w:p w14:paraId="251B1481">
            <w:pPr>
              <w:pStyle w:val="104"/>
              <w:rPr>
                <w:rFonts w:ascii="宋体" w:hAnsi="宋体" w:eastAsia="仿宋_GB2312"/>
                <w:bCs w:val="0"/>
                <w:color w:val="auto"/>
                <w:sz w:val="24"/>
              </w:rPr>
            </w:pPr>
            <w:r>
              <w:rPr>
                <w:rFonts w:hint="eastAsia" w:ascii="宋体" w:hAnsi="宋体" w:eastAsia="仿宋_GB2312"/>
                <w:bCs w:val="0"/>
                <w:color w:val="auto"/>
                <w:sz w:val="24"/>
              </w:rPr>
              <w:t>5</w:t>
            </w:r>
          </w:p>
        </w:tc>
        <w:tc>
          <w:tcPr>
            <w:tcW w:w="1369" w:type="dxa"/>
            <w:shd w:val="clear" w:color="auto" w:fill="auto"/>
            <w:vAlign w:val="center"/>
          </w:tcPr>
          <w:p w14:paraId="73B22E5B">
            <w:pPr>
              <w:pStyle w:val="104"/>
              <w:rPr>
                <w:rFonts w:ascii="宋体" w:hAnsi="宋体" w:eastAsia="仿宋_GB2312"/>
                <w:bCs w:val="0"/>
                <w:color w:val="auto"/>
                <w:sz w:val="24"/>
              </w:rPr>
            </w:pPr>
            <w:r>
              <w:rPr>
                <w:rFonts w:hint="eastAsia" w:ascii="宋体" w:hAnsi="宋体" w:eastAsia="仿宋_GB2312"/>
                <w:bCs w:val="0"/>
                <w:color w:val="auto"/>
                <w:sz w:val="24"/>
              </w:rPr>
              <w:t>3</w:t>
            </w:r>
          </w:p>
        </w:tc>
      </w:tr>
      <w:tr w14:paraId="19AB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14:paraId="50AE3798">
            <w:pPr>
              <w:pStyle w:val="104"/>
              <w:rPr>
                <w:rFonts w:ascii="宋体" w:hAnsi="宋体" w:eastAsia="仿宋_GB2312"/>
                <w:bCs w:val="0"/>
                <w:color w:val="auto"/>
                <w:sz w:val="24"/>
              </w:rPr>
            </w:pPr>
            <w:r>
              <w:rPr>
                <w:rFonts w:hint="eastAsia" w:ascii="宋体" w:hAnsi="宋体" w:eastAsia="仿宋_GB2312"/>
                <w:bCs w:val="0"/>
                <w:color w:val="auto"/>
                <w:sz w:val="24"/>
              </w:rPr>
              <w:t>2</w:t>
            </w:r>
          </w:p>
        </w:tc>
        <w:tc>
          <w:tcPr>
            <w:tcW w:w="2838" w:type="dxa"/>
            <w:shd w:val="clear" w:color="auto" w:fill="auto"/>
            <w:vAlign w:val="center"/>
          </w:tcPr>
          <w:p w14:paraId="0B205BC8">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流量较高的道路</w:t>
            </w:r>
          </w:p>
        </w:tc>
        <w:tc>
          <w:tcPr>
            <w:tcW w:w="1299" w:type="dxa"/>
            <w:shd w:val="clear" w:color="auto" w:fill="auto"/>
            <w:vAlign w:val="center"/>
          </w:tcPr>
          <w:p w14:paraId="36C0B7F8">
            <w:pPr>
              <w:pStyle w:val="104"/>
              <w:rPr>
                <w:rFonts w:ascii="宋体" w:hAnsi="宋体" w:eastAsia="仿宋_GB2312"/>
                <w:bCs w:val="0"/>
                <w:color w:val="auto"/>
                <w:sz w:val="24"/>
              </w:rPr>
            </w:pPr>
            <w:r>
              <w:rPr>
                <w:rFonts w:hint="eastAsia" w:ascii="宋体" w:hAnsi="宋体" w:eastAsia="仿宋_GB2312"/>
                <w:bCs w:val="0"/>
                <w:color w:val="auto"/>
                <w:sz w:val="24"/>
              </w:rPr>
              <w:t>10</w:t>
            </w:r>
          </w:p>
        </w:tc>
        <w:tc>
          <w:tcPr>
            <w:tcW w:w="1522" w:type="dxa"/>
            <w:shd w:val="clear" w:color="auto" w:fill="auto"/>
            <w:vAlign w:val="center"/>
          </w:tcPr>
          <w:p w14:paraId="78C94A66">
            <w:pPr>
              <w:pStyle w:val="104"/>
              <w:rPr>
                <w:rFonts w:ascii="宋体" w:hAnsi="宋体" w:eastAsia="仿宋_GB2312"/>
                <w:bCs w:val="0"/>
                <w:color w:val="auto"/>
                <w:sz w:val="24"/>
              </w:rPr>
            </w:pPr>
            <w:r>
              <w:rPr>
                <w:rFonts w:hint="eastAsia" w:ascii="宋体" w:hAnsi="宋体" w:eastAsia="仿宋_GB2312"/>
                <w:bCs w:val="0"/>
                <w:color w:val="auto"/>
                <w:sz w:val="24"/>
              </w:rPr>
              <w:t>2</w:t>
            </w:r>
          </w:p>
        </w:tc>
        <w:tc>
          <w:tcPr>
            <w:tcW w:w="1567" w:type="dxa"/>
            <w:shd w:val="clear" w:color="auto" w:fill="auto"/>
            <w:vAlign w:val="center"/>
          </w:tcPr>
          <w:p w14:paraId="6963E418">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1369" w:type="dxa"/>
            <w:shd w:val="clear" w:color="auto" w:fill="auto"/>
            <w:vAlign w:val="center"/>
          </w:tcPr>
          <w:p w14:paraId="183E37E6">
            <w:pPr>
              <w:pStyle w:val="104"/>
              <w:rPr>
                <w:rFonts w:ascii="宋体" w:hAnsi="宋体" w:eastAsia="仿宋_GB2312"/>
                <w:bCs w:val="0"/>
                <w:color w:val="auto"/>
                <w:sz w:val="24"/>
              </w:rPr>
            </w:pPr>
            <w:r>
              <w:rPr>
                <w:rFonts w:hint="eastAsia" w:ascii="宋体" w:hAnsi="宋体" w:eastAsia="仿宋_GB2312"/>
                <w:bCs w:val="0"/>
                <w:color w:val="auto"/>
                <w:sz w:val="24"/>
              </w:rPr>
              <w:t>2</w:t>
            </w:r>
          </w:p>
        </w:tc>
      </w:tr>
      <w:tr w14:paraId="6F39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14:paraId="4AC7BC75">
            <w:pPr>
              <w:pStyle w:val="104"/>
              <w:rPr>
                <w:rFonts w:ascii="宋体" w:hAnsi="宋体" w:eastAsia="仿宋_GB2312"/>
                <w:bCs w:val="0"/>
                <w:color w:val="auto"/>
                <w:sz w:val="24"/>
              </w:rPr>
            </w:pPr>
            <w:r>
              <w:rPr>
                <w:rFonts w:hint="eastAsia" w:ascii="宋体" w:hAnsi="宋体" w:eastAsia="仿宋_GB2312"/>
                <w:bCs w:val="0"/>
                <w:color w:val="auto"/>
                <w:sz w:val="24"/>
              </w:rPr>
              <w:t>3</w:t>
            </w:r>
          </w:p>
        </w:tc>
        <w:tc>
          <w:tcPr>
            <w:tcW w:w="2838" w:type="dxa"/>
            <w:shd w:val="clear" w:color="auto" w:fill="auto"/>
            <w:vAlign w:val="center"/>
          </w:tcPr>
          <w:p w14:paraId="559BAA41">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流量中等的道路</w:t>
            </w:r>
          </w:p>
        </w:tc>
        <w:tc>
          <w:tcPr>
            <w:tcW w:w="1299" w:type="dxa"/>
            <w:shd w:val="clear" w:color="auto" w:fill="auto"/>
            <w:vAlign w:val="center"/>
          </w:tcPr>
          <w:p w14:paraId="5588D262">
            <w:pPr>
              <w:pStyle w:val="104"/>
              <w:rPr>
                <w:rFonts w:ascii="宋体" w:hAnsi="宋体" w:eastAsia="仿宋_GB2312"/>
                <w:bCs w:val="0"/>
                <w:color w:val="auto"/>
                <w:sz w:val="24"/>
              </w:rPr>
            </w:pPr>
            <w:r>
              <w:rPr>
                <w:rFonts w:hint="eastAsia" w:ascii="宋体" w:hAnsi="宋体" w:eastAsia="仿宋_GB2312"/>
                <w:bCs w:val="0"/>
                <w:color w:val="auto"/>
                <w:sz w:val="24"/>
              </w:rPr>
              <w:t>7.5</w:t>
            </w:r>
          </w:p>
        </w:tc>
        <w:tc>
          <w:tcPr>
            <w:tcW w:w="1522" w:type="dxa"/>
            <w:shd w:val="clear" w:color="auto" w:fill="auto"/>
            <w:vAlign w:val="center"/>
          </w:tcPr>
          <w:p w14:paraId="4D4C9E19">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567" w:type="dxa"/>
            <w:shd w:val="clear" w:color="auto" w:fill="auto"/>
            <w:vAlign w:val="center"/>
          </w:tcPr>
          <w:p w14:paraId="2FD7877E">
            <w:pPr>
              <w:pStyle w:val="104"/>
              <w:rPr>
                <w:rFonts w:ascii="宋体" w:hAnsi="宋体" w:eastAsia="仿宋_GB2312"/>
                <w:bCs w:val="0"/>
                <w:color w:val="auto"/>
                <w:sz w:val="24"/>
              </w:rPr>
            </w:pPr>
            <w:r>
              <w:rPr>
                <w:rFonts w:hint="eastAsia" w:ascii="宋体" w:hAnsi="宋体" w:eastAsia="仿宋_GB2312"/>
                <w:bCs w:val="0"/>
                <w:color w:val="auto"/>
                <w:sz w:val="24"/>
              </w:rPr>
              <w:t>2.5</w:t>
            </w:r>
          </w:p>
        </w:tc>
        <w:tc>
          <w:tcPr>
            <w:tcW w:w="1369" w:type="dxa"/>
            <w:shd w:val="clear" w:color="auto" w:fill="auto"/>
            <w:vAlign w:val="center"/>
          </w:tcPr>
          <w:p w14:paraId="751EDC42">
            <w:pPr>
              <w:pStyle w:val="104"/>
              <w:rPr>
                <w:rFonts w:ascii="宋体" w:hAnsi="宋体" w:eastAsia="仿宋_GB2312"/>
                <w:bCs w:val="0"/>
                <w:color w:val="auto"/>
                <w:sz w:val="24"/>
              </w:rPr>
            </w:pPr>
            <w:r>
              <w:rPr>
                <w:rFonts w:hint="eastAsia" w:ascii="宋体" w:hAnsi="宋体" w:eastAsia="仿宋_GB2312"/>
                <w:bCs w:val="0"/>
                <w:color w:val="auto"/>
                <w:sz w:val="24"/>
              </w:rPr>
              <w:t>1.5</w:t>
            </w:r>
          </w:p>
        </w:tc>
      </w:tr>
      <w:tr w14:paraId="1EFD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6" w:type="dxa"/>
            <w:shd w:val="clear" w:color="auto" w:fill="auto"/>
            <w:vAlign w:val="center"/>
          </w:tcPr>
          <w:p w14:paraId="1FDC50AB">
            <w:pPr>
              <w:pStyle w:val="104"/>
              <w:rPr>
                <w:rFonts w:ascii="宋体" w:hAnsi="宋体" w:eastAsia="仿宋_GB2312"/>
                <w:bCs w:val="0"/>
                <w:color w:val="auto"/>
                <w:sz w:val="24"/>
              </w:rPr>
            </w:pPr>
            <w:r>
              <w:rPr>
                <w:rFonts w:hint="eastAsia" w:ascii="宋体" w:hAnsi="宋体" w:eastAsia="仿宋_GB2312"/>
                <w:bCs w:val="0"/>
                <w:color w:val="auto"/>
                <w:sz w:val="24"/>
              </w:rPr>
              <w:t>4</w:t>
            </w:r>
          </w:p>
        </w:tc>
        <w:tc>
          <w:tcPr>
            <w:tcW w:w="2838" w:type="dxa"/>
            <w:shd w:val="clear" w:color="auto" w:fill="auto"/>
            <w:vAlign w:val="center"/>
          </w:tcPr>
          <w:p w14:paraId="6E87D9F3">
            <w:pPr>
              <w:pStyle w:val="104"/>
              <w:spacing w:line="300" w:lineRule="exact"/>
              <w:rPr>
                <w:rFonts w:ascii="宋体" w:hAnsi="宋体" w:eastAsia="仿宋_GB2312"/>
                <w:bCs w:val="0"/>
                <w:color w:val="auto"/>
                <w:sz w:val="24"/>
              </w:rPr>
            </w:pPr>
            <w:r>
              <w:rPr>
                <w:rFonts w:hint="eastAsia" w:ascii="宋体" w:hAnsi="宋体" w:eastAsia="仿宋_GB2312"/>
                <w:bCs w:val="0"/>
                <w:color w:val="auto"/>
                <w:sz w:val="24"/>
              </w:rPr>
              <w:t>流量较低的道路</w:t>
            </w:r>
          </w:p>
        </w:tc>
        <w:tc>
          <w:tcPr>
            <w:tcW w:w="1299" w:type="dxa"/>
            <w:shd w:val="clear" w:color="auto" w:fill="auto"/>
            <w:vAlign w:val="center"/>
          </w:tcPr>
          <w:p w14:paraId="4CE4A96D">
            <w:pPr>
              <w:pStyle w:val="104"/>
              <w:rPr>
                <w:rFonts w:ascii="宋体" w:hAnsi="宋体" w:eastAsia="仿宋_GB2312"/>
                <w:bCs w:val="0"/>
                <w:color w:val="auto"/>
                <w:sz w:val="24"/>
              </w:rPr>
            </w:pPr>
            <w:r>
              <w:rPr>
                <w:rFonts w:hint="eastAsia" w:ascii="宋体" w:hAnsi="宋体" w:eastAsia="仿宋_GB2312"/>
                <w:bCs w:val="0"/>
                <w:color w:val="auto"/>
                <w:sz w:val="24"/>
              </w:rPr>
              <w:t>5</w:t>
            </w:r>
          </w:p>
        </w:tc>
        <w:tc>
          <w:tcPr>
            <w:tcW w:w="1522" w:type="dxa"/>
            <w:shd w:val="clear" w:color="auto" w:fill="auto"/>
            <w:vAlign w:val="center"/>
          </w:tcPr>
          <w:p w14:paraId="46CDD600">
            <w:pPr>
              <w:pStyle w:val="104"/>
              <w:rPr>
                <w:rFonts w:ascii="宋体" w:hAnsi="宋体" w:eastAsia="仿宋_GB2312"/>
                <w:bCs w:val="0"/>
                <w:color w:val="auto"/>
                <w:sz w:val="24"/>
              </w:rPr>
            </w:pPr>
            <w:r>
              <w:rPr>
                <w:rFonts w:hint="eastAsia" w:ascii="宋体" w:hAnsi="宋体" w:eastAsia="仿宋_GB2312"/>
                <w:bCs w:val="0"/>
                <w:color w:val="auto"/>
                <w:sz w:val="24"/>
              </w:rPr>
              <w:t>1</w:t>
            </w:r>
          </w:p>
        </w:tc>
        <w:tc>
          <w:tcPr>
            <w:tcW w:w="1567" w:type="dxa"/>
            <w:shd w:val="clear" w:color="auto" w:fill="auto"/>
            <w:vAlign w:val="center"/>
          </w:tcPr>
          <w:p w14:paraId="729CD323">
            <w:pPr>
              <w:pStyle w:val="104"/>
              <w:rPr>
                <w:rFonts w:ascii="宋体" w:hAnsi="宋体" w:eastAsia="仿宋_GB2312"/>
                <w:bCs w:val="0"/>
                <w:color w:val="auto"/>
                <w:sz w:val="24"/>
              </w:rPr>
            </w:pPr>
            <w:r>
              <w:rPr>
                <w:rFonts w:hint="eastAsia" w:ascii="宋体" w:hAnsi="宋体" w:eastAsia="仿宋_GB2312"/>
                <w:bCs w:val="0"/>
                <w:color w:val="auto"/>
                <w:sz w:val="24"/>
              </w:rPr>
              <w:t>1.5</w:t>
            </w:r>
          </w:p>
        </w:tc>
        <w:tc>
          <w:tcPr>
            <w:tcW w:w="1369" w:type="dxa"/>
            <w:shd w:val="clear" w:color="auto" w:fill="auto"/>
            <w:vAlign w:val="center"/>
          </w:tcPr>
          <w:p w14:paraId="24BBCBDD">
            <w:pPr>
              <w:pStyle w:val="104"/>
              <w:rPr>
                <w:rFonts w:ascii="宋体" w:hAnsi="宋体" w:eastAsia="仿宋_GB2312"/>
                <w:bCs w:val="0"/>
                <w:color w:val="auto"/>
                <w:sz w:val="24"/>
              </w:rPr>
            </w:pPr>
            <w:r>
              <w:rPr>
                <w:rFonts w:hint="eastAsia" w:ascii="宋体" w:hAnsi="宋体" w:eastAsia="仿宋_GB2312"/>
                <w:bCs w:val="0"/>
                <w:color w:val="auto"/>
                <w:sz w:val="24"/>
              </w:rPr>
              <w:t>1</w:t>
            </w:r>
          </w:p>
        </w:tc>
      </w:tr>
    </w:tbl>
    <w:p w14:paraId="71FB2641">
      <w:pPr>
        <w:pStyle w:val="205"/>
        <w:spacing w:before="156" w:after="156"/>
        <w:ind w:firstLine="321"/>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3—3人行道及非机动车道照明眩光限值表</w:t>
      </w:r>
    </w:p>
    <w:tbl>
      <w:tblPr>
        <w:tblStyle w:val="8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3298"/>
        <w:gridCol w:w="1649"/>
        <w:gridCol w:w="1740"/>
        <w:gridCol w:w="1817"/>
      </w:tblGrid>
      <w:tr w14:paraId="4758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7" w:type="dxa"/>
            <w:vMerge w:val="restart"/>
            <w:shd w:val="clear" w:color="auto" w:fill="auto"/>
            <w:vAlign w:val="center"/>
          </w:tcPr>
          <w:p w14:paraId="067A8963">
            <w:pPr>
              <w:pStyle w:val="104"/>
              <w:rPr>
                <w:rFonts w:ascii="宋体" w:hAnsi="宋体" w:eastAsia="仿宋_GB2312"/>
                <w:bCs w:val="0"/>
                <w:color w:val="auto"/>
                <w:sz w:val="24"/>
              </w:rPr>
            </w:pPr>
            <w:r>
              <w:rPr>
                <w:rFonts w:hint="eastAsia" w:ascii="宋体" w:hAnsi="宋体" w:eastAsia="仿宋_GB2312"/>
                <w:bCs w:val="0"/>
                <w:color w:val="auto"/>
                <w:sz w:val="24"/>
              </w:rPr>
              <w:t>级别</w:t>
            </w:r>
          </w:p>
        </w:tc>
        <w:tc>
          <w:tcPr>
            <w:tcW w:w="8504" w:type="dxa"/>
            <w:gridSpan w:val="4"/>
            <w:shd w:val="clear" w:color="auto" w:fill="auto"/>
            <w:vAlign w:val="center"/>
          </w:tcPr>
          <w:p w14:paraId="37742D75">
            <w:pPr>
              <w:pStyle w:val="104"/>
              <w:jc w:val="center"/>
              <w:rPr>
                <w:rFonts w:ascii="宋体" w:hAnsi="宋体" w:eastAsia="仿宋_GB2312"/>
                <w:bCs w:val="0"/>
                <w:color w:val="auto"/>
                <w:sz w:val="24"/>
              </w:rPr>
            </w:pPr>
            <w:r>
              <w:rPr>
                <w:rFonts w:hint="eastAsia" w:ascii="宋体" w:hAnsi="宋体" w:eastAsia="仿宋_GB2312"/>
                <w:bCs w:val="0"/>
                <w:color w:val="auto"/>
                <w:sz w:val="24"/>
              </w:rPr>
              <w:t>最大光强I</w:t>
            </w:r>
            <w:r>
              <w:rPr>
                <w:rFonts w:ascii="宋体" w:hAnsi="宋体" w:eastAsia="仿宋_GB2312"/>
                <w:bCs w:val="0"/>
                <w:color w:val="auto"/>
                <w:sz w:val="24"/>
              </w:rPr>
              <w:t>max</w:t>
            </w:r>
            <w:r>
              <w:rPr>
                <w:rFonts w:hint="eastAsia" w:ascii="宋体" w:hAnsi="宋体" w:eastAsia="仿宋_GB2312"/>
                <w:bCs w:val="0"/>
                <w:color w:val="auto"/>
                <w:sz w:val="24"/>
              </w:rPr>
              <w:t>（c</w:t>
            </w:r>
            <w:r>
              <w:rPr>
                <w:rFonts w:ascii="宋体" w:hAnsi="宋体" w:eastAsia="仿宋_GB2312"/>
                <w:bCs w:val="0"/>
                <w:color w:val="auto"/>
                <w:sz w:val="24"/>
              </w:rPr>
              <w:t>d/1000lm</w:t>
            </w:r>
            <w:r>
              <w:rPr>
                <w:rFonts w:hint="eastAsia" w:ascii="宋体" w:hAnsi="宋体" w:eastAsia="仿宋_GB2312"/>
                <w:bCs w:val="0"/>
                <w:color w:val="auto"/>
                <w:sz w:val="24"/>
              </w:rPr>
              <w:t>）</w:t>
            </w:r>
          </w:p>
        </w:tc>
      </w:tr>
      <w:tr w14:paraId="771E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7" w:type="dxa"/>
            <w:vMerge w:val="continue"/>
            <w:shd w:val="clear" w:color="auto" w:fill="auto"/>
            <w:vAlign w:val="center"/>
          </w:tcPr>
          <w:p w14:paraId="67E23F23">
            <w:pPr>
              <w:pStyle w:val="104"/>
              <w:rPr>
                <w:rFonts w:ascii="宋体" w:hAnsi="宋体" w:eastAsia="仿宋_GB2312"/>
                <w:bCs w:val="0"/>
                <w:color w:val="auto"/>
                <w:sz w:val="24"/>
              </w:rPr>
            </w:pPr>
          </w:p>
        </w:tc>
        <w:tc>
          <w:tcPr>
            <w:tcW w:w="3298" w:type="dxa"/>
            <w:shd w:val="clear" w:color="auto" w:fill="auto"/>
            <w:vAlign w:val="center"/>
          </w:tcPr>
          <w:p w14:paraId="3F860B2A">
            <w:pPr>
              <w:pStyle w:val="104"/>
              <w:jc w:val="center"/>
              <w:rPr>
                <w:rFonts w:ascii="宋体" w:hAnsi="宋体" w:eastAsia="仿宋_GB2312"/>
                <w:bCs w:val="0"/>
                <w:color w:val="auto"/>
                <w:sz w:val="24"/>
              </w:rPr>
            </w:pPr>
            <w:r>
              <w:rPr>
                <w:rFonts w:hint="eastAsia" w:ascii="宋体" w:hAnsi="宋体" w:eastAsia="仿宋_GB2312"/>
                <w:bCs w:val="0"/>
                <w:color w:val="auto"/>
                <w:sz w:val="24"/>
              </w:rPr>
              <w:t>≥70°</w:t>
            </w:r>
          </w:p>
        </w:tc>
        <w:tc>
          <w:tcPr>
            <w:tcW w:w="1649" w:type="dxa"/>
            <w:shd w:val="clear" w:color="auto" w:fill="auto"/>
            <w:vAlign w:val="center"/>
          </w:tcPr>
          <w:p w14:paraId="7AB5E127">
            <w:pPr>
              <w:pStyle w:val="104"/>
              <w:jc w:val="center"/>
              <w:rPr>
                <w:rFonts w:ascii="宋体" w:hAnsi="宋体" w:eastAsia="仿宋_GB2312"/>
                <w:bCs w:val="0"/>
                <w:color w:val="auto"/>
                <w:sz w:val="24"/>
              </w:rPr>
            </w:pPr>
            <w:r>
              <w:rPr>
                <w:rFonts w:hint="eastAsia" w:ascii="宋体" w:hAnsi="宋体" w:eastAsia="仿宋_GB2312"/>
                <w:bCs w:val="0"/>
                <w:color w:val="auto"/>
                <w:sz w:val="24"/>
              </w:rPr>
              <w:t>≥80°</w:t>
            </w:r>
          </w:p>
        </w:tc>
        <w:tc>
          <w:tcPr>
            <w:tcW w:w="1740" w:type="dxa"/>
            <w:shd w:val="clear" w:color="auto" w:fill="auto"/>
            <w:vAlign w:val="center"/>
          </w:tcPr>
          <w:p w14:paraId="75D267BC">
            <w:pPr>
              <w:pStyle w:val="104"/>
              <w:jc w:val="center"/>
              <w:rPr>
                <w:rFonts w:ascii="宋体" w:hAnsi="宋体" w:eastAsia="仿宋_GB2312"/>
                <w:bCs w:val="0"/>
                <w:color w:val="auto"/>
                <w:sz w:val="24"/>
              </w:rPr>
            </w:pPr>
            <w:r>
              <w:rPr>
                <w:rFonts w:hint="eastAsia" w:ascii="宋体" w:hAnsi="宋体" w:eastAsia="仿宋_GB2312"/>
                <w:bCs w:val="0"/>
                <w:color w:val="auto"/>
                <w:sz w:val="24"/>
              </w:rPr>
              <w:t>≥90°</w:t>
            </w:r>
          </w:p>
        </w:tc>
        <w:tc>
          <w:tcPr>
            <w:tcW w:w="1817" w:type="dxa"/>
            <w:shd w:val="clear" w:color="auto" w:fill="auto"/>
            <w:vAlign w:val="center"/>
          </w:tcPr>
          <w:p w14:paraId="19AEE8EE">
            <w:pPr>
              <w:pStyle w:val="104"/>
              <w:jc w:val="center"/>
              <w:rPr>
                <w:rFonts w:ascii="宋体" w:hAnsi="宋体" w:eastAsia="仿宋_GB2312"/>
                <w:bCs w:val="0"/>
                <w:color w:val="auto"/>
                <w:sz w:val="24"/>
              </w:rPr>
            </w:pPr>
            <w:r>
              <w:rPr>
                <w:rFonts w:hint="eastAsia" w:ascii="宋体" w:hAnsi="宋体" w:eastAsia="仿宋_GB2312"/>
                <w:bCs w:val="0"/>
                <w:color w:val="auto"/>
                <w:sz w:val="24"/>
              </w:rPr>
              <w:t>＞95°</w:t>
            </w:r>
          </w:p>
        </w:tc>
      </w:tr>
      <w:tr w14:paraId="5C7D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14:paraId="594E31E6">
            <w:pPr>
              <w:pStyle w:val="104"/>
              <w:jc w:val="center"/>
              <w:rPr>
                <w:rFonts w:ascii="宋体" w:hAnsi="宋体" w:eastAsia="仿宋_GB2312"/>
                <w:bCs w:val="0"/>
                <w:color w:val="auto"/>
                <w:sz w:val="24"/>
              </w:rPr>
            </w:pPr>
            <w:r>
              <w:rPr>
                <w:rFonts w:hint="eastAsia" w:ascii="宋体" w:hAnsi="宋体" w:eastAsia="仿宋_GB2312"/>
                <w:bCs w:val="0"/>
                <w:color w:val="auto"/>
                <w:sz w:val="24"/>
              </w:rPr>
              <w:t>1</w:t>
            </w:r>
          </w:p>
        </w:tc>
        <w:tc>
          <w:tcPr>
            <w:tcW w:w="3298" w:type="dxa"/>
            <w:shd w:val="clear" w:color="auto" w:fill="auto"/>
            <w:vAlign w:val="center"/>
          </w:tcPr>
          <w:p w14:paraId="49ECB1BA">
            <w:pPr>
              <w:pStyle w:val="104"/>
              <w:jc w:val="center"/>
              <w:rPr>
                <w:rFonts w:ascii="宋体" w:hAnsi="宋体" w:eastAsia="仿宋_GB2312"/>
                <w:bCs w:val="0"/>
                <w:color w:val="auto"/>
                <w:sz w:val="24"/>
              </w:rPr>
            </w:pPr>
            <w:r>
              <w:rPr>
                <w:rFonts w:hint="eastAsia" w:ascii="宋体" w:hAnsi="宋体" w:eastAsia="仿宋_GB2312"/>
                <w:bCs w:val="0"/>
                <w:color w:val="auto"/>
                <w:sz w:val="24"/>
              </w:rPr>
              <w:t>500</w:t>
            </w:r>
          </w:p>
        </w:tc>
        <w:tc>
          <w:tcPr>
            <w:tcW w:w="1649" w:type="dxa"/>
            <w:shd w:val="clear" w:color="auto" w:fill="auto"/>
            <w:vAlign w:val="center"/>
          </w:tcPr>
          <w:p w14:paraId="69ECFEC0">
            <w:pPr>
              <w:pStyle w:val="104"/>
              <w:jc w:val="center"/>
              <w:rPr>
                <w:rFonts w:ascii="宋体" w:hAnsi="宋体" w:eastAsia="仿宋_GB2312"/>
                <w:bCs w:val="0"/>
                <w:color w:val="auto"/>
                <w:sz w:val="24"/>
              </w:rPr>
            </w:pPr>
            <w:r>
              <w:rPr>
                <w:rFonts w:hint="eastAsia" w:ascii="宋体" w:hAnsi="宋体" w:eastAsia="仿宋_GB2312"/>
                <w:bCs w:val="0"/>
                <w:color w:val="auto"/>
                <w:sz w:val="24"/>
              </w:rPr>
              <w:t>100</w:t>
            </w:r>
          </w:p>
        </w:tc>
        <w:tc>
          <w:tcPr>
            <w:tcW w:w="1740" w:type="dxa"/>
            <w:shd w:val="clear" w:color="auto" w:fill="auto"/>
            <w:vAlign w:val="center"/>
          </w:tcPr>
          <w:p w14:paraId="784E9452">
            <w:pPr>
              <w:pStyle w:val="104"/>
              <w:jc w:val="center"/>
              <w:rPr>
                <w:rFonts w:ascii="宋体" w:hAnsi="宋体" w:eastAsia="仿宋_GB2312"/>
                <w:bCs w:val="0"/>
                <w:color w:val="auto"/>
                <w:sz w:val="24"/>
              </w:rPr>
            </w:pPr>
            <w:r>
              <w:rPr>
                <w:rFonts w:hint="eastAsia" w:ascii="宋体" w:hAnsi="宋体" w:eastAsia="仿宋_GB2312"/>
                <w:bCs w:val="0"/>
                <w:color w:val="auto"/>
                <w:sz w:val="24"/>
              </w:rPr>
              <w:t>10</w:t>
            </w:r>
          </w:p>
        </w:tc>
        <w:tc>
          <w:tcPr>
            <w:tcW w:w="1817" w:type="dxa"/>
            <w:shd w:val="clear" w:color="auto" w:fill="auto"/>
            <w:vAlign w:val="center"/>
          </w:tcPr>
          <w:p w14:paraId="1BC091A2">
            <w:pPr>
              <w:pStyle w:val="104"/>
              <w:jc w:val="center"/>
              <w:rPr>
                <w:rFonts w:ascii="宋体" w:hAnsi="宋体" w:eastAsia="仿宋_GB2312"/>
                <w:bCs w:val="0"/>
                <w:color w:val="auto"/>
                <w:sz w:val="24"/>
              </w:rPr>
            </w:pPr>
            <w:r>
              <w:rPr>
                <w:rFonts w:hint="eastAsia" w:ascii="宋体" w:hAnsi="宋体" w:eastAsia="仿宋_GB2312"/>
                <w:bCs w:val="0"/>
                <w:color w:val="auto"/>
                <w:sz w:val="24"/>
              </w:rPr>
              <w:t>＜1</w:t>
            </w:r>
          </w:p>
        </w:tc>
      </w:tr>
      <w:tr w14:paraId="32D2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14:paraId="22EA855C">
            <w:pPr>
              <w:pStyle w:val="104"/>
              <w:jc w:val="center"/>
              <w:rPr>
                <w:rFonts w:ascii="宋体" w:hAnsi="宋体" w:eastAsia="仿宋_GB2312"/>
                <w:bCs w:val="0"/>
                <w:color w:val="auto"/>
                <w:sz w:val="24"/>
              </w:rPr>
            </w:pPr>
            <w:r>
              <w:rPr>
                <w:rFonts w:hint="eastAsia" w:ascii="宋体" w:hAnsi="宋体" w:eastAsia="仿宋_GB2312"/>
                <w:bCs w:val="0"/>
                <w:color w:val="auto"/>
                <w:sz w:val="24"/>
              </w:rPr>
              <w:t>2</w:t>
            </w:r>
          </w:p>
        </w:tc>
        <w:tc>
          <w:tcPr>
            <w:tcW w:w="3298" w:type="dxa"/>
            <w:shd w:val="clear" w:color="auto" w:fill="auto"/>
            <w:vAlign w:val="center"/>
          </w:tcPr>
          <w:p w14:paraId="1F766238">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14:paraId="6C886B76">
            <w:pPr>
              <w:pStyle w:val="104"/>
              <w:jc w:val="center"/>
              <w:rPr>
                <w:rFonts w:ascii="宋体" w:hAnsi="宋体" w:eastAsia="仿宋_GB2312"/>
                <w:bCs w:val="0"/>
                <w:color w:val="auto"/>
                <w:sz w:val="24"/>
              </w:rPr>
            </w:pPr>
            <w:r>
              <w:rPr>
                <w:rFonts w:hint="eastAsia" w:ascii="宋体" w:hAnsi="宋体" w:eastAsia="仿宋_GB2312"/>
                <w:bCs w:val="0"/>
                <w:color w:val="auto"/>
                <w:sz w:val="24"/>
              </w:rPr>
              <w:t>100</w:t>
            </w:r>
          </w:p>
        </w:tc>
        <w:tc>
          <w:tcPr>
            <w:tcW w:w="1740" w:type="dxa"/>
            <w:shd w:val="clear" w:color="auto" w:fill="auto"/>
            <w:vAlign w:val="center"/>
          </w:tcPr>
          <w:p w14:paraId="58F13B4A">
            <w:pPr>
              <w:pStyle w:val="104"/>
              <w:jc w:val="center"/>
              <w:rPr>
                <w:rFonts w:ascii="宋体" w:hAnsi="宋体" w:eastAsia="仿宋_GB2312"/>
                <w:bCs w:val="0"/>
                <w:color w:val="auto"/>
                <w:sz w:val="24"/>
              </w:rPr>
            </w:pPr>
            <w:r>
              <w:rPr>
                <w:rFonts w:hint="eastAsia" w:ascii="宋体" w:hAnsi="宋体" w:eastAsia="仿宋_GB2312"/>
                <w:bCs w:val="0"/>
                <w:color w:val="auto"/>
                <w:sz w:val="24"/>
              </w:rPr>
              <w:t>20</w:t>
            </w:r>
          </w:p>
        </w:tc>
        <w:tc>
          <w:tcPr>
            <w:tcW w:w="1817" w:type="dxa"/>
            <w:shd w:val="clear" w:color="auto" w:fill="auto"/>
            <w:vAlign w:val="center"/>
          </w:tcPr>
          <w:p w14:paraId="2CEF1BAD">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r w14:paraId="399C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14:paraId="1B11E86B">
            <w:pPr>
              <w:pStyle w:val="104"/>
              <w:jc w:val="center"/>
              <w:rPr>
                <w:rFonts w:ascii="宋体" w:hAnsi="宋体" w:eastAsia="仿宋_GB2312"/>
                <w:bCs w:val="0"/>
                <w:color w:val="auto"/>
                <w:sz w:val="24"/>
              </w:rPr>
            </w:pPr>
            <w:r>
              <w:rPr>
                <w:rFonts w:hint="eastAsia" w:ascii="宋体" w:hAnsi="宋体" w:eastAsia="仿宋_GB2312"/>
                <w:bCs w:val="0"/>
                <w:color w:val="auto"/>
                <w:sz w:val="24"/>
              </w:rPr>
              <w:t>3</w:t>
            </w:r>
          </w:p>
        </w:tc>
        <w:tc>
          <w:tcPr>
            <w:tcW w:w="3298" w:type="dxa"/>
            <w:shd w:val="clear" w:color="auto" w:fill="auto"/>
            <w:vAlign w:val="center"/>
          </w:tcPr>
          <w:p w14:paraId="3DAD562F">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14:paraId="4801C05E">
            <w:pPr>
              <w:pStyle w:val="104"/>
              <w:jc w:val="center"/>
              <w:rPr>
                <w:rFonts w:ascii="宋体" w:hAnsi="宋体" w:eastAsia="仿宋_GB2312"/>
                <w:bCs w:val="0"/>
                <w:color w:val="auto"/>
                <w:sz w:val="24"/>
              </w:rPr>
            </w:pPr>
            <w:r>
              <w:rPr>
                <w:rFonts w:hint="eastAsia" w:ascii="宋体" w:hAnsi="宋体" w:eastAsia="仿宋_GB2312"/>
                <w:bCs w:val="0"/>
                <w:color w:val="auto"/>
                <w:sz w:val="24"/>
              </w:rPr>
              <w:t>150</w:t>
            </w:r>
          </w:p>
        </w:tc>
        <w:tc>
          <w:tcPr>
            <w:tcW w:w="1740" w:type="dxa"/>
            <w:shd w:val="clear" w:color="auto" w:fill="auto"/>
            <w:vAlign w:val="center"/>
          </w:tcPr>
          <w:p w14:paraId="065DBC49">
            <w:pPr>
              <w:pStyle w:val="104"/>
              <w:jc w:val="center"/>
              <w:rPr>
                <w:rFonts w:ascii="宋体" w:hAnsi="宋体" w:eastAsia="仿宋_GB2312"/>
                <w:bCs w:val="0"/>
                <w:color w:val="auto"/>
                <w:sz w:val="24"/>
              </w:rPr>
            </w:pPr>
            <w:r>
              <w:rPr>
                <w:rFonts w:hint="eastAsia" w:ascii="宋体" w:hAnsi="宋体" w:eastAsia="仿宋_GB2312"/>
                <w:bCs w:val="0"/>
                <w:color w:val="auto"/>
                <w:sz w:val="24"/>
              </w:rPr>
              <w:t>30</w:t>
            </w:r>
          </w:p>
        </w:tc>
        <w:tc>
          <w:tcPr>
            <w:tcW w:w="1817" w:type="dxa"/>
            <w:shd w:val="clear" w:color="auto" w:fill="auto"/>
            <w:vAlign w:val="center"/>
          </w:tcPr>
          <w:p w14:paraId="74755CBE">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r w14:paraId="04F7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57" w:type="dxa"/>
            <w:shd w:val="clear" w:color="auto" w:fill="auto"/>
            <w:vAlign w:val="center"/>
          </w:tcPr>
          <w:p w14:paraId="2C1CE8CD">
            <w:pPr>
              <w:pStyle w:val="104"/>
              <w:jc w:val="center"/>
              <w:rPr>
                <w:rFonts w:ascii="宋体" w:hAnsi="宋体" w:eastAsia="仿宋_GB2312"/>
                <w:bCs w:val="0"/>
                <w:color w:val="auto"/>
                <w:sz w:val="24"/>
              </w:rPr>
            </w:pPr>
            <w:r>
              <w:rPr>
                <w:rFonts w:hint="eastAsia" w:ascii="宋体" w:hAnsi="宋体" w:eastAsia="仿宋_GB2312"/>
                <w:bCs w:val="0"/>
                <w:color w:val="auto"/>
                <w:sz w:val="24"/>
              </w:rPr>
              <w:t>4</w:t>
            </w:r>
          </w:p>
        </w:tc>
        <w:tc>
          <w:tcPr>
            <w:tcW w:w="3298" w:type="dxa"/>
            <w:shd w:val="clear" w:color="auto" w:fill="auto"/>
            <w:vAlign w:val="center"/>
          </w:tcPr>
          <w:p w14:paraId="01E6DB20">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c>
          <w:tcPr>
            <w:tcW w:w="1649" w:type="dxa"/>
            <w:shd w:val="clear" w:color="auto" w:fill="auto"/>
            <w:vAlign w:val="center"/>
          </w:tcPr>
          <w:p w14:paraId="47EDE10A">
            <w:pPr>
              <w:pStyle w:val="104"/>
              <w:jc w:val="center"/>
              <w:rPr>
                <w:rFonts w:ascii="宋体" w:hAnsi="宋体" w:eastAsia="仿宋_GB2312"/>
                <w:bCs w:val="0"/>
                <w:color w:val="auto"/>
                <w:sz w:val="24"/>
              </w:rPr>
            </w:pPr>
            <w:r>
              <w:rPr>
                <w:rFonts w:hint="eastAsia" w:ascii="宋体" w:hAnsi="宋体" w:eastAsia="仿宋_GB2312"/>
                <w:bCs w:val="0"/>
                <w:color w:val="auto"/>
                <w:sz w:val="24"/>
              </w:rPr>
              <w:t>200</w:t>
            </w:r>
          </w:p>
        </w:tc>
        <w:tc>
          <w:tcPr>
            <w:tcW w:w="1740" w:type="dxa"/>
            <w:shd w:val="clear" w:color="auto" w:fill="auto"/>
            <w:vAlign w:val="center"/>
          </w:tcPr>
          <w:p w14:paraId="6F2D9957">
            <w:pPr>
              <w:pStyle w:val="104"/>
              <w:jc w:val="center"/>
              <w:rPr>
                <w:rFonts w:ascii="宋体" w:hAnsi="宋体" w:eastAsia="仿宋_GB2312"/>
                <w:bCs w:val="0"/>
                <w:color w:val="auto"/>
                <w:sz w:val="24"/>
              </w:rPr>
            </w:pPr>
            <w:r>
              <w:rPr>
                <w:rFonts w:hint="eastAsia" w:ascii="宋体" w:hAnsi="宋体" w:eastAsia="仿宋_GB2312"/>
                <w:bCs w:val="0"/>
                <w:color w:val="auto"/>
                <w:sz w:val="24"/>
              </w:rPr>
              <w:t>50</w:t>
            </w:r>
          </w:p>
        </w:tc>
        <w:tc>
          <w:tcPr>
            <w:tcW w:w="1817" w:type="dxa"/>
            <w:shd w:val="clear" w:color="auto" w:fill="auto"/>
            <w:vAlign w:val="center"/>
          </w:tcPr>
          <w:p w14:paraId="57A2860B">
            <w:pPr>
              <w:pStyle w:val="104"/>
              <w:jc w:val="center"/>
              <w:rPr>
                <w:rFonts w:ascii="宋体" w:hAnsi="宋体" w:eastAsia="仿宋_GB2312"/>
                <w:bCs w:val="0"/>
                <w:color w:val="auto"/>
                <w:sz w:val="24"/>
              </w:rPr>
            </w:pPr>
            <w:r>
              <w:rPr>
                <w:rFonts w:hint="eastAsia" w:ascii="宋体" w:hAnsi="宋体" w:eastAsia="仿宋_GB2312"/>
                <w:bCs w:val="0"/>
                <w:color w:val="auto"/>
                <w:sz w:val="24"/>
              </w:rPr>
              <w:t>—</w:t>
            </w:r>
          </w:p>
        </w:tc>
      </w:tr>
    </w:tbl>
    <w:p w14:paraId="0F881154">
      <w:pPr>
        <w:pStyle w:val="205"/>
        <w:spacing w:before="156" w:after="156"/>
        <w:ind w:firstLine="321"/>
        <w:rPr>
          <w:rFonts w:ascii="宋体" w:hAnsi="宋体"/>
          <w:bCs w:val="0"/>
          <w:sz w:val="24"/>
        </w:rPr>
      </w:pPr>
    </w:p>
    <w:p w14:paraId="34CF4854">
      <w:pPr>
        <w:pStyle w:val="205"/>
        <w:spacing w:before="156" w:after="156"/>
        <w:ind w:firstLine="321"/>
        <w:rPr>
          <w:rFonts w:ascii="宋体" w:hAnsi="宋体"/>
          <w:bCs w:val="0"/>
          <w:sz w:val="24"/>
        </w:rPr>
      </w:pPr>
    </w:p>
    <w:p w14:paraId="0E8E8562">
      <w:pPr>
        <w:pStyle w:val="205"/>
        <w:spacing w:before="156" w:after="156"/>
        <w:ind w:firstLine="321"/>
        <w:rPr>
          <w:rFonts w:ascii="宋体" w:hAnsi="宋体"/>
          <w:bCs w:val="0"/>
          <w:sz w:val="24"/>
        </w:rPr>
      </w:pPr>
      <w:r>
        <w:rPr>
          <w:rFonts w:hint="eastAsia" w:ascii="宋体" w:hAnsi="宋体"/>
          <w:bCs w:val="0"/>
          <w:sz w:val="24"/>
        </w:rPr>
        <w:t>表13—4</w:t>
      </w:r>
      <w:r>
        <w:rPr>
          <w:rFonts w:ascii="宋体" w:hAnsi="宋体"/>
          <w:bCs w:val="0"/>
          <w:sz w:val="24"/>
        </w:rPr>
        <w:t xml:space="preserve"> </w:t>
      </w:r>
      <w:r>
        <w:rPr>
          <w:rFonts w:hint="eastAsia" w:ascii="宋体" w:hAnsi="宋体"/>
          <w:bCs w:val="0"/>
          <w:sz w:val="24"/>
        </w:rPr>
        <w:t>北京市村镇道路照明等级与控制指标表</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89"/>
        <w:gridCol w:w="1153"/>
        <w:gridCol w:w="1039"/>
        <w:gridCol w:w="789"/>
        <w:gridCol w:w="1256"/>
        <w:gridCol w:w="831"/>
        <w:gridCol w:w="1042"/>
        <w:gridCol w:w="720"/>
      </w:tblGrid>
      <w:tr w14:paraId="5BC1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742" w:type="dxa"/>
            <w:vMerge w:val="restart"/>
            <w:shd w:val="clear" w:color="auto" w:fill="auto"/>
            <w:vAlign w:val="center"/>
          </w:tcPr>
          <w:p w14:paraId="60FC006E">
            <w:pPr>
              <w:pStyle w:val="190"/>
              <w:kinsoku w:val="0"/>
              <w:overflowPunct w:val="0"/>
              <w:jc w:val="center"/>
              <w:rPr>
                <w:rFonts w:ascii="宋体" w:hAnsi="宋体" w:eastAsia="仿宋_GB2312" w:cs="仿宋"/>
                <w:szCs w:val="21"/>
              </w:rPr>
            </w:pPr>
            <w:r>
              <w:rPr>
                <w:rFonts w:hint="eastAsia" w:ascii="宋体" w:hAnsi="宋体" w:eastAsia="仿宋_GB2312" w:cs="仿宋"/>
                <w:szCs w:val="21"/>
              </w:rPr>
              <w:t>规划</w:t>
            </w:r>
          </w:p>
          <w:p w14:paraId="72C6FC22">
            <w:pPr>
              <w:pStyle w:val="190"/>
              <w:kinsoku w:val="0"/>
              <w:overflowPunct w:val="0"/>
              <w:jc w:val="center"/>
              <w:rPr>
                <w:rFonts w:ascii="宋体" w:hAnsi="宋体" w:eastAsia="仿宋_GB2312" w:cs="仿宋"/>
                <w:szCs w:val="21"/>
              </w:rPr>
            </w:pPr>
            <w:r>
              <w:rPr>
                <w:rFonts w:hint="eastAsia" w:ascii="宋体" w:hAnsi="宋体" w:eastAsia="仿宋_GB2312" w:cs="仿宋"/>
                <w:szCs w:val="21"/>
              </w:rPr>
              <w:t>分类</w:t>
            </w:r>
          </w:p>
        </w:tc>
        <w:tc>
          <w:tcPr>
            <w:tcW w:w="1489" w:type="dxa"/>
            <w:vMerge w:val="restart"/>
            <w:shd w:val="clear" w:color="auto" w:fill="auto"/>
            <w:vAlign w:val="center"/>
          </w:tcPr>
          <w:p w14:paraId="04121FC7">
            <w:pPr>
              <w:pStyle w:val="190"/>
              <w:kinsoku w:val="0"/>
              <w:overflowPunct w:val="0"/>
              <w:jc w:val="center"/>
              <w:rPr>
                <w:rFonts w:ascii="宋体" w:hAnsi="宋体" w:eastAsia="仿宋_GB2312" w:cs="仿宋"/>
                <w:szCs w:val="21"/>
              </w:rPr>
            </w:pPr>
            <w:r>
              <w:rPr>
                <w:rFonts w:hint="eastAsia" w:ascii="宋体" w:hAnsi="宋体" w:eastAsia="仿宋_GB2312" w:cs="仿宋"/>
                <w:szCs w:val="21"/>
              </w:rPr>
              <w:t>道路</w:t>
            </w:r>
          </w:p>
          <w:p w14:paraId="49D14F2A">
            <w:pPr>
              <w:pStyle w:val="190"/>
              <w:kinsoku w:val="0"/>
              <w:overflowPunct w:val="0"/>
              <w:jc w:val="center"/>
              <w:rPr>
                <w:rFonts w:ascii="宋体" w:hAnsi="宋体" w:eastAsia="仿宋_GB2312" w:cs="仿宋"/>
                <w:szCs w:val="21"/>
              </w:rPr>
            </w:pPr>
            <w:r>
              <w:rPr>
                <w:rFonts w:hint="eastAsia" w:ascii="宋体" w:hAnsi="宋体" w:eastAsia="仿宋_GB2312" w:cs="仿宋"/>
                <w:szCs w:val="21"/>
              </w:rPr>
              <w:t>类型</w:t>
            </w:r>
          </w:p>
        </w:tc>
        <w:tc>
          <w:tcPr>
            <w:tcW w:w="2981" w:type="dxa"/>
            <w:gridSpan w:val="3"/>
            <w:shd w:val="clear" w:color="auto" w:fill="auto"/>
            <w:vAlign w:val="center"/>
          </w:tcPr>
          <w:p w14:paraId="0EE9033A">
            <w:pPr>
              <w:pStyle w:val="190"/>
              <w:kinsoku w:val="0"/>
              <w:overflowPunct w:val="0"/>
              <w:jc w:val="center"/>
              <w:rPr>
                <w:rFonts w:ascii="宋体" w:hAnsi="宋体" w:eastAsia="仿宋_GB2312" w:cs="仿宋"/>
                <w:szCs w:val="21"/>
              </w:rPr>
            </w:pPr>
            <w:r>
              <w:rPr>
                <w:rFonts w:hint="eastAsia" w:ascii="宋体" w:hAnsi="宋体" w:eastAsia="仿宋_GB2312" w:cs="仿宋"/>
                <w:szCs w:val="21"/>
              </w:rPr>
              <w:t>路面亮度</w:t>
            </w:r>
          </w:p>
        </w:tc>
        <w:tc>
          <w:tcPr>
            <w:tcW w:w="2087" w:type="dxa"/>
            <w:gridSpan w:val="2"/>
            <w:shd w:val="clear" w:color="auto" w:fill="auto"/>
            <w:vAlign w:val="center"/>
          </w:tcPr>
          <w:p w14:paraId="78C3D4AC">
            <w:pPr>
              <w:pStyle w:val="190"/>
              <w:kinsoku w:val="0"/>
              <w:overflowPunct w:val="0"/>
              <w:jc w:val="center"/>
              <w:rPr>
                <w:rFonts w:ascii="宋体" w:hAnsi="宋体" w:eastAsia="仿宋_GB2312" w:cs="仿宋"/>
                <w:szCs w:val="21"/>
              </w:rPr>
            </w:pPr>
            <w:r>
              <w:rPr>
                <w:rFonts w:hint="eastAsia" w:ascii="宋体" w:hAnsi="宋体" w:eastAsia="仿宋_GB2312" w:cs="仿宋"/>
                <w:szCs w:val="21"/>
              </w:rPr>
              <w:t>路面照度</w:t>
            </w:r>
          </w:p>
        </w:tc>
        <w:tc>
          <w:tcPr>
            <w:tcW w:w="1042" w:type="dxa"/>
            <w:vMerge w:val="restart"/>
            <w:shd w:val="clear" w:color="auto" w:fill="auto"/>
            <w:vAlign w:val="center"/>
          </w:tcPr>
          <w:p w14:paraId="6B0412BC">
            <w:pPr>
              <w:pStyle w:val="190"/>
              <w:kinsoku w:val="0"/>
              <w:overflowPunct w:val="0"/>
              <w:jc w:val="center"/>
              <w:rPr>
                <w:rFonts w:ascii="宋体" w:hAnsi="宋体" w:eastAsia="仿宋_GB2312" w:cs="仿宋"/>
                <w:szCs w:val="21"/>
              </w:rPr>
            </w:pPr>
            <w:r>
              <w:rPr>
                <w:rFonts w:hint="eastAsia" w:ascii="宋体" w:hAnsi="宋体" w:eastAsia="仿宋_GB2312" w:cs="仿宋"/>
                <w:szCs w:val="21"/>
              </w:rPr>
              <w:t>眩光限制阈值增量</w:t>
            </w:r>
            <w:r>
              <w:rPr>
                <w:rFonts w:hint="eastAsia" w:ascii="宋体" w:hAnsi="宋体" w:eastAsia="仿宋_GB2312" w:cs="仿宋"/>
                <w:spacing w:val="1"/>
                <w:w w:val="87"/>
                <w:kern w:val="0"/>
                <w:szCs w:val="21"/>
                <w:fitText w:val="739" w:id="1735750315"/>
              </w:rPr>
              <w:t>T</w:t>
            </w:r>
            <w:r>
              <w:rPr>
                <w:rFonts w:ascii="宋体" w:hAnsi="宋体" w:eastAsia="仿宋_GB2312" w:cs="仿宋"/>
                <w:spacing w:val="1"/>
                <w:w w:val="87"/>
                <w:kern w:val="0"/>
                <w:szCs w:val="21"/>
                <w:fitText w:val="739" w:id="1735750315"/>
              </w:rPr>
              <w:t>1</w:t>
            </w:r>
            <w:r>
              <w:rPr>
                <w:rFonts w:hint="eastAsia" w:ascii="宋体" w:hAnsi="宋体" w:eastAsia="仿宋_GB2312" w:cs="仿宋"/>
                <w:spacing w:val="1"/>
                <w:w w:val="87"/>
                <w:kern w:val="0"/>
                <w:szCs w:val="21"/>
                <w:fitText w:val="739" w:id="1735750315"/>
              </w:rPr>
              <w:t>（%</w:t>
            </w:r>
            <w:r>
              <w:rPr>
                <w:rFonts w:hint="eastAsia" w:ascii="宋体" w:hAnsi="宋体" w:eastAsia="仿宋_GB2312" w:cs="仿宋"/>
                <w:spacing w:val="2"/>
                <w:w w:val="87"/>
                <w:kern w:val="0"/>
                <w:szCs w:val="21"/>
                <w:fitText w:val="739" w:id="1735750315"/>
              </w:rPr>
              <w:t>）</w:t>
            </w:r>
            <w:r>
              <w:rPr>
                <w:rFonts w:hint="eastAsia" w:ascii="宋体" w:hAnsi="宋体" w:eastAsia="仿宋_GB2312" w:cs="仿宋"/>
                <w:szCs w:val="21"/>
              </w:rPr>
              <w:t>最大初始量</w:t>
            </w:r>
          </w:p>
        </w:tc>
        <w:tc>
          <w:tcPr>
            <w:tcW w:w="720" w:type="dxa"/>
            <w:vMerge w:val="restart"/>
            <w:shd w:val="clear" w:color="auto" w:fill="auto"/>
            <w:vAlign w:val="center"/>
          </w:tcPr>
          <w:p w14:paraId="4EA4CD66">
            <w:pPr>
              <w:pStyle w:val="190"/>
              <w:kinsoku w:val="0"/>
              <w:overflowPunct w:val="0"/>
              <w:jc w:val="center"/>
              <w:rPr>
                <w:rFonts w:ascii="宋体" w:hAnsi="宋体" w:eastAsia="仿宋_GB2312" w:cs="仿宋"/>
                <w:szCs w:val="21"/>
              </w:rPr>
            </w:pPr>
            <w:r>
              <w:rPr>
                <w:rFonts w:hint="eastAsia" w:ascii="宋体" w:hAnsi="宋体" w:eastAsia="仿宋_GB2312" w:cs="仿宋"/>
                <w:szCs w:val="21"/>
              </w:rPr>
              <w:t>环境比SR最小值</w:t>
            </w:r>
          </w:p>
          <w:p w14:paraId="73C32623">
            <w:pPr>
              <w:pStyle w:val="190"/>
              <w:kinsoku w:val="0"/>
              <w:overflowPunct w:val="0"/>
              <w:jc w:val="center"/>
              <w:rPr>
                <w:rFonts w:ascii="宋体" w:hAnsi="宋体" w:eastAsia="仿宋_GB2312" w:cs="仿宋"/>
                <w:szCs w:val="21"/>
              </w:rPr>
            </w:pPr>
          </w:p>
        </w:tc>
      </w:tr>
      <w:tr w14:paraId="2A97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42" w:type="dxa"/>
            <w:vMerge w:val="continue"/>
            <w:shd w:val="clear" w:color="auto" w:fill="auto"/>
            <w:vAlign w:val="center"/>
          </w:tcPr>
          <w:p w14:paraId="22F26E36">
            <w:pPr>
              <w:pStyle w:val="190"/>
              <w:kinsoku w:val="0"/>
              <w:overflowPunct w:val="0"/>
              <w:jc w:val="center"/>
              <w:rPr>
                <w:rFonts w:ascii="宋体" w:hAnsi="宋体" w:eastAsia="仿宋_GB2312" w:cs="仿宋"/>
                <w:szCs w:val="21"/>
              </w:rPr>
            </w:pPr>
          </w:p>
        </w:tc>
        <w:tc>
          <w:tcPr>
            <w:tcW w:w="1489" w:type="dxa"/>
            <w:vMerge w:val="continue"/>
            <w:shd w:val="clear" w:color="auto" w:fill="auto"/>
            <w:vAlign w:val="center"/>
          </w:tcPr>
          <w:p w14:paraId="1567C18C">
            <w:pPr>
              <w:pStyle w:val="190"/>
              <w:kinsoku w:val="0"/>
              <w:overflowPunct w:val="0"/>
              <w:jc w:val="center"/>
              <w:rPr>
                <w:rFonts w:ascii="宋体" w:hAnsi="宋体" w:eastAsia="仿宋_GB2312" w:cs="仿宋"/>
                <w:szCs w:val="21"/>
              </w:rPr>
            </w:pPr>
          </w:p>
        </w:tc>
        <w:tc>
          <w:tcPr>
            <w:tcW w:w="1153" w:type="dxa"/>
            <w:shd w:val="clear" w:color="auto" w:fill="auto"/>
            <w:vAlign w:val="center"/>
          </w:tcPr>
          <w:p w14:paraId="1B0B40C5">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平均亮度Lav</w:t>
            </w:r>
          </w:p>
          <w:p w14:paraId="51D73F7B">
            <w:pPr>
              <w:pStyle w:val="190"/>
              <w:kinsoku w:val="0"/>
              <w:overflowPunct w:val="0"/>
              <w:jc w:val="center"/>
              <w:rPr>
                <w:rFonts w:ascii="宋体" w:hAnsi="宋体" w:eastAsia="仿宋_GB2312" w:cs="仿宋"/>
                <w:szCs w:val="21"/>
              </w:rPr>
            </w:pPr>
            <w:r>
              <w:rPr>
                <w:rFonts w:hint="eastAsia" w:ascii="宋体" w:hAnsi="宋体" w:eastAsia="仿宋_GB2312" w:cs="仿宋"/>
                <w:spacing w:val="1"/>
                <w:w w:val="68"/>
                <w:kern w:val="0"/>
                <w:szCs w:val="21"/>
                <w:fitText w:val="739" w:id="1"/>
              </w:rPr>
              <w:t>（cd/m2</w:t>
            </w:r>
            <w:r>
              <w:rPr>
                <w:rFonts w:hint="eastAsia" w:ascii="宋体" w:hAnsi="宋体" w:eastAsia="仿宋_GB2312" w:cs="仿宋"/>
                <w:spacing w:val="0"/>
                <w:w w:val="68"/>
                <w:kern w:val="0"/>
                <w:szCs w:val="21"/>
                <w:fitText w:val="739" w:id="1"/>
              </w:rPr>
              <w:t>）</w:t>
            </w:r>
            <w:r>
              <w:rPr>
                <w:rFonts w:hint="eastAsia" w:ascii="宋体" w:hAnsi="宋体" w:eastAsia="仿宋_GB2312" w:cs="仿宋"/>
                <w:szCs w:val="21"/>
              </w:rPr>
              <w:t>维持值</w:t>
            </w:r>
          </w:p>
        </w:tc>
        <w:tc>
          <w:tcPr>
            <w:tcW w:w="1039" w:type="dxa"/>
            <w:shd w:val="clear" w:color="auto" w:fill="auto"/>
            <w:vAlign w:val="center"/>
          </w:tcPr>
          <w:p w14:paraId="71EF94A7">
            <w:pPr>
              <w:pStyle w:val="190"/>
              <w:kinsoku w:val="0"/>
              <w:overflowPunct w:val="0"/>
              <w:jc w:val="center"/>
              <w:rPr>
                <w:rFonts w:ascii="宋体" w:hAnsi="宋体" w:eastAsia="仿宋_GB2312" w:cs="仿宋"/>
                <w:szCs w:val="21"/>
              </w:rPr>
            </w:pPr>
            <w:r>
              <w:rPr>
                <w:rFonts w:hint="eastAsia" w:ascii="宋体" w:hAnsi="宋体" w:eastAsia="仿宋_GB2312" w:cs="仿宋"/>
                <w:szCs w:val="21"/>
              </w:rPr>
              <w:t>总均匀度Uo最小值</w:t>
            </w:r>
          </w:p>
        </w:tc>
        <w:tc>
          <w:tcPr>
            <w:tcW w:w="789" w:type="dxa"/>
            <w:shd w:val="clear" w:color="auto" w:fill="auto"/>
            <w:vAlign w:val="center"/>
          </w:tcPr>
          <w:p w14:paraId="706A3AB6">
            <w:pPr>
              <w:pStyle w:val="190"/>
              <w:kinsoku w:val="0"/>
              <w:overflowPunct w:val="0"/>
              <w:jc w:val="center"/>
              <w:rPr>
                <w:rFonts w:ascii="宋体" w:hAnsi="宋体" w:eastAsia="仿宋_GB2312" w:cs="仿宋"/>
                <w:szCs w:val="21"/>
              </w:rPr>
            </w:pPr>
            <w:r>
              <w:rPr>
                <w:rFonts w:hint="eastAsia" w:ascii="宋体" w:hAnsi="宋体" w:eastAsia="仿宋_GB2312" w:cs="仿宋"/>
                <w:szCs w:val="21"/>
              </w:rPr>
              <w:t>纵向均匀度UL最小值</w:t>
            </w:r>
          </w:p>
        </w:tc>
        <w:tc>
          <w:tcPr>
            <w:tcW w:w="1256" w:type="dxa"/>
            <w:shd w:val="clear" w:color="auto" w:fill="auto"/>
            <w:vAlign w:val="center"/>
          </w:tcPr>
          <w:p w14:paraId="37A4CFC1">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平均照度</w:t>
            </w:r>
            <w:r>
              <w:rPr>
                <w:rFonts w:hint="eastAsia" w:ascii="宋体" w:hAnsi="宋体" w:eastAsia="仿宋_GB2312" w:cs="仿宋"/>
                <w:spacing w:val="1"/>
                <w:w w:val="68"/>
                <w:kern w:val="0"/>
                <w:szCs w:val="21"/>
                <w:fitText w:val="739" w:id="2"/>
              </w:rPr>
              <w:t>Eh,av(lx</w:t>
            </w:r>
            <w:r>
              <w:rPr>
                <w:rFonts w:hint="eastAsia" w:ascii="宋体" w:hAnsi="宋体" w:eastAsia="仿宋_GB2312" w:cs="仿宋"/>
                <w:spacing w:val="-2"/>
                <w:w w:val="68"/>
                <w:kern w:val="0"/>
                <w:szCs w:val="21"/>
                <w:fitText w:val="739" w:id="2"/>
              </w:rPr>
              <w:t>)</w:t>
            </w:r>
            <w:r>
              <w:rPr>
                <w:rFonts w:hint="eastAsia" w:ascii="宋体" w:hAnsi="宋体" w:eastAsia="仿宋_GB2312" w:cs="仿宋"/>
                <w:szCs w:val="21"/>
              </w:rPr>
              <w:t>维持值</w:t>
            </w:r>
          </w:p>
        </w:tc>
        <w:tc>
          <w:tcPr>
            <w:tcW w:w="831" w:type="dxa"/>
            <w:shd w:val="clear" w:color="auto" w:fill="auto"/>
            <w:vAlign w:val="center"/>
          </w:tcPr>
          <w:p w14:paraId="1D3E00B8">
            <w:pPr>
              <w:pStyle w:val="190"/>
              <w:kinsoku w:val="0"/>
              <w:overflowPunct w:val="0"/>
              <w:jc w:val="center"/>
              <w:rPr>
                <w:rFonts w:ascii="宋体" w:hAnsi="宋体" w:eastAsia="仿宋_GB2312" w:cs="仿宋"/>
                <w:szCs w:val="21"/>
              </w:rPr>
            </w:pPr>
            <w:r>
              <w:rPr>
                <w:rFonts w:hint="eastAsia" w:ascii="宋体" w:hAnsi="宋体" w:eastAsia="仿宋_GB2312" w:cs="仿宋"/>
                <w:szCs w:val="21"/>
              </w:rPr>
              <w:t>均匀度UE最小值</w:t>
            </w:r>
          </w:p>
        </w:tc>
        <w:tc>
          <w:tcPr>
            <w:tcW w:w="1042" w:type="dxa"/>
            <w:vMerge w:val="continue"/>
            <w:shd w:val="clear" w:color="auto" w:fill="auto"/>
            <w:vAlign w:val="center"/>
          </w:tcPr>
          <w:p w14:paraId="7C63067F">
            <w:pPr>
              <w:pStyle w:val="190"/>
              <w:kinsoku w:val="0"/>
              <w:overflowPunct w:val="0"/>
              <w:jc w:val="center"/>
              <w:rPr>
                <w:rFonts w:ascii="宋体" w:hAnsi="宋体" w:eastAsia="仿宋_GB2312" w:cs="仿宋"/>
                <w:szCs w:val="21"/>
              </w:rPr>
            </w:pPr>
          </w:p>
        </w:tc>
        <w:tc>
          <w:tcPr>
            <w:tcW w:w="720" w:type="dxa"/>
            <w:vMerge w:val="continue"/>
            <w:shd w:val="clear" w:color="auto" w:fill="auto"/>
            <w:vAlign w:val="center"/>
          </w:tcPr>
          <w:p w14:paraId="4370689B">
            <w:pPr>
              <w:pStyle w:val="190"/>
              <w:kinsoku w:val="0"/>
              <w:overflowPunct w:val="0"/>
              <w:jc w:val="center"/>
              <w:rPr>
                <w:rFonts w:ascii="宋体" w:hAnsi="宋体" w:eastAsia="仿宋_GB2312" w:cs="仿宋"/>
                <w:szCs w:val="21"/>
              </w:rPr>
            </w:pPr>
          </w:p>
        </w:tc>
      </w:tr>
      <w:tr w14:paraId="3CE1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742" w:type="dxa"/>
            <w:shd w:val="clear" w:color="auto" w:fill="auto"/>
            <w:vAlign w:val="center"/>
          </w:tcPr>
          <w:p w14:paraId="5A54FB0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一级照明</w:t>
            </w:r>
          </w:p>
        </w:tc>
        <w:tc>
          <w:tcPr>
            <w:tcW w:w="1489" w:type="dxa"/>
            <w:shd w:val="clear" w:color="auto" w:fill="auto"/>
            <w:vAlign w:val="center"/>
          </w:tcPr>
          <w:p w14:paraId="1086F5D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镇区主干路</w:t>
            </w:r>
          </w:p>
        </w:tc>
        <w:tc>
          <w:tcPr>
            <w:tcW w:w="1153" w:type="dxa"/>
            <w:shd w:val="clear" w:color="auto" w:fill="auto"/>
            <w:vAlign w:val="center"/>
          </w:tcPr>
          <w:p w14:paraId="4A5A733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1.0/1.5</w:t>
            </w:r>
          </w:p>
        </w:tc>
        <w:tc>
          <w:tcPr>
            <w:tcW w:w="1039" w:type="dxa"/>
            <w:shd w:val="clear" w:color="auto" w:fill="auto"/>
            <w:vAlign w:val="center"/>
          </w:tcPr>
          <w:p w14:paraId="08F1A421">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789" w:type="dxa"/>
            <w:shd w:val="clear" w:color="auto" w:fill="auto"/>
            <w:vAlign w:val="center"/>
          </w:tcPr>
          <w:p w14:paraId="0F8F4A3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c>
          <w:tcPr>
            <w:tcW w:w="1256" w:type="dxa"/>
            <w:shd w:val="clear" w:color="auto" w:fill="auto"/>
            <w:vAlign w:val="center"/>
          </w:tcPr>
          <w:p w14:paraId="73A3B671">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15/20</w:t>
            </w:r>
          </w:p>
        </w:tc>
        <w:tc>
          <w:tcPr>
            <w:tcW w:w="831" w:type="dxa"/>
            <w:shd w:val="clear" w:color="auto" w:fill="auto"/>
            <w:vAlign w:val="center"/>
          </w:tcPr>
          <w:p w14:paraId="770FC76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1042" w:type="dxa"/>
            <w:shd w:val="clear" w:color="auto" w:fill="auto"/>
            <w:vAlign w:val="center"/>
          </w:tcPr>
          <w:p w14:paraId="77BB8DA5">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w:t>
            </w:r>
          </w:p>
        </w:tc>
        <w:tc>
          <w:tcPr>
            <w:tcW w:w="720" w:type="dxa"/>
            <w:shd w:val="clear" w:color="auto" w:fill="auto"/>
            <w:vAlign w:val="center"/>
          </w:tcPr>
          <w:p w14:paraId="6A909920">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r>
      <w:tr w14:paraId="750A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742" w:type="dxa"/>
            <w:shd w:val="clear" w:color="auto" w:fill="auto"/>
            <w:vAlign w:val="center"/>
          </w:tcPr>
          <w:p w14:paraId="19C8D315">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二级照明</w:t>
            </w:r>
          </w:p>
        </w:tc>
        <w:tc>
          <w:tcPr>
            <w:tcW w:w="1489" w:type="dxa"/>
            <w:shd w:val="clear" w:color="auto" w:fill="auto"/>
            <w:vAlign w:val="center"/>
          </w:tcPr>
          <w:p w14:paraId="2376952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镇区干路</w:t>
            </w:r>
          </w:p>
        </w:tc>
        <w:tc>
          <w:tcPr>
            <w:tcW w:w="1153" w:type="dxa"/>
            <w:shd w:val="clear" w:color="auto" w:fill="auto"/>
            <w:vAlign w:val="center"/>
          </w:tcPr>
          <w:p w14:paraId="4B5494C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0.75/1.0</w:t>
            </w:r>
          </w:p>
        </w:tc>
        <w:tc>
          <w:tcPr>
            <w:tcW w:w="1039" w:type="dxa"/>
            <w:shd w:val="clear" w:color="auto" w:fill="auto"/>
            <w:vAlign w:val="center"/>
          </w:tcPr>
          <w:p w14:paraId="12595046">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789" w:type="dxa"/>
            <w:shd w:val="clear" w:color="auto" w:fill="auto"/>
            <w:vAlign w:val="center"/>
          </w:tcPr>
          <w:p w14:paraId="60198894">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14:paraId="6105E12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10/15</w:t>
            </w:r>
          </w:p>
        </w:tc>
        <w:tc>
          <w:tcPr>
            <w:tcW w:w="831" w:type="dxa"/>
            <w:shd w:val="clear" w:color="auto" w:fill="auto"/>
            <w:vAlign w:val="center"/>
          </w:tcPr>
          <w:p w14:paraId="1EFB8D9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1042" w:type="dxa"/>
            <w:shd w:val="clear" w:color="auto" w:fill="auto"/>
            <w:vAlign w:val="center"/>
          </w:tcPr>
          <w:p w14:paraId="3C9CFA56">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10</w:t>
            </w:r>
          </w:p>
        </w:tc>
        <w:tc>
          <w:tcPr>
            <w:tcW w:w="720" w:type="dxa"/>
            <w:shd w:val="clear" w:color="auto" w:fill="auto"/>
            <w:vAlign w:val="center"/>
          </w:tcPr>
          <w:p w14:paraId="10A68EC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14:paraId="6634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42" w:type="dxa"/>
            <w:shd w:val="clear" w:color="auto" w:fill="auto"/>
            <w:vAlign w:val="center"/>
          </w:tcPr>
          <w:p w14:paraId="23D1C88F">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三级照明</w:t>
            </w:r>
          </w:p>
        </w:tc>
        <w:tc>
          <w:tcPr>
            <w:tcW w:w="1489" w:type="dxa"/>
            <w:shd w:val="clear" w:color="auto" w:fill="auto"/>
            <w:vAlign w:val="center"/>
          </w:tcPr>
          <w:p w14:paraId="725F485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镇区支路、村庄干路</w:t>
            </w:r>
          </w:p>
        </w:tc>
        <w:tc>
          <w:tcPr>
            <w:tcW w:w="1153" w:type="dxa"/>
            <w:shd w:val="clear" w:color="auto" w:fill="auto"/>
            <w:vAlign w:val="center"/>
          </w:tcPr>
          <w:p w14:paraId="099C0CC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0.5/0.75</w:t>
            </w:r>
          </w:p>
        </w:tc>
        <w:tc>
          <w:tcPr>
            <w:tcW w:w="1039" w:type="dxa"/>
            <w:shd w:val="clear" w:color="auto" w:fill="auto"/>
            <w:vAlign w:val="center"/>
          </w:tcPr>
          <w:p w14:paraId="081B6621">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0.3/0.4</w:t>
            </w:r>
          </w:p>
        </w:tc>
        <w:tc>
          <w:tcPr>
            <w:tcW w:w="789" w:type="dxa"/>
            <w:shd w:val="clear" w:color="auto" w:fill="auto"/>
            <w:vAlign w:val="center"/>
          </w:tcPr>
          <w:p w14:paraId="4C09B03D">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14:paraId="722759B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8/10</w:t>
            </w:r>
          </w:p>
        </w:tc>
        <w:tc>
          <w:tcPr>
            <w:tcW w:w="831" w:type="dxa"/>
            <w:shd w:val="clear" w:color="auto" w:fill="auto"/>
            <w:vAlign w:val="center"/>
          </w:tcPr>
          <w:p w14:paraId="2D25A2D7">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0.3</w:t>
            </w:r>
          </w:p>
        </w:tc>
        <w:tc>
          <w:tcPr>
            <w:tcW w:w="1042" w:type="dxa"/>
            <w:shd w:val="clear" w:color="auto" w:fill="auto"/>
            <w:vAlign w:val="center"/>
          </w:tcPr>
          <w:p w14:paraId="0867753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15</w:t>
            </w:r>
          </w:p>
        </w:tc>
        <w:tc>
          <w:tcPr>
            <w:tcW w:w="720" w:type="dxa"/>
            <w:shd w:val="clear" w:color="auto" w:fill="auto"/>
            <w:vAlign w:val="center"/>
          </w:tcPr>
          <w:p w14:paraId="02B0411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14:paraId="3573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742" w:type="dxa"/>
            <w:shd w:val="clear" w:color="auto" w:fill="auto"/>
            <w:vAlign w:val="center"/>
          </w:tcPr>
          <w:p w14:paraId="66DB69C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四级照明</w:t>
            </w:r>
          </w:p>
        </w:tc>
        <w:tc>
          <w:tcPr>
            <w:tcW w:w="1489" w:type="dxa"/>
            <w:shd w:val="clear" w:color="auto" w:fill="auto"/>
            <w:vAlign w:val="center"/>
          </w:tcPr>
          <w:p w14:paraId="412FBB5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村庄支路、</w:t>
            </w:r>
          </w:p>
        </w:tc>
        <w:tc>
          <w:tcPr>
            <w:tcW w:w="1153" w:type="dxa"/>
            <w:shd w:val="clear" w:color="auto" w:fill="auto"/>
            <w:vAlign w:val="center"/>
          </w:tcPr>
          <w:p w14:paraId="6DFC8869">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0.5</w:t>
            </w:r>
          </w:p>
        </w:tc>
        <w:tc>
          <w:tcPr>
            <w:tcW w:w="1039" w:type="dxa"/>
            <w:shd w:val="clear" w:color="auto" w:fill="auto"/>
            <w:vAlign w:val="center"/>
          </w:tcPr>
          <w:p w14:paraId="48E27D4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89" w:type="dxa"/>
            <w:shd w:val="clear" w:color="auto" w:fill="auto"/>
            <w:vAlign w:val="center"/>
          </w:tcPr>
          <w:p w14:paraId="4D196EED">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14:paraId="0505E9E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5/7.5</w:t>
            </w:r>
          </w:p>
        </w:tc>
        <w:tc>
          <w:tcPr>
            <w:tcW w:w="831" w:type="dxa"/>
            <w:shd w:val="clear" w:color="auto" w:fill="auto"/>
            <w:vAlign w:val="center"/>
          </w:tcPr>
          <w:p w14:paraId="66F8273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042" w:type="dxa"/>
            <w:shd w:val="clear" w:color="auto" w:fill="auto"/>
            <w:vAlign w:val="center"/>
          </w:tcPr>
          <w:p w14:paraId="0552B820">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20" w:type="dxa"/>
            <w:shd w:val="clear" w:color="auto" w:fill="auto"/>
            <w:vAlign w:val="center"/>
          </w:tcPr>
          <w:p w14:paraId="50BA09A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14:paraId="0D9C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742" w:type="dxa"/>
            <w:shd w:val="clear" w:color="auto" w:fill="auto"/>
            <w:vAlign w:val="center"/>
          </w:tcPr>
          <w:p w14:paraId="6A7FB723">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五级照明</w:t>
            </w:r>
          </w:p>
        </w:tc>
        <w:tc>
          <w:tcPr>
            <w:tcW w:w="1489" w:type="dxa"/>
            <w:shd w:val="clear" w:color="auto" w:fill="auto"/>
            <w:vAlign w:val="center"/>
          </w:tcPr>
          <w:p w14:paraId="734C321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镇区巷路、村庄巷路</w:t>
            </w:r>
          </w:p>
        </w:tc>
        <w:tc>
          <w:tcPr>
            <w:tcW w:w="1153" w:type="dxa"/>
            <w:shd w:val="clear" w:color="auto" w:fill="auto"/>
            <w:vAlign w:val="center"/>
          </w:tcPr>
          <w:p w14:paraId="5FD58889">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0.4</w:t>
            </w:r>
          </w:p>
        </w:tc>
        <w:tc>
          <w:tcPr>
            <w:tcW w:w="1039" w:type="dxa"/>
            <w:shd w:val="clear" w:color="auto" w:fill="auto"/>
            <w:vAlign w:val="center"/>
          </w:tcPr>
          <w:p w14:paraId="33FA5305">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89" w:type="dxa"/>
            <w:shd w:val="clear" w:color="auto" w:fill="auto"/>
            <w:vAlign w:val="center"/>
          </w:tcPr>
          <w:p w14:paraId="652AF86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256" w:type="dxa"/>
            <w:shd w:val="clear" w:color="auto" w:fill="auto"/>
            <w:vAlign w:val="center"/>
          </w:tcPr>
          <w:p w14:paraId="10C8819E">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5</w:t>
            </w:r>
          </w:p>
        </w:tc>
        <w:tc>
          <w:tcPr>
            <w:tcW w:w="831" w:type="dxa"/>
            <w:shd w:val="clear" w:color="auto" w:fill="auto"/>
            <w:vAlign w:val="center"/>
          </w:tcPr>
          <w:p w14:paraId="5EAE67C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1042" w:type="dxa"/>
            <w:shd w:val="clear" w:color="auto" w:fill="auto"/>
            <w:vAlign w:val="center"/>
          </w:tcPr>
          <w:p w14:paraId="5441841B">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c>
          <w:tcPr>
            <w:tcW w:w="720" w:type="dxa"/>
            <w:shd w:val="clear" w:color="auto" w:fill="auto"/>
            <w:vAlign w:val="center"/>
          </w:tcPr>
          <w:p w14:paraId="7F5B9B28">
            <w:pPr>
              <w:pStyle w:val="190"/>
              <w:kinsoku w:val="0"/>
              <w:overflowPunct w:val="0"/>
              <w:jc w:val="center"/>
              <w:rPr>
                <w:rFonts w:ascii="宋体" w:hAnsi="宋体" w:eastAsia="仿宋_GB2312" w:cs="仿宋"/>
                <w:kern w:val="2"/>
                <w:szCs w:val="21"/>
              </w:rPr>
            </w:pPr>
            <w:r>
              <w:rPr>
                <w:rFonts w:hint="eastAsia" w:ascii="宋体" w:hAnsi="宋体" w:eastAsia="仿宋_GB2312" w:cs="仿宋"/>
                <w:kern w:val="2"/>
                <w:szCs w:val="21"/>
              </w:rPr>
              <w:t>—</w:t>
            </w:r>
          </w:p>
        </w:tc>
      </w:tr>
      <w:tr w14:paraId="77F7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9061" w:type="dxa"/>
            <w:gridSpan w:val="9"/>
            <w:shd w:val="clear" w:color="auto" w:fill="auto"/>
          </w:tcPr>
          <w:p w14:paraId="7B0EAD32">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注：</w:t>
            </w:r>
          </w:p>
          <w:p w14:paraId="714D8C6A">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表中所列的平均照度仅适用于沥青路面。</w:t>
            </w:r>
          </w:p>
          <w:p w14:paraId="59044D2B">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若系水泥混凝土路面，其平均照度值相应降低约30%。</w:t>
            </w:r>
          </w:p>
          <w:p w14:paraId="5D6FCC7C">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表中各项数值仅适用于干燥路面。</w:t>
            </w:r>
          </w:p>
          <w:p w14:paraId="23DBF98D">
            <w:pPr>
              <w:pStyle w:val="190"/>
              <w:kinsoku w:val="0"/>
              <w:overflowPunct w:val="0"/>
              <w:rPr>
                <w:rFonts w:ascii="宋体" w:hAnsi="宋体" w:eastAsia="仿宋_GB2312" w:cs="仿宋"/>
                <w:kern w:val="2"/>
                <w:szCs w:val="21"/>
              </w:rPr>
            </w:pPr>
            <w:r>
              <w:rPr>
                <w:rFonts w:hint="eastAsia" w:ascii="宋体" w:hAnsi="宋体" w:eastAsia="仿宋_GB2312" w:cs="仿宋"/>
                <w:kern w:val="2"/>
                <w:szCs w:val="21"/>
              </w:rPr>
              <w:t>表中对每一级道路的平均亮度和平均照度给出了两档标准值，“/”的左侧为低档值，右侧为高档值。</w:t>
            </w:r>
          </w:p>
        </w:tc>
      </w:tr>
    </w:tbl>
    <w:p w14:paraId="3292573A">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7" w:name="_Toc87042577"/>
      <w:r>
        <w:rPr>
          <w:rFonts w:hint="eastAsia" w:ascii="宋体" w:hAnsi="宋体" w:eastAsia="楷体_GB2312" w:cs="楷体_GB2312"/>
          <w:b w:val="0"/>
          <w:color w:val="auto"/>
        </w:rPr>
        <w:t>交汇区照明</w:t>
      </w:r>
      <w:bookmarkEnd w:id="667"/>
    </w:p>
    <w:p w14:paraId="3B6CAD6B">
      <w:pPr>
        <w:pStyle w:val="204"/>
        <w:adjustRightInd w:val="0"/>
        <w:spacing w:after="0" w:afterLines="0"/>
        <w:ind w:firstLine="640"/>
        <w:rPr>
          <w:rFonts w:ascii="宋体" w:hAnsi="宋体" w:eastAsia="仿宋_GB2312"/>
          <w:sz w:val="32"/>
        </w:rPr>
      </w:pPr>
      <w:r>
        <w:rPr>
          <w:rFonts w:hint="eastAsia" w:ascii="宋体" w:hAnsi="宋体" w:eastAsia="仿宋_GB2312"/>
          <w:sz w:val="32"/>
        </w:rPr>
        <w:t>道路交汇区是城市路网的重要组成部分之一，其照明设置应为驾驶员提供良好的诱导性，提供无干扰光的环境照明。交叉口路灯应合理布局，投光方向不得与机动车行驶方向相对，避免产生眩光，同时照明标准值应符合国家相关标准规定。</w:t>
      </w:r>
    </w:p>
    <w:p w14:paraId="00A5236F">
      <w:pPr>
        <w:pStyle w:val="205"/>
        <w:spacing w:before="156" w:after="156"/>
        <w:ind w:firstLine="321"/>
        <w:rPr>
          <w:rFonts w:ascii="宋体" w:hAnsi="宋体"/>
          <w:bCs w:val="0"/>
          <w:sz w:val="24"/>
        </w:rPr>
      </w:pPr>
      <w:r>
        <w:rPr>
          <w:rFonts w:hint="eastAsia" w:ascii="宋体" w:hAnsi="宋体"/>
          <w:bCs w:val="0"/>
          <w:sz w:val="24"/>
        </w:rPr>
        <w:t>表13—5</w:t>
      </w:r>
      <w:r>
        <w:rPr>
          <w:rFonts w:ascii="宋体" w:hAnsi="宋体"/>
          <w:bCs w:val="0"/>
          <w:sz w:val="24"/>
        </w:rPr>
        <w:t xml:space="preserve"> </w:t>
      </w:r>
      <w:r>
        <w:rPr>
          <w:rFonts w:hint="eastAsia" w:ascii="宋体" w:hAnsi="宋体"/>
          <w:bCs w:val="0"/>
          <w:sz w:val="24"/>
        </w:rPr>
        <w:t>交汇区照明标准值</w:t>
      </w:r>
    </w:p>
    <w:tbl>
      <w:tblPr>
        <w:tblStyle w:val="89"/>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2177"/>
        <w:gridCol w:w="1564"/>
        <w:gridCol w:w="2864"/>
      </w:tblGrid>
      <w:tr w14:paraId="055A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2456" w:type="dxa"/>
            <w:shd w:val="clear" w:color="auto" w:fill="auto"/>
            <w:vAlign w:val="center"/>
          </w:tcPr>
          <w:p w14:paraId="54621B91">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交汇区</w:t>
            </w:r>
            <w:r>
              <w:rPr>
                <w:rFonts w:ascii="宋体" w:hAnsi="宋体" w:eastAsia="仿宋_GB2312"/>
                <w:sz w:val="24"/>
                <w:szCs w:val="21"/>
              </w:rPr>
              <w:t>类型</w:t>
            </w:r>
          </w:p>
        </w:tc>
        <w:tc>
          <w:tcPr>
            <w:tcW w:w="2177" w:type="dxa"/>
            <w:shd w:val="clear" w:color="auto" w:fill="auto"/>
            <w:vAlign w:val="center"/>
          </w:tcPr>
          <w:p w14:paraId="061846DC">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路面平均</w:t>
            </w:r>
            <w:r>
              <w:rPr>
                <w:rFonts w:ascii="宋体" w:hAnsi="宋体" w:eastAsia="仿宋_GB2312"/>
                <w:sz w:val="24"/>
                <w:szCs w:val="21"/>
              </w:rPr>
              <w:t>照度</w:t>
            </w:r>
            <w:r>
              <w:rPr>
                <w:rFonts w:hint="eastAsia" w:ascii="宋体" w:hAnsi="宋体" w:eastAsia="仿宋_GB2312"/>
                <w:sz w:val="24"/>
                <w:szCs w:val="21"/>
              </w:rPr>
              <w:t>(</w:t>
            </w:r>
            <w:r>
              <w:rPr>
                <w:rFonts w:ascii="宋体" w:hAnsi="宋体" w:eastAsia="仿宋_GB2312"/>
                <w:sz w:val="24"/>
                <w:szCs w:val="21"/>
              </w:rPr>
              <w:t>l</w:t>
            </w:r>
            <w:r>
              <w:rPr>
                <w:rFonts w:hint="eastAsia" w:ascii="宋体" w:hAnsi="宋体" w:eastAsia="仿宋_GB2312"/>
                <w:sz w:val="24"/>
                <w:szCs w:val="21"/>
              </w:rPr>
              <w:t>x)</w:t>
            </w:r>
          </w:p>
        </w:tc>
        <w:tc>
          <w:tcPr>
            <w:tcW w:w="1564" w:type="dxa"/>
            <w:shd w:val="clear" w:color="auto" w:fill="auto"/>
            <w:vAlign w:val="center"/>
          </w:tcPr>
          <w:p w14:paraId="0F150CFE">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照度均匀度</w:t>
            </w:r>
          </w:p>
        </w:tc>
        <w:tc>
          <w:tcPr>
            <w:tcW w:w="2864" w:type="dxa"/>
            <w:shd w:val="clear" w:color="auto" w:fill="auto"/>
            <w:vAlign w:val="center"/>
          </w:tcPr>
          <w:p w14:paraId="6F82C259">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眩光限制</w:t>
            </w:r>
          </w:p>
        </w:tc>
      </w:tr>
      <w:tr w14:paraId="778C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2DC3D675">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主干路与主干路交</w:t>
            </w:r>
            <w:r>
              <w:rPr>
                <w:rFonts w:hint="eastAsia" w:ascii="宋体" w:hAnsi="宋体" w:eastAsia="仿宋_GB2312"/>
                <w:sz w:val="24"/>
                <w:szCs w:val="21"/>
              </w:rPr>
              <w:t>汇</w:t>
            </w:r>
          </w:p>
        </w:tc>
        <w:tc>
          <w:tcPr>
            <w:tcW w:w="2177" w:type="dxa"/>
            <w:vMerge w:val="restart"/>
            <w:shd w:val="clear" w:color="auto" w:fill="auto"/>
            <w:vAlign w:val="center"/>
          </w:tcPr>
          <w:p w14:paraId="47271784">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3</w:t>
            </w:r>
            <w:r>
              <w:rPr>
                <w:rFonts w:ascii="宋体" w:hAnsi="宋体" w:eastAsia="仿宋_GB2312"/>
                <w:sz w:val="24"/>
                <w:szCs w:val="21"/>
              </w:rPr>
              <w:t>0/50</w:t>
            </w:r>
          </w:p>
        </w:tc>
        <w:tc>
          <w:tcPr>
            <w:tcW w:w="1564" w:type="dxa"/>
            <w:vMerge w:val="restart"/>
            <w:shd w:val="clear" w:color="auto" w:fill="auto"/>
            <w:vAlign w:val="center"/>
          </w:tcPr>
          <w:p w14:paraId="43E9088E">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0.4</w:t>
            </w:r>
          </w:p>
        </w:tc>
        <w:tc>
          <w:tcPr>
            <w:tcW w:w="2864" w:type="dxa"/>
            <w:vMerge w:val="restart"/>
            <w:shd w:val="clear" w:color="auto" w:fill="auto"/>
            <w:vAlign w:val="center"/>
          </w:tcPr>
          <w:p w14:paraId="33BCE7D5">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在驾驶员观看</w:t>
            </w:r>
            <w:r>
              <w:rPr>
                <w:rFonts w:ascii="宋体" w:hAnsi="宋体" w:eastAsia="仿宋_GB2312"/>
                <w:sz w:val="24"/>
                <w:szCs w:val="21"/>
              </w:rPr>
              <w:t>灯具的方位角上，灯具在</w:t>
            </w:r>
            <w:r>
              <w:rPr>
                <w:rFonts w:hint="eastAsia" w:ascii="宋体" w:hAnsi="宋体" w:eastAsia="仿宋_GB2312"/>
                <w:sz w:val="24"/>
                <w:szCs w:val="21"/>
              </w:rPr>
              <w:t>90°</w:t>
            </w:r>
            <w:r>
              <w:rPr>
                <w:rFonts w:ascii="宋体" w:hAnsi="宋体" w:eastAsia="仿宋_GB2312"/>
                <w:sz w:val="24"/>
                <w:szCs w:val="21"/>
              </w:rPr>
              <w:t>和</w:t>
            </w:r>
            <w:r>
              <w:rPr>
                <w:rFonts w:hint="eastAsia" w:ascii="宋体" w:hAnsi="宋体" w:eastAsia="仿宋_GB2312"/>
                <w:sz w:val="24"/>
                <w:szCs w:val="21"/>
              </w:rPr>
              <w:t>80°</w:t>
            </w:r>
            <w:r>
              <w:rPr>
                <w:rFonts w:ascii="宋体" w:hAnsi="宋体" w:eastAsia="仿宋_GB2312"/>
                <w:sz w:val="24"/>
                <w:szCs w:val="21"/>
              </w:rPr>
              <w:t>高度角方向上的光强分别不得</w:t>
            </w:r>
            <w:r>
              <w:rPr>
                <w:rFonts w:hint="eastAsia" w:ascii="宋体" w:hAnsi="宋体" w:eastAsia="仿宋_GB2312"/>
                <w:sz w:val="24"/>
                <w:szCs w:val="21"/>
              </w:rPr>
              <w:t>超过10</w:t>
            </w:r>
            <w:r>
              <w:rPr>
                <w:rFonts w:ascii="宋体" w:hAnsi="宋体" w:eastAsia="仿宋_GB2312"/>
                <w:sz w:val="24"/>
                <w:szCs w:val="21"/>
              </w:rPr>
              <w:t>cd/1000lm和</w:t>
            </w:r>
            <w:r>
              <w:rPr>
                <w:rFonts w:hint="eastAsia" w:ascii="宋体" w:hAnsi="宋体" w:eastAsia="仿宋_GB2312"/>
                <w:sz w:val="24"/>
                <w:szCs w:val="21"/>
              </w:rPr>
              <w:t>30</w:t>
            </w:r>
            <w:r>
              <w:rPr>
                <w:rFonts w:ascii="宋体" w:hAnsi="宋体" w:eastAsia="仿宋_GB2312"/>
                <w:sz w:val="24"/>
                <w:szCs w:val="21"/>
              </w:rPr>
              <w:t>cd/1000lm。</w:t>
            </w:r>
          </w:p>
        </w:tc>
      </w:tr>
      <w:tr w14:paraId="4314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4CB6EF13">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主干路与次干路交</w:t>
            </w:r>
            <w:r>
              <w:rPr>
                <w:rFonts w:hint="eastAsia" w:ascii="宋体" w:hAnsi="宋体" w:eastAsia="仿宋_GB2312"/>
                <w:sz w:val="24"/>
                <w:szCs w:val="21"/>
              </w:rPr>
              <w:t>汇</w:t>
            </w:r>
          </w:p>
        </w:tc>
        <w:tc>
          <w:tcPr>
            <w:tcW w:w="2177" w:type="dxa"/>
            <w:vMerge w:val="continue"/>
            <w:shd w:val="clear" w:color="auto" w:fill="auto"/>
            <w:vAlign w:val="center"/>
          </w:tcPr>
          <w:p w14:paraId="77AD6B4D">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14:paraId="4040EAB5">
            <w:pPr>
              <w:pStyle w:val="204"/>
              <w:spacing w:after="0" w:afterLines="0" w:line="240" w:lineRule="auto"/>
              <w:ind w:firstLine="0" w:firstLineChars="0"/>
              <w:rPr>
                <w:rFonts w:ascii="宋体" w:hAnsi="宋体" w:eastAsia="仿宋_GB2312"/>
                <w:sz w:val="24"/>
                <w:szCs w:val="21"/>
              </w:rPr>
            </w:pPr>
          </w:p>
        </w:tc>
        <w:tc>
          <w:tcPr>
            <w:tcW w:w="2864" w:type="dxa"/>
            <w:vMerge w:val="continue"/>
            <w:shd w:val="clear" w:color="auto" w:fill="auto"/>
            <w:vAlign w:val="center"/>
          </w:tcPr>
          <w:p w14:paraId="4FBE29A0">
            <w:pPr>
              <w:pStyle w:val="204"/>
              <w:spacing w:after="0" w:afterLines="0" w:line="240" w:lineRule="auto"/>
              <w:ind w:firstLine="0" w:firstLineChars="0"/>
              <w:rPr>
                <w:rFonts w:ascii="宋体" w:hAnsi="宋体" w:eastAsia="仿宋_GB2312"/>
                <w:sz w:val="24"/>
                <w:szCs w:val="21"/>
              </w:rPr>
            </w:pPr>
          </w:p>
        </w:tc>
      </w:tr>
      <w:tr w14:paraId="3ABB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450EF834">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主干路与支路交</w:t>
            </w:r>
            <w:r>
              <w:rPr>
                <w:rFonts w:hint="eastAsia" w:ascii="宋体" w:hAnsi="宋体" w:eastAsia="仿宋_GB2312"/>
                <w:sz w:val="24"/>
                <w:szCs w:val="21"/>
              </w:rPr>
              <w:t>汇</w:t>
            </w:r>
          </w:p>
        </w:tc>
        <w:tc>
          <w:tcPr>
            <w:tcW w:w="2177" w:type="dxa"/>
            <w:vMerge w:val="continue"/>
            <w:shd w:val="clear" w:color="auto" w:fill="auto"/>
            <w:vAlign w:val="center"/>
          </w:tcPr>
          <w:p w14:paraId="73FBF7F8">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14:paraId="48C18077">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14:paraId="44D86D62">
            <w:pPr>
              <w:pStyle w:val="204"/>
              <w:spacing w:after="0" w:afterLines="0" w:line="240" w:lineRule="auto"/>
              <w:ind w:firstLine="0" w:firstLineChars="0"/>
              <w:rPr>
                <w:rFonts w:ascii="宋体" w:hAnsi="宋体" w:eastAsia="仿宋_GB2312"/>
                <w:sz w:val="24"/>
                <w:szCs w:val="21"/>
                <w:lang w:val="zh-TW" w:eastAsia="zh-TW"/>
              </w:rPr>
            </w:pPr>
          </w:p>
        </w:tc>
      </w:tr>
      <w:tr w14:paraId="50AB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67665C91">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次干路与次干路交</w:t>
            </w:r>
            <w:r>
              <w:rPr>
                <w:rFonts w:hint="eastAsia" w:ascii="宋体" w:hAnsi="宋体" w:eastAsia="仿宋_GB2312"/>
                <w:sz w:val="24"/>
                <w:szCs w:val="21"/>
              </w:rPr>
              <w:t>汇</w:t>
            </w:r>
          </w:p>
        </w:tc>
        <w:tc>
          <w:tcPr>
            <w:tcW w:w="2177" w:type="dxa"/>
            <w:vMerge w:val="restart"/>
            <w:shd w:val="clear" w:color="auto" w:fill="auto"/>
            <w:vAlign w:val="center"/>
          </w:tcPr>
          <w:p w14:paraId="4796E14F">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2</w:t>
            </w:r>
            <w:r>
              <w:rPr>
                <w:rFonts w:ascii="宋体" w:hAnsi="宋体" w:eastAsia="仿宋_GB2312"/>
                <w:sz w:val="24"/>
                <w:szCs w:val="21"/>
              </w:rPr>
              <w:t>0/30</w:t>
            </w:r>
          </w:p>
        </w:tc>
        <w:tc>
          <w:tcPr>
            <w:tcW w:w="1564" w:type="dxa"/>
            <w:vMerge w:val="continue"/>
            <w:shd w:val="clear" w:color="auto" w:fill="auto"/>
            <w:vAlign w:val="center"/>
          </w:tcPr>
          <w:p w14:paraId="2CAF19F9">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14:paraId="01AEB2F0">
            <w:pPr>
              <w:pStyle w:val="204"/>
              <w:spacing w:after="0" w:afterLines="0" w:line="240" w:lineRule="auto"/>
              <w:ind w:firstLine="0" w:firstLineChars="0"/>
              <w:rPr>
                <w:rFonts w:ascii="宋体" w:hAnsi="宋体" w:eastAsia="仿宋_GB2312"/>
                <w:sz w:val="24"/>
                <w:szCs w:val="21"/>
                <w:lang w:val="zh-TW" w:eastAsia="zh-TW"/>
              </w:rPr>
            </w:pPr>
          </w:p>
        </w:tc>
      </w:tr>
      <w:tr w14:paraId="7F66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03C44A57">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次干路与支路交</w:t>
            </w:r>
            <w:r>
              <w:rPr>
                <w:rFonts w:hint="eastAsia" w:ascii="宋体" w:hAnsi="宋体" w:eastAsia="仿宋_GB2312"/>
                <w:sz w:val="24"/>
                <w:szCs w:val="21"/>
              </w:rPr>
              <w:t>汇</w:t>
            </w:r>
          </w:p>
        </w:tc>
        <w:tc>
          <w:tcPr>
            <w:tcW w:w="2177" w:type="dxa"/>
            <w:vMerge w:val="continue"/>
            <w:shd w:val="clear" w:color="auto" w:fill="auto"/>
            <w:vAlign w:val="center"/>
          </w:tcPr>
          <w:p w14:paraId="0FA2AE82">
            <w:pPr>
              <w:pStyle w:val="204"/>
              <w:spacing w:after="0" w:afterLines="0" w:line="240" w:lineRule="auto"/>
              <w:ind w:firstLine="0" w:firstLineChars="0"/>
              <w:jc w:val="center"/>
              <w:rPr>
                <w:rFonts w:ascii="宋体" w:hAnsi="宋体" w:eastAsia="仿宋_GB2312"/>
                <w:sz w:val="24"/>
                <w:szCs w:val="21"/>
              </w:rPr>
            </w:pPr>
          </w:p>
        </w:tc>
        <w:tc>
          <w:tcPr>
            <w:tcW w:w="1564" w:type="dxa"/>
            <w:vMerge w:val="continue"/>
            <w:shd w:val="clear" w:color="auto" w:fill="auto"/>
            <w:vAlign w:val="center"/>
          </w:tcPr>
          <w:p w14:paraId="25C3A505">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14:paraId="1BCB7ABE">
            <w:pPr>
              <w:pStyle w:val="204"/>
              <w:spacing w:after="0" w:afterLines="0" w:line="240" w:lineRule="auto"/>
              <w:ind w:firstLine="0" w:firstLineChars="0"/>
              <w:rPr>
                <w:rFonts w:ascii="宋体" w:hAnsi="宋体" w:eastAsia="仿宋_GB2312"/>
                <w:sz w:val="24"/>
                <w:szCs w:val="21"/>
                <w:lang w:val="zh-TW" w:eastAsia="zh-TW"/>
              </w:rPr>
            </w:pPr>
          </w:p>
        </w:tc>
      </w:tr>
      <w:tr w14:paraId="1BF3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6" w:type="dxa"/>
            <w:shd w:val="clear" w:color="auto" w:fill="auto"/>
            <w:vAlign w:val="center"/>
          </w:tcPr>
          <w:p w14:paraId="0BD624CF">
            <w:pPr>
              <w:pStyle w:val="204"/>
              <w:spacing w:after="0" w:afterLines="0" w:line="240" w:lineRule="auto"/>
              <w:ind w:firstLine="0" w:firstLineChars="0"/>
              <w:jc w:val="center"/>
              <w:rPr>
                <w:rFonts w:ascii="宋体" w:hAnsi="宋体" w:eastAsia="仿宋_GB2312"/>
                <w:sz w:val="24"/>
                <w:szCs w:val="21"/>
              </w:rPr>
            </w:pPr>
            <w:r>
              <w:rPr>
                <w:rFonts w:ascii="宋体" w:hAnsi="宋体" w:eastAsia="仿宋_GB2312"/>
                <w:sz w:val="24"/>
                <w:szCs w:val="21"/>
              </w:rPr>
              <w:t>支路与支路交</w:t>
            </w:r>
            <w:r>
              <w:rPr>
                <w:rFonts w:hint="eastAsia" w:ascii="宋体" w:hAnsi="宋体" w:eastAsia="仿宋_GB2312"/>
                <w:sz w:val="24"/>
                <w:szCs w:val="21"/>
              </w:rPr>
              <w:t>汇</w:t>
            </w:r>
          </w:p>
        </w:tc>
        <w:tc>
          <w:tcPr>
            <w:tcW w:w="2177" w:type="dxa"/>
            <w:shd w:val="clear" w:color="auto" w:fill="auto"/>
            <w:vAlign w:val="center"/>
          </w:tcPr>
          <w:p w14:paraId="65D04668">
            <w:pPr>
              <w:pStyle w:val="204"/>
              <w:spacing w:after="0" w:afterLines="0" w:line="240" w:lineRule="auto"/>
              <w:ind w:firstLine="0" w:firstLineChars="0"/>
              <w:jc w:val="center"/>
              <w:rPr>
                <w:rFonts w:ascii="宋体" w:hAnsi="宋体" w:eastAsia="仿宋_GB2312"/>
                <w:sz w:val="24"/>
                <w:szCs w:val="21"/>
              </w:rPr>
            </w:pPr>
            <w:r>
              <w:rPr>
                <w:rFonts w:hint="eastAsia" w:ascii="宋体" w:hAnsi="宋体" w:eastAsia="仿宋_GB2312"/>
                <w:sz w:val="24"/>
                <w:szCs w:val="21"/>
              </w:rPr>
              <w:t>1</w:t>
            </w:r>
            <w:r>
              <w:rPr>
                <w:rFonts w:ascii="宋体" w:hAnsi="宋体" w:eastAsia="仿宋_GB2312"/>
                <w:sz w:val="24"/>
                <w:szCs w:val="21"/>
              </w:rPr>
              <w:t>5/20</w:t>
            </w:r>
          </w:p>
        </w:tc>
        <w:tc>
          <w:tcPr>
            <w:tcW w:w="1564" w:type="dxa"/>
            <w:vMerge w:val="continue"/>
            <w:shd w:val="clear" w:color="auto" w:fill="auto"/>
            <w:vAlign w:val="center"/>
          </w:tcPr>
          <w:p w14:paraId="2096F274">
            <w:pPr>
              <w:pStyle w:val="204"/>
              <w:spacing w:after="0" w:afterLines="0" w:line="240" w:lineRule="auto"/>
              <w:ind w:firstLine="0" w:firstLineChars="0"/>
              <w:rPr>
                <w:rFonts w:ascii="宋体" w:hAnsi="宋体" w:eastAsia="仿宋_GB2312"/>
                <w:sz w:val="24"/>
                <w:szCs w:val="21"/>
                <w:lang w:val="zh-TW" w:eastAsia="zh-TW"/>
              </w:rPr>
            </w:pPr>
          </w:p>
        </w:tc>
        <w:tc>
          <w:tcPr>
            <w:tcW w:w="2864" w:type="dxa"/>
            <w:vMerge w:val="continue"/>
            <w:shd w:val="clear" w:color="auto" w:fill="auto"/>
            <w:vAlign w:val="center"/>
          </w:tcPr>
          <w:p w14:paraId="3FF9C110">
            <w:pPr>
              <w:pStyle w:val="204"/>
              <w:spacing w:after="0" w:afterLines="0" w:line="240" w:lineRule="auto"/>
              <w:ind w:firstLine="0" w:firstLineChars="0"/>
              <w:rPr>
                <w:rFonts w:ascii="宋体" w:hAnsi="宋体" w:eastAsia="仿宋_GB2312"/>
                <w:sz w:val="24"/>
                <w:szCs w:val="21"/>
                <w:lang w:val="zh-TW" w:eastAsia="zh-TW"/>
              </w:rPr>
            </w:pPr>
          </w:p>
        </w:tc>
      </w:tr>
    </w:tbl>
    <w:p w14:paraId="22B8A1CB">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8" w:name="_Toc87042578"/>
      <w:r>
        <w:rPr>
          <w:rFonts w:hint="eastAsia" w:ascii="宋体" w:hAnsi="宋体" w:eastAsia="楷体_GB2312" w:cs="楷体_GB2312"/>
          <w:b w:val="0"/>
          <w:color w:val="auto"/>
        </w:rPr>
        <w:t>隧道照明</w:t>
      </w:r>
      <w:bookmarkEnd w:id="668"/>
    </w:p>
    <w:p w14:paraId="26AF0E26">
      <w:pPr>
        <w:pStyle w:val="204"/>
        <w:adjustRightInd w:val="0"/>
        <w:spacing w:after="0" w:afterLines="0"/>
        <w:ind w:firstLine="640"/>
        <w:rPr>
          <w:rFonts w:ascii="宋体" w:hAnsi="宋体" w:eastAsia="仿宋_GB2312"/>
          <w:sz w:val="32"/>
        </w:rPr>
      </w:pPr>
      <w:r>
        <w:rPr>
          <w:rFonts w:hint="eastAsia" w:ascii="宋体" w:hAnsi="宋体" w:eastAsia="仿宋_GB2312"/>
          <w:sz w:val="32"/>
        </w:rPr>
        <w:t>隧道照明应符合《公路隧道照明设计细则》（JTG/T D70/2—01）、《LED 道路照明工程技术规范》（SJG22）和《城市道路交通设施设计规范》（GB50688）的相关规定。</w:t>
      </w:r>
    </w:p>
    <w:p w14:paraId="28114A0E">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69" w:name="_Toc87042579"/>
      <w:r>
        <w:rPr>
          <w:rFonts w:hint="eastAsia" w:ascii="宋体" w:hAnsi="宋体" w:eastAsia="楷体_GB2312" w:cs="楷体_GB2312"/>
          <w:b w:val="0"/>
          <w:color w:val="auto"/>
        </w:rPr>
        <w:t>上跨道路和下穿道路照明</w:t>
      </w:r>
      <w:bookmarkEnd w:id="669"/>
    </w:p>
    <w:p w14:paraId="1752E134">
      <w:pPr>
        <w:pStyle w:val="204"/>
        <w:adjustRightInd w:val="0"/>
        <w:spacing w:after="0" w:afterLines="0"/>
        <w:ind w:firstLine="640"/>
        <w:rPr>
          <w:rFonts w:ascii="宋体" w:hAnsi="宋体" w:eastAsia="仿宋_GB2312"/>
          <w:sz w:val="32"/>
        </w:rPr>
      </w:pPr>
      <w:bookmarkStart w:id="670" w:name="_Toc87042580"/>
      <w:r>
        <w:rPr>
          <w:rFonts w:hint="eastAsia" w:ascii="宋体" w:hAnsi="宋体" w:eastAsia="仿宋_GB2312"/>
          <w:sz w:val="32"/>
        </w:rPr>
        <w:t>城市上跨道路与下穿道路应创造良好的照明条件，为驾驶员提供良好的诱导性，提供无干扰光的环境照明。</w:t>
      </w:r>
    </w:p>
    <w:p w14:paraId="406B89CE">
      <w:pPr>
        <w:pStyle w:val="204"/>
        <w:adjustRightInd w:val="0"/>
        <w:spacing w:after="0" w:afterLines="0"/>
        <w:ind w:firstLine="640"/>
        <w:rPr>
          <w:rFonts w:ascii="宋体" w:hAnsi="宋体" w:eastAsia="仿宋_GB2312"/>
          <w:sz w:val="32"/>
        </w:rPr>
      </w:pPr>
      <w:r>
        <w:rPr>
          <w:rFonts w:hint="eastAsia" w:ascii="宋体" w:hAnsi="宋体" w:eastAsia="仿宋_GB2312"/>
          <w:sz w:val="32"/>
        </w:rPr>
        <w:t>下穿道路桥下区段路面的亮度（或照度）应与其桥外区段路面相同。下穿道路上的灯具不应在上跨道路上产生眩光。上跨道路路面的亮度（或照度）及均匀度应与相连的道路路面相同。应为上跨道路的支撑结构提供照明。</w:t>
      </w:r>
    </w:p>
    <w:p w14:paraId="69CE8B4A">
      <w:pPr>
        <w:pStyle w:val="204"/>
        <w:adjustRightInd w:val="0"/>
        <w:spacing w:after="0" w:afterLines="0"/>
        <w:ind w:firstLine="640"/>
        <w:rPr>
          <w:rFonts w:ascii="宋体" w:hAnsi="宋体" w:eastAsia="仿宋_GB2312"/>
          <w:sz w:val="32"/>
        </w:rPr>
      </w:pPr>
      <w:r>
        <w:rPr>
          <w:rFonts w:hint="eastAsia" w:ascii="宋体" w:hAnsi="宋体" w:eastAsia="仿宋_GB2312"/>
          <w:sz w:val="32"/>
        </w:rPr>
        <w:t>灯具设置应根据道路实际情况进行调整，满足《城市道路照明设计标准》（CJJ 45—2015）标准。</w:t>
      </w:r>
    </w:p>
    <w:p w14:paraId="1DBF902C">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人行天桥</w:t>
      </w:r>
      <w:bookmarkEnd w:id="670"/>
    </w:p>
    <w:p w14:paraId="353D01F0">
      <w:pPr>
        <w:pStyle w:val="204"/>
        <w:adjustRightInd w:val="0"/>
        <w:spacing w:after="0" w:afterLines="0"/>
        <w:ind w:firstLine="640"/>
        <w:rPr>
          <w:rFonts w:ascii="宋体" w:hAnsi="宋体" w:eastAsia="仿宋_GB2312"/>
          <w:sz w:val="32"/>
        </w:rPr>
      </w:pPr>
      <w:bookmarkStart w:id="671" w:name="_Toc87042581"/>
      <w:r>
        <w:rPr>
          <w:rFonts w:hint="eastAsia" w:ascii="宋体" w:hAnsi="宋体" w:eastAsia="仿宋_GB2312"/>
          <w:sz w:val="32"/>
        </w:rPr>
        <w:t>人行天桥照明设计应满足《城市道路照明设计标准》（CJJ45—2015）与《城市人行天桥与人行地道技术规范》要求。</w:t>
      </w:r>
    </w:p>
    <w:p w14:paraId="5496DAA0">
      <w:pPr>
        <w:pStyle w:val="204"/>
        <w:adjustRightInd w:val="0"/>
        <w:spacing w:after="0" w:afterLines="0"/>
        <w:ind w:firstLine="640"/>
        <w:rPr>
          <w:rFonts w:ascii="宋体" w:hAnsi="宋体" w:eastAsia="仿宋_GB2312"/>
          <w:sz w:val="32"/>
        </w:rPr>
      </w:pPr>
      <w:r>
        <w:rPr>
          <w:rFonts w:hint="eastAsia" w:ascii="宋体" w:hAnsi="宋体" w:eastAsia="仿宋_GB2312"/>
          <w:sz w:val="32"/>
        </w:rPr>
        <w:t>非繁华地区敞开的天桥不低于5lx；繁华地区敞开的天桥不低于10lx；封闭式的天桥不低于30lx。应合理选择和布设灯具，使照度均匀，阶梯照度踏板水平照度与阶梯踏板的垂直照度不应小于2:1。</w:t>
      </w:r>
    </w:p>
    <w:p w14:paraId="2C8C5C8E">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天桥的主梁和道路隔离带上的中墩立面的最低设计平均照度，应与所处道路路面的照度一致。</w:t>
      </w:r>
    </w:p>
    <w:p w14:paraId="40957711">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天桥照明灯具应与所处道路的路灯照明统筹安排。路段上的天桥可用调近路灯间距加高灯杆的办法解决天桥照明。路口的天桥照明应专门设置。</w:t>
      </w:r>
    </w:p>
    <w:p w14:paraId="484CC815">
      <w:pPr>
        <w:pStyle w:val="204"/>
        <w:adjustRightInd w:val="0"/>
        <w:spacing w:after="0" w:afterLines="0"/>
        <w:ind w:firstLine="640"/>
        <w:rPr>
          <w:rFonts w:ascii="宋体" w:hAnsi="宋体" w:eastAsia="仿宋_GB2312"/>
          <w:sz w:val="32"/>
        </w:rPr>
      </w:pPr>
      <w:r>
        <w:rPr>
          <w:rFonts w:hint="eastAsia" w:ascii="宋体" w:hAnsi="宋体" w:eastAsia="仿宋_GB2312"/>
          <w:sz w:val="32"/>
        </w:rPr>
        <w:t>天桥的照明不应对桥下车辆驾驶员的视觉造成不良影响。</w:t>
      </w:r>
    </w:p>
    <w:p w14:paraId="79B5CA4E">
      <w:pPr>
        <w:pStyle w:val="2"/>
        <w:numPr>
          <w:ilvl w:val="0"/>
          <w:numId w:val="27"/>
        </w:numPr>
        <w:spacing w:before="0" w:beforeLines="0" w:after="0" w:afterLines="0"/>
        <w:ind w:firstLine="640" w:firstLineChars="200"/>
        <w:rPr>
          <w:rFonts w:ascii="宋体" w:hAnsi="宋体" w:eastAsia="楷体_GB2312" w:cs="楷体_GB2312"/>
          <w:b w:val="0"/>
          <w:color w:val="auto"/>
        </w:rPr>
      </w:pPr>
      <w:r>
        <w:rPr>
          <w:rFonts w:hint="eastAsia" w:ascii="宋体" w:hAnsi="宋体" w:eastAsia="楷体_GB2312" w:cs="楷体_GB2312"/>
          <w:b w:val="0"/>
          <w:color w:val="auto"/>
        </w:rPr>
        <w:t>人行地下通道</w:t>
      </w:r>
      <w:bookmarkEnd w:id="671"/>
    </w:p>
    <w:p w14:paraId="408FE847">
      <w:pPr>
        <w:pStyle w:val="204"/>
        <w:adjustRightInd w:val="0"/>
        <w:spacing w:after="0" w:afterLines="0"/>
        <w:ind w:firstLine="640"/>
        <w:rPr>
          <w:rFonts w:ascii="宋体" w:hAnsi="宋体" w:eastAsia="仿宋_GB2312"/>
          <w:sz w:val="32"/>
        </w:rPr>
      </w:pPr>
      <w:r>
        <w:rPr>
          <w:rFonts w:hint="eastAsia" w:ascii="宋体" w:hAnsi="宋体" w:eastAsia="仿宋_GB2312"/>
          <w:sz w:val="32"/>
        </w:rPr>
        <w:t>地下通道照明设计应满足《城市道路照明设计标准》（CJJ45—2015）与《城市人行天桥与人行地道技术规范》要求。地道内的平均水平照度，夜间宜为30lx，白天宜为100lx；最小水平照度，夜间宜为15lx，白天宜为50lx。并应提供适当的垂直照度。</w:t>
      </w:r>
    </w:p>
    <w:p w14:paraId="07463D46">
      <w:pPr>
        <w:pStyle w:val="204"/>
        <w:adjustRightInd w:val="0"/>
        <w:spacing w:after="0" w:afterLines="0"/>
        <w:ind w:firstLine="640"/>
        <w:rPr>
          <w:rFonts w:ascii="宋体" w:hAnsi="宋体" w:eastAsia="仿宋_GB2312"/>
          <w:sz w:val="32"/>
        </w:rPr>
      </w:pPr>
      <w:r>
        <w:rPr>
          <w:rFonts w:hint="eastAsia" w:ascii="宋体" w:hAnsi="宋体" w:eastAsia="仿宋_GB2312"/>
          <w:sz w:val="32"/>
        </w:rPr>
        <w:t>附近不设路灯的地道出入口，宜增设照明装置。</w:t>
      </w:r>
    </w:p>
    <w:p w14:paraId="2FCB2473">
      <w:pPr>
        <w:pStyle w:val="204"/>
        <w:adjustRightInd w:val="0"/>
        <w:spacing w:after="0" w:afterLines="0"/>
        <w:ind w:firstLine="640"/>
        <w:rPr>
          <w:rFonts w:ascii="宋体" w:hAnsi="宋体" w:eastAsia="仿宋_GB2312"/>
          <w:sz w:val="32"/>
        </w:rPr>
      </w:pPr>
      <w:r>
        <w:rPr>
          <w:rFonts w:hint="eastAsia" w:ascii="宋体" w:hAnsi="宋体" w:eastAsia="仿宋_GB2312"/>
          <w:sz w:val="32"/>
        </w:rPr>
        <w:t>地道照明电线的布设和配电箱宜考虑全部灯具照明、部分灯具照明、少量灯具深夜长明等不同要求，以节约用电。</w:t>
      </w:r>
    </w:p>
    <w:p w14:paraId="2C285FD7">
      <w:pPr>
        <w:pStyle w:val="204"/>
        <w:adjustRightInd w:val="0"/>
        <w:spacing w:after="0" w:afterLines="0"/>
        <w:ind w:firstLine="640"/>
        <w:rPr>
          <w:rFonts w:ascii="宋体" w:hAnsi="宋体" w:eastAsia="仿宋_GB2312"/>
          <w:sz w:val="32"/>
        </w:rPr>
      </w:pPr>
      <w:r>
        <w:rPr>
          <w:rFonts w:hint="eastAsia" w:ascii="宋体" w:hAnsi="宋体" w:eastAsia="仿宋_GB2312"/>
          <w:sz w:val="32"/>
        </w:rPr>
        <w:t>地道内应根据需要设置应急电源及应急照明装置。重要地道可考虑双路电源。</w:t>
      </w:r>
    </w:p>
    <w:p w14:paraId="08098E5E">
      <w:pPr>
        <w:pStyle w:val="2"/>
        <w:numPr>
          <w:ilvl w:val="0"/>
          <w:numId w:val="27"/>
        </w:numPr>
        <w:spacing w:before="0" w:beforeLines="0" w:after="0" w:afterLines="0"/>
        <w:ind w:firstLine="640" w:firstLineChars="200"/>
        <w:rPr>
          <w:rFonts w:ascii="宋体" w:hAnsi="宋体" w:eastAsia="楷体_GB2312" w:cs="楷体_GB2312"/>
          <w:b w:val="0"/>
          <w:color w:val="auto"/>
        </w:rPr>
      </w:pPr>
      <w:bookmarkStart w:id="672" w:name="_Toc87042582"/>
      <w:bookmarkStart w:id="673" w:name="_Toc86831340"/>
      <w:r>
        <w:rPr>
          <w:rFonts w:hint="eastAsia" w:ascii="宋体" w:hAnsi="宋体" w:eastAsia="楷体_GB2312" w:cs="楷体_GB2312"/>
          <w:b w:val="0"/>
          <w:color w:val="auto"/>
        </w:rPr>
        <w:t>无障碍环境照明</w:t>
      </w:r>
      <w:bookmarkEnd w:id="672"/>
      <w:bookmarkEnd w:id="673"/>
    </w:p>
    <w:p w14:paraId="02F3DFD6">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针对老年人、残疾人等弱势人群需要的特殊场所或公共空间，应创造合适的光环境。照明标准应在满足《建筑照明设计标准》（GB 50034</w:t>
      </w:r>
      <w:r>
        <w:rPr>
          <w:rFonts w:hint="eastAsia" w:ascii="宋体" w:hAnsi="宋体" w:eastAsia="仿宋_GB2312"/>
          <w:sz w:val="32"/>
        </w:rPr>
        <w:t>—</w:t>
      </w:r>
      <w:r>
        <w:rPr>
          <w:rFonts w:hint="eastAsia" w:ascii="宋体" w:hAnsi="宋体" w:eastAsia="仿宋_GB2312"/>
          <w:sz w:val="32"/>
          <w:lang w:eastAsia="zh-Hans"/>
        </w:rPr>
        <w:t>2013）、《城市道路照明设计标准》</w:t>
      </w:r>
      <w:r>
        <w:rPr>
          <w:rFonts w:hint="eastAsia" w:ascii="宋体" w:hAnsi="宋体" w:eastAsia="仿宋_GB2312"/>
          <w:sz w:val="32"/>
        </w:rPr>
        <w:t>(</w:t>
      </w:r>
      <w:r>
        <w:rPr>
          <w:rFonts w:hint="eastAsia" w:ascii="宋体" w:hAnsi="宋体" w:eastAsia="仿宋_GB2312"/>
          <w:sz w:val="32"/>
          <w:lang w:eastAsia="zh-Hans"/>
        </w:rPr>
        <w:t>CJJ 45</w:t>
      </w:r>
      <w:r>
        <w:rPr>
          <w:rFonts w:hint="eastAsia" w:ascii="宋体" w:hAnsi="宋体" w:eastAsia="仿宋_GB2312"/>
          <w:sz w:val="32"/>
        </w:rPr>
        <w:t>—</w:t>
      </w:r>
      <w:r>
        <w:rPr>
          <w:rFonts w:hint="eastAsia" w:ascii="宋体" w:hAnsi="宋体" w:eastAsia="仿宋_GB2312"/>
          <w:sz w:val="32"/>
          <w:lang w:eastAsia="zh-Hans"/>
        </w:rPr>
        <w:t>2015)、《室外作业场地照明设计标准》（GB50582）、《城市夜景照明设计规范》（JGJ/T163</w:t>
      </w:r>
      <w:r>
        <w:rPr>
          <w:rFonts w:hint="eastAsia" w:ascii="宋体" w:hAnsi="宋体" w:eastAsia="仿宋_GB2312"/>
          <w:sz w:val="32"/>
        </w:rPr>
        <w:t>—</w:t>
      </w:r>
      <w:r>
        <w:rPr>
          <w:rFonts w:hint="eastAsia" w:ascii="宋体" w:hAnsi="宋体" w:eastAsia="仿宋_GB2312"/>
          <w:sz w:val="32"/>
          <w:lang w:eastAsia="zh-Hans"/>
        </w:rPr>
        <w:t>2008）、《无障碍设计规范》（GB 50763</w:t>
      </w:r>
      <w:r>
        <w:rPr>
          <w:rFonts w:hint="eastAsia" w:ascii="宋体" w:hAnsi="宋体" w:eastAsia="仿宋_GB2312"/>
          <w:sz w:val="32"/>
        </w:rPr>
        <w:t>—</w:t>
      </w:r>
      <w:r>
        <w:rPr>
          <w:rFonts w:hint="eastAsia" w:ascii="宋体" w:hAnsi="宋体" w:eastAsia="仿宋_GB2312"/>
          <w:sz w:val="32"/>
          <w:lang w:eastAsia="zh-Hans"/>
        </w:rPr>
        <w:t>2012）、《老年人照料设施建筑设计标准》（JGJ450</w:t>
      </w:r>
      <w:r>
        <w:rPr>
          <w:rFonts w:hint="eastAsia" w:ascii="宋体" w:hAnsi="宋体" w:eastAsia="仿宋_GB2312"/>
          <w:sz w:val="32"/>
        </w:rPr>
        <w:t>—</w:t>
      </w:r>
      <w:r>
        <w:rPr>
          <w:rFonts w:hint="eastAsia" w:ascii="宋体" w:hAnsi="宋体" w:eastAsia="仿宋_GB2312"/>
          <w:sz w:val="32"/>
          <w:lang w:eastAsia="zh-Hans"/>
        </w:rPr>
        <w:t>2018）等相关标准的要求外，针对场所特殊性进行适当调整。</w:t>
      </w:r>
    </w:p>
    <w:p w14:paraId="50EC9082">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无障碍出入口：应根据建筑类型，满足《建筑照明设计标准》</w:t>
      </w:r>
      <w:r>
        <w:rPr>
          <w:rFonts w:hint="eastAsia" w:ascii="宋体" w:hAnsi="宋体" w:eastAsia="仿宋_GB2312"/>
          <w:sz w:val="32"/>
        </w:rPr>
        <w:t>（</w:t>
      </w:r>
      <w:r>
        <w:rPr>
          <w:rFonts w:hint="eastAsia" w:ascii="宋体" w:hAnsi="宋体" w:eastAsia="仿宋_GB2312"/>
          <w:sz w:val="32"/>
          <w:lang w:eastAsia="zh-Hans"/>
        </w:rPr>
        <w:t>GB 50034</w:t>
      </w:r>
      <w:r>
        <w:rPr>
          <w:rFonts w:hint="eastAsia" w:ascii="宋体" w:hAnsi="宋体" w:eastAsia="仿宋_GB2312"/>
          <w:sz w:val="32"/>
        </w:rPr>
        <w:t>—</w:t>
      </w:r>
      <w:r>
        <w:rPr>
          <w:rFonts w:hint="eastAsia" w:ascii="宋体" w:hAnsi="宋体" w:eastAsia="仿宋_GB2312"/>
          <w:sz w:val="32"/>
          <w:lang w:eastAsia="zh-Hans"/>
        </w:rPr>
        <w:t>2013</w:t>
      </w:r>
      <w:r>
        <w:rPr>
          <w:rFonts w:hint="eastAsia" w:ascii="宋体" w:hAnsi="宋体" w:eastAsia="仿宋_GB2312"/>
          <w:sz w:val="32"/>
        </w:rPr>
        <w:t>）</w:t>
      </w:r>
      <w:r>
        <w:rPr>
          <w:rFonts w:hint="eastAsia" w:ascii="宋体" w:hAnsi="宋体" w:eastAsia="仿宋_GB2312"/>
          <w:sz w:val="32"/>
          <w:lang w:eastAsia="zh-Hans"/>
        </w:rPr>
        <w:t>中标准，且宜增设夜间标识，增强引导性。</w:t>
      </w:r>
    </w:p>
    <w:p w14:paraId="6B3ED47A">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缘石坡道：应按照人流量，选用不低于《城市道路照明设计标准》（CJJ45</w:t>
      </w:r>
      <w:r>
        <w:rPr>
          <w:rFonts w:hint="eastAsia" w:ascii="宋体" w:hAnsi="宋体" w:eastAsia="仿宋_GB2312"/>
          <w:sz w:val="32"/>
        </w:rPr>
        <w:t>—</w:t>
      </w:r>
      <w:r>
        <w:rPr>
          <w:rFonts w:hint="eastAsia" w:ascii="宋体" w:hAnsi="宋体" w:eastAsia="仿宋_GB2312"/>
          <w:sz w:val="32"/>
          <w:lang w:eastAsia="zh-Hans"/>
        </w:rPr>
        <w:t>2015）中人行及非机动车道的标准值，且宜增设夜间标识，增强引导性。</w:t>
      </w:r>
    </w:p>
    <w:p w14:paraId="69289691">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无障碍车位：应按照停车场，选用不低于《室外作业场地照明设计标准》（GB50582）的标准值，且宜增设夜间标识，增强引导性。</w:t>
      </w:r>
    </w:p>
    <w:p w14:paraId="43CDD48A">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无障碍通道（地下）：应满足《城市道路照明设计标准》（CJJ45</w:t>
      </w:r>
      <w:r>
        <w:rPr>
          <w:rFonts w:hint="eastAsia" w:ascii="宋体" w:hAnsi="宋体" w:eastAsia="仿宋_GB2312"/>
          <w:sz w:val="32"/>
        </w:rPr>
        <w:t>—</w:t>
      </w:r>
      <w:r>
        <w:rPr>
          <w:rFonts w:hint="eastAsia" w:ascii="宋体" w:hAnsi="宋体" w:eastAsia="仿宋_GB2312"/>
          <w:sz w:val="32"/>
          <w:lang w:eastAsia="zh-Hans"/>
        </w:rPr>
        <w:t>2015）与《城市人行天桥与人行地道技术规范》要求，保障夜间照度水平不低于30lx，且应增加夜间标识，增强引导性。</w:t>
      </w:r>
    </w:p>
    <w:p w14:paraId="67BC13EA">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老年人活动空间：应满足《城市夜景照明设计规范》（JGJ/T163</w:t>
      </w:r>
      <w:r>
        <w:rPr>
          <w:rFonts w:hint="eastAsia" w:ascii="宋体" w:hAnsi="宋体" w:eastAsia="仿宋_GB2312"/>
          <w:sz w:val="32"/>
        </w:rPr>
        <w:t>—</w:t>
      </w:r>
      <w:r>
        <w:rPr>
          <w:rFonts w:hint="eastAsia" w:ascii="宋体" w:hAnsi="宋体" w:eastAsia="仿宋_GB2312"/>
          <w:sz w:val="32"/>
          <w:lang w:eastAsia="zh-Hans"/>
        </w:rPr>
        <w:t>2008），且应选取高值作为标准：绿</w:t>
      </w:r>
      <w:r>
        <w:rPr>
          <w:rFonts w:hint="eastAsia" w:ascii="宋体" w:hAnsi="宋体" w:eastAsia="仿宋_GB2312"/>
          <w:sz w:val="32"/>
        </w:rPr>
        <w:t>地</w:t>
      </w:r>
      <w:r>
        <w:rPr>
          <w:rFonts w:hint="eastAsia" w:ascii="宋体" w:hAnsi="宋体" w:eastAsia="仿宋_GB2312"/>
          <w:sz w:val="32"/>
          <w:lang w:eastAsia="zh-Hans"/>
        </w:rPr>
        <w:t>不低于3lx、人行道与广场不低于10lx，公园活动区域不低于10lx。</w:t>
      </w:r>
    </w:p>
    <w:p w14:paraId="6969F680">
      <w:pPr>
        <w:pStyle w:val="204"/>
        <w:adjustRightInd w:val="0"/>
        <w:spacing w:after="0" w:afterLines="0"/>
        <w:ind w:firstLine="640"/>
        <w:rPr>
          <w:rFonts w:ascii="宋体" w:hAnsi="宋体"/>
        </w:rPr>
      </w:pPr>
      <w:r>
        <w:rPr>
          <w:rFonts w:hint="eastAsia" w:ascii="宋体" w:hAnsi="宋体" w:eastAsia="仿宋_GB2312"/>
          <w:sz w:val="32"/>
          <w:lang w:eastAsia="zh-Hans"/>
        </w:rPr>
        <w:t>老年人社区：老年人社区照明，应满足《建筑照明设计标准》（GB 50034</w:t>
      </w:r>
      <w:r>
        <w:rPr>
          <w:rFonts w:hint="eastAsia" w:ascii="宋体" w:hAnsi="宋体" w:eastAsia="仿宋_GB2312"/>
          <w:sz w:val="32"/>
        </w:rPr>
        <w:t>—</w:t>
      </w:r>
      <w:r>
        <w:rPr>
          <w:rFonts w:hint="eastAsia" w:ascii="宋体" w:hAnsi="宋体" w:eastAsia="仿宋_GB2312"/>
          <w:sz w:val="32"/>
          <w:lang w:eastAsia="zh-Hans"/>
        </w:rPr>
        <w:t>2013）与《老年人照料设施建筑设计标准》（JGJ450</w:t>
      </w:r>
      <w:r>
        <w:rPr>
          <w:rFonts w:hint="eastAsia" w:ascii="宋体" w:hAnsi="宋体" w:eastAsia="仿宋_GB2312"/>
          <w:sz w:val="32"/>
        </w:rPr>
        <w:t>—</w:t>
      </w:r>
      <w:r>
        <w:rPr>
          <w:rFonts w:hint="eastAsia" w:ascii="宋体" w:hAnsi="宋体" w:eastAsia="仿宋_GB2312"/>
          <w:sz w:val="32"/>
          <w:lang w:eastAsia="zh-Hans"/>
        </w:rPr>
        <w:t>2018），且应在建筑出入口位置设置合适的引导性灯具，增强安全性</w:t>
      </w:r>
      <w:bookmarkEnd w:id="660"/>
      <w:r>
        <w:rPr>
          <w:rFonts w:hint="eastAsia" w:ascii="宋体" w:hAnsi="宋体" w:eastAsia="仿宋_GB2312"/>
          <w:sz w:val="32"/>
          <w:lang w:eastAsia="zh-Hans"/>
        </w:rPr>
        <w:t>。</w:t>
      </w:r>
    </w:p>
    <w:p w14:paraId="152F7834">
      <w:pPr>
        <w:pStyle w:val="6"/>
        <w:rPr>
          <w:rFonts w:ascii="宋体" w:hAnsi="宋体"/>
          <w:b w:val="0"/>
        </w:rPr>
        <w:sectPr>
          <w:pgSz w:w="11906" w:h="16838"/>
          <w:pgMar w:top="2098" w:right="1474" w:bottom="1984" w:left="1587" w:header="850" w:footer="1587" w:gutter="0"/>
          <w:cols w:space="425" w:num="1"/>
          <w:titlePg/>
          <w:docGrid w:type="lines" w:linePitch="312" w:charSpace="0"/>
        </w:sectPr>
      </w:pPr>
      <w:bookmarkStart w:id="674" w:name="_Toc87042583"/>
    </w:p>
    <w:p w14:paraId="7E5C20C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75" w:name="_Toc24217"/>
      <w:bookmarkStart w:id="676" w:name="_Toc24072"/>
      <w:bookmarkStart w:id="677" w:name="_Toc25943"/>
      <w:bookmarkStart w:id="678" w:name="_Toc22262"/>
      <w:bookmarkStart w:id="679" w:name="_Toc22993"/>
      <w:bookmarkStart w:id="680" w:name="_Toc88656268"/>
      <w:r>
        <w:rPr>
          <w:rFonts w:hint="eastAsia" w:ascii="宋体" w:hAnsi="宋体" w:eastAsia="黑体" w:cs="黑体"/>
          <w:b w:val="0"/>
          <w:sz w:val="32"/>
        </w:rPr>
        <w:t>二、景观照明</w:t>
      </w:r>
      <w:bookmarkEnd w:id="674"/>
      <w:r>
        <w:rPr>
          <w:rFonts w:hint="eastAsia" w:ascii="宋体" w:hAnsi="宋体" w:eastAsia="黑体" w:cs="黑体"/>
          <w:b w:val="0"/>
          <w:sz w:val="32"/>
        </w:rPr>
        <w:t>控制指标</w:t>
      </w:r>
      <w:bookmarkEnd w:id="675"/>
      <w:bookmarkEnd w:id="676"/>
      <w:bookmarkEnd w:id="677"/>
      <w:bookmarkEnd w:id="678"/>
      <w:bookmarkEnd w:id="679"/>
      <w:bookmarkEnd w:id="680"/>
    </w:p>
    <w:p w14:paraId="09E4D320">
      <w:pPr>
        <w:pStyle w:val="204"/>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在照明区域划分的基础上，根据建筑所在照明分区及单体位置、体量、性质，通过查表读取规划控制的技术指标。通过限定单体的亮度、光色、动态，实现对照明单体的量化控制，用于规划管理。</w:t>
      </w:r>
      <w:bookmarkStart w:id="681" w:name="_Hlk87456905"/>
    </w:p>
    <w:p w14:paraId="30BCAE08">
      <w:pPr>
        <w:pStyle w:val="204"/>
        <w:spacing w:after="0" w:afterLines="0"/>
        <w:ind w:firstLine="480"/>
        <w:jc w:val="center"/>
        <w:rPr>
          <w:rFonts w:ascii="宋体" w:hAnsi="宋体" w:eastAsia="仿宋_GB2312" w:cs="仿宋_GB2312"/>
          <w:sz w:val="24"/>
          <w:szCs w:val="28"/>
        </w:rPr>
        <w:sectPr>
          <w:pgSz w:w="16838" w:h="11906" w:orient="landscape"/>
          <w:pgMar w:top="1800" w:right="1440" w:bottom="1800" w:left="1440" w:header="850" w:footer="1587" w:gutter="0"/>
          <w:cols w:space="425" w:num="1"/>
          <w:titlePg/>
          <w:docGrid w:type="lines" w:linePitch="312" w:charSpace="0"/>
        </w:sectPr>
      </w:pPr>
    </w:p>
    <w:p w14:paraId="3D8BE21F">
      <w:pPr>
        <w:pStyle w:val="204"/>
        <w:spacing w:after="0" w:afterLines="0"/>
        <w:ind w:firstLine="480"/>
        <w:jc w:val="center"/>
        <w:rPr>
          <w:rFonts w:ascii="宋体" w:hAnsi="宋体" w:eastAsia="仿宋_GB2312" w:cs="仿宋_GB2312"/>
          <w:sz w:val="24"/>
          <w:szCs w:val="28"/>
        </w:rPr>
      </w:pPr>
      <w:r>
        <w:rPr>
          <w:rFonts w:hint="eastAsia" w:ascii="宋体" w:hAnsi="宋体" w:eastAsia="仿宋_GB2312" w:cs="仿宋_GB2312"/>
          <w:sz w:val="24"/>
          <w:szCs w:val="28"/>
        </w:rPr>
        <w:t>表13—6</w:t>
      </w:r>
      <w:r>
        <w:rPr>
          <w:rFonts w:ascii="宋体" w:hAnsi="宋体" w:eastAsia="仿宋_GB2312" w:cs="仿宋_GB2312"/>
          <w:sz w:val="24"/>
          <w:szCs w:val="28"/>
        </w:rPr>
        <w:t xml:space="preserve"> </w:t>
      </w:r>
      <w:r>
        <w:rPr>
          <w:rFonts w:hint="eastAsia" w:ascii="宋体" w:hAnsi="宋体" w:eastAsia="仿宋_GB2312" w:cs="仿宋_GB2312"/>
          <w:sz w:val="24"/>
          <w:szCs w:val="28"/>
        </w:rPr>
        <w:t>建（构）筑物泛光照明亮度规划表（单位：cd/㎡）</w:t>
      </w:r>
    </w:p>
    <w:tbl>
      <w:tblPr>
        <w:tblStyle w:val="89"/>
        <w:tblpPr w:leftFromText="181" w:rightFromText="181" w:vertAnchor="text" w:horzAnchor="page" w:tblpX="1481" w:tblpY="114"/>
        <w:tblOverlap w:val="never"/>
        <w:tblW w:w="14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549"/>
        <w:gridCol w:w="1569"/>
        <w:gridCol w:w="495"/>
        <w:gridCol w:w="495"/>
        <w:gridCol w:w="495"/>
        <w:gridCol w:w="484"/>
        <w:gridCol w:w="497"/>
        <w:gridCol w:w="489"/>
        <w:gridCol w:w="483"/>
        <w:gridCol w:w="489"/>
        <w:gridCol w:w="514"/>
        <w:gridCol w:w="495"/>
        <w:gridCol w:w="499"/>
        <w:gridCol w:w="495"/>
        <w:gridCol w:w="495"/>
        <w:gridCol w:w="486"/>
        <w:gridCol w:w="512"/>
        <w:gridCol w:w="478"/>
        <w:gridCol w:w="497"/>
        <w:gridCol w:w="500"/>
        <w:gridCol w:w="489"/>
        <w:gridCol w:w="495"/>
        <w:gridCol w:w="503"/>
        <w:gridCol w:w="488"/>
        <w:gridCol w:w="530"/>
      </w:tblGrid>
      <w:tr w14:paraId="3918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restart"/>
            <w:shd w:val="clear" w:color="auto" w:fill="auto"/>
            <w:tcMar>
              <w:top w:w="89" w:type="dxa"/>
              <w:left w:w="89" w:type="dxa"/>
              <w:bottom w:w="89" w:type="dxa"/>
              <w:right w:w="89" w:type="dxa"/>
            </w:tcMar>
            <w:vAlign w:val="center"/>
          </w:tcPr>
          <w:p w14:paraId="589957AF">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2118" w:type="dxa"/>
            <w:gridSpan w:val="2"/>
            <w:vMerge w:val="restart"/>
            <w:shd w:val="clear" w:color="auto" w:fill="auto"/>
            <w:tcMar>
              <w:top w:w="89" w:type="dxa"/>
              <w:left w:w="89" w:type="dxa"/>
              <w:bottom w:w="89" w:type="dxa"/>
              <w:right w:w="89" w:type="dxa"/>
            </w:tcMar>
            <w:vAlign w:val="center"/>
          </w:tcPr>
          <w:p w14:paraId="11F024B8">
            <w:pPr>
              <w:pStyle w:val="190"/>
              <w:kinsoku w:val="0"/>
              <w:overflowPunct w:val="0"/>
              <w:jc w:val="center"/>
              <w:rPr>
                <w:rFonts w:ascii="宋体" w:hAnsi="宋体" w:eastAsia="仿宋_GB2312" w:cs="仿宋"/>
                <w:szCs w:val="21"/>
              </w:rPr>
            </w:pPr>
            <w:r>
              <w:rPr>
                <w:rFonts w:hint="eastAsia" w:ascii="宋体" w:hAnsi="宋体" w:eastAsia="仿宋_GB2312" w:cs="仿宋"/>
                <w:szCs w:val="21"/>
              </w:rPr>
              <w:t>所属区域</w:t>
            </w:r>
          </w:p>
        </w:tc>
        <w:tc>
          <w:tcPr>
            <w:tcW w:w="2466" w:type="dxa"/>
            <w:gridSpan w:val="5"/>
            <w:shd w:val="clear" w:color="auto" w:fill="auto"/>
            <w:tcMar>
              <w:top w:w="89" w:type="dxa"/>
              <w:left w:w="89" w:type="dxa"/>
              <w:bottom w:w="89" w:type="dxa"/>
              <w:right w:w="89" w:type="dxa"/>
            </w:tcMar>
            <w:vAlign w:val="center"/>
          </w:tcPr>
          <w:p w14:paraId="345309CB">
            <w:pPr>
              <w:pStyle w:val="190"/>
              <w:kinsoku w:val="0"/>
              <w:overflowPunct w:val="0"/>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69" w:type="dxa"/>
            <w:gridSpan w:val="6"/>
            <w:shd w:val="clear" w:color="auto" w:fill="auto"/>
            <w:tcMar>
              <w:top w:w="89" w:type="dxa"/>
              <w:left w:w="89" w:type="dxa"/>
              <w:bottom w:w="89" w:type="dxa"/>
              <w:right w:w="89" w:type="dxa"/>
            </w:tcMar>
            <w:vAlign w:val="center"/>
          </w:tcPr>
          <w:p w14:paraId="3AF8FBDA">
            <w:pPr>
              <w:pStyle w:val="190"/>
              <w:kinsoku w:val="0"/>
              <w:overflowPunct w:val="0"/>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63" w:type="dxa"/>
            <w:gridSpan w:val="6"/>
            <w:shd w:val="clear" w:color="auto" w:fill="auto"/>
            <w:tcMar>
              <w:top w:w="89" w:type="dxa"/>
              <w:left w:w="89" w:type="dxa"/>
              <w:bottom w:w="89" w:type="dxa"/>
              <w:right w:w="89" w:type="dxa"/>
            </w:tcMar>
            <w:vAlign w:val="center"/>
          </w:tcPr>
          <w:p w14:paraId="7D66A8E2">
            <w:pPr>
              <w:pStyle w:val="190"/>
              <w:kinsoku w:val="0"/>
              <w:overflowPunct w:val="0"/>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3005" w:type="dxa"/>
            <w:gridSpan w:val="6"/>
            <w:shd w:val="clear" w:color="auto" w:fill="auto"/>
            <w:tcMar>
              <w:top w:w="89" w:type="dxa"/>
              <w:left w:w="89" w:type="dxa"/>
              <w:bottom w:w="89" w:type="dxa"/>
              <w:right w:w="89" w:type="dxa"/>
            </w:tcMar>
            <w:vAlign w:val="center"/>
          </w:tcPr>
          <w:p w14:paraId="24D8E421">
            <w:pPr>
              <w:pStyle w:val="190"/>
              <w:kinsoku w:val="0"/>
              <w:overflowPunct w:val="0"/>
              <w:jc w:val="center"/>
              <w:rPr>
                <w:rFonts w:ascii="宋体" w:hAnsi="宋体" w:eastAsia="仿宋_GB2312" w:cs="仿宋"/>
                <w:szCs w:val="21"/>
              </w:rPr>
            </w:pPr>
            <w:r>
              <w:rPr>
                <w:rFonts w:hint="eastAsia" w:ascii="宋体" w:hAnsi="宋体" w:eastAsia="仿宋_GB2312" w:cs="仿宋"/>
                <w:szCs w:val="21"/>
              </w:rPr>
              <w:t>体量不突出</w:t>
            </w:r>
          </w:p>
        </w:tc>
      </w:tr>
      <w:tr w14:paraId="02A9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continue"/>
            <w:shd w:val="clear" w:color="auto" w:fill="auto"/>
            <w:vAlign w:val="center"/>
          </w:tcPr>
          <w:p w14:paraId="5EDCD472">
            <w:pPr>
              <w:pStyle w:val="190"/>
              <w:kinsoku w:val="0"/>
              <w:overflowPunct w:val="0"/>
              <w:jc w:val="center"/>
              <w:rPr>
                <w:rFonts w:ascii="宋体" w:hAnsi="宋体" w:eastAsia="仿宋_GB2312" w:cs="仿宋"/>
                <w:szCs w:val="21"/>
              </w:rPr>
            </w:pPr>
          </w:p>
        </w:tc>
        <w:tc>
          <w:tcPr>
            <w:tcW w:w="2118" w:type="dxa"/>
            <w:gridSpan w:val="2"/>
            <w:vMerge w:val="continue"/>
            <w:shd w:val="clear" w:color="auto" w:fill="auto"/>
            <w:tcMar>
              <w:top w:w="89" w:type="dxa"/>
              <w:left w:w="89" w:type="dxa"/>
              <w:bottom w:w="89" w:type="dxa"/>
              <w:right w:w="89" w:type="dxa"/>
            </w:tcMar>
            <w:vAlign w:val="center"/>
          </w:tcPr>
          <w:p w14:paraId="025612BD">
            <w:pPr>
              <w:pStyle w:val="190"/>
              <w:kinsoku w:val="0"/>
              <w:overflowPunct w:val="0"/>
              <w:jc w:val="center"/>
              <w:rPr>
                <w:rFonts w:ascii="宋体" w:hAnsi="宋体" w:eastAsia="仿宋_GB2312" w:cs="仿宋"/>
                <w:szCs w:val="21"/>
              </w:rPr>
            </w:pPr>
          </w:p>
        </w:tc>
        <w:tc>
          <w:tcPr>
            <w:tcW w:w="1485" w:type="dxa"/>
            <w:gridSpan w:val="3"/>
            <w:shd w:val="clear" w:color="auto" w:fill="auto"/>
            <w:tcMar>
              <w:top w:w="89" w:type="dxa"/>
              <w:left w:w="89" w:type="dxa"/>
              <w:bottom w:w="89" w:type="dxa"/>
              <w:right w:w="89" w:type="dxa"/>
            </w:tcMar>
            <w:vAlign w:val="center"/>
          </w:tcPr>
          <w:p w14:paraId="6D9CAB85">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84" w:type="dxa"/>
            <w:vMerge w:val="restart"/>
            <w:shd w:val="clear" w:color="auto" w:fill="auto"/>
            <w:tcMar>
              <w:top w:w="89" w:type="dxa"/>
              <w:left w:w="89" w:type="dxa"/>
              <w:bottom w:w="89" w:type="dxa"/>
              <w:right w:w="89" w:type="dxa"/>
            </w:tcMar>
            <w:vAlign w:val="center"/>
          </w:tcPr>
          <w:p w14:paraId="77C5D008">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14:paraId="1A6786EC">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75" w:type="dxa"/>
            <w:gridSpan w:val="4"/>
            <w:shd w:val="clear" w:color="auto" w:fill="auto"/>
            <w:tcMar>
              <w:top w:w="89" w:type="dxa"/>
              <w:left w:w="89" w:type="dxa"/>
              <w:bottom w:w="89" w:type="dxa"/>
              <w:right w:w="89" w:type="dxa"/>
            </w:tcMar>
            <w:vAlign w:val="center"/>
          </w:tcPr>
          <w:p w14:paraId="56E1BB37">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95" w:type="dxa"/>
            <w:vMerge w:val="restart"/>
            <w:shd w:val="clear" w:color="auto" w:fill="auto"/>
            <w:tcMar>
              <w:top w:w="89" w:type="dxa"/>
              <w:left w:w="89" w:type="dxa"/>
              <w:bottom w:w="89" w:type="dxa"/>
              <w:right w:w="89" w:type="dxa"/>
            </w:tcMar>
            <w:vAlign w:val="center"/>
          </w:tcPr>
          <w:p w14:paraId="20960F20">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9" w:type="dxa"/>
            <w:vMerge w:val="restart"/>
            <w:shd w:val="clear" w:color="auto" w:fill="auto"/>
            <w:tcMar>
              <w:top w:w="89" w:type="dxa"/>
              <w:left w:w="89" w:type="dxa"/>
              <w:bottom w:w="89" w:type="dxa"/>
              <w:right w:w="89" w:type="dxa"/>
            </w:tcMar>
            <w:vAlign w:val="center"/>
          </w:tcPr>
          <w:p w14:paraId="098518F8">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88" w:type="dxa"/>
            <w:gridSpan w:val="4"/>
            <w:shd w:val="clear" w:color="auto" w:fill="auto"/>
            <w:tcMar>
              <w:top w:w="89" w:type="dxa"/>
              <w:left w:w="89" w:type="dxa"/>
              <w:bottom w:w="89" w:type="dxa"/>
              <w:right w:w="89" w:type="dxa"/>
            </w:tcMar>
            <w:vAlign w:val="center"/>
          </w:tcPr>
          <w:p w14:paraId="0BF02A73">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78" w:type="dxa"/>
            <w:vMerge w:val="restart"/>
            <w:shd w:val="clear" w:color="auto" w:fill="auto"/>
            <w:tcMar>
              <w:top w:w="89" w:type="dxa"/>
              <w:left w:w="89" w:type="dxa"/>
              <w:bottom w:w="89" w:type="dxa"/>
              <w:right w:w="89" w:type="dxa"/>
            </w:tcMar>
            <w:vAlign w:val="center"/>
          </w:tcPr>
          <w:p w14:paraId="2FBEA0FF">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14:paraId="1CF6926E">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c>
          <w:tcPr>
            <w:tcW w:w="1987" w:type="dxa"/>
            <w:gridSpan w:val="4"/>
            <w:shd w:val="clear" w:color="auto" w:fill="auto"/>
            <w:tcMar>
              <w:top w:w="89" w:type="dxa"/>
              <w:left w:w="89" w:type="dxa"/>
              <w:bottom w:w="89" w:type="dxa"/>
              <w:right w:w="89" w:type="dxa"/>
            </w:tcMar>
            <w:vAlign w:val="center"/>
          </w:tcPr>
          <w:p w14:paraId="5C151813">
            <w:pPr>
              <w:pStyle w:val="190"/>
              <w:kinsoku w:val="0"/>
              <w:overflowPunct w:val="0"/>
              <w:jc w:val="center"/>
              <w:rPr>
                <w:rFonts w:ascii="宋体" w:hAnsi="宋体" w:eastAsia="仿宋_GB2312" w:cs="仿宋"/>
                <w:szCs w:val="21"/>
              </w:rPr>
            </w:pPr>
            <w:r>
              <w:rPr>
                <w:rFonts w:hint="eastAsia" w:ascii="宋体" w:hAnsi="宋体" w:eastAsia="仿宋_GB2312" w:cs="仿宋"/>
                <w:szCs w:val="21"/>
              </w:rPr>
              <w:t>公建</w:t>
            </w:r>
          </w:p>
        </w:tc>
        <w:tc>
          <w:tcPr>
            <w:tcW w:w="488" w:type="dxa"/>
            <w:vMerge w:val="restart"/>
            <w:shd w:val="clear" w:color="auto" w:fill="auto"/>
            <w:tcMar>
              <w:top w:w="89" w:type="dxa"/>
              <w:left w:w="89" w:type="dxa"/>
              <w:bottom w:w="89" w:type="dxa"/>
              <w:right w:w="89" w:type="dxa"/>
            </w:tcMar>
            <w:vAlign w:val="center"/>
          </w:tcPr>
          <w:p w14:paraId="18FEA1AE">
            <w:pPr>
              <w:pStyle w:val="190"/>
              <w:kinsoku w:val="0"/>
              <w:overflowPunct w:val="0"/>
              <w:jc w:val="center"/>
              <w:rPr>
                <w:rFonts w:ascii="宋体" w:hAnsi="宋体" w:eastAsia="仿宋_GB2312" w:cs="仿宋"/>
                <w:szCs w:val="21"/>
              </w:rPr>
            </w:pPr>
            <w:r>
              <w:rPr>
                <w:rFonts w:hint="eastAsia" w:ascii="宋体" w:hAnsi="宋体" w:eastAsia="仿宋_GB2312" w:cs="仿宋"/>
                <w:szCs w:val="21"/>
              </w:rPr>
              <w:t>居住</w:t>
            </w:r>
          </w:p>
        </w:tc>
        <w:tc>
          <w:tcPr>
            <w:tcW w:w="530" w:type="dxa"/>
            <w:vMerge w:val="restart"/>
            <w:shd w:val="clear" w:color="auto" w:fill="auto"/>
            <w:tcMar>
              <w:top w:w="89" w:type="dxa"/>
              <w:left w:w="89" w:type="dxa"/>
              <w:bottom w:w="89" w:type="dxa"/>
              <w:right w:w="89" w:type="dxa"/>
            </w:tcMar>
            <w:vAlign w:val="center"/>
          </w:tcPr>
          <w:p w14:paraId="2C09FDB9">
            <w:pPr>
              <w:pStyle w:val="190"/>
              <w:kinsoku w:val="0"/>
              <w:overflowPunct w:val="0"/>
              <w:jc w:val="center"/>
              <w:rPr>
                <w:rFonts w:ascii="宋体" w:hAnsi="宋体" w:eastAsia="仿宋_GB2312" w:cs="仿宋"/>
                <w:szCs w:val="21"/>
              </w:rPr>
            </w:pPr>
            <w:r>
              <w:rPr>
                <w:rFonts w:hint="eastAsia" w:ascii="宋体" w:hAnsi="宋体" w:eastAsia="仿宋_GB2312" w:cs="仿宋"/>
                <w:szCs w:val="21"/>
              </w:rPr>
              <w:t>其他</w:t>
            </w:r>
          </w:p>
        </w:tc>
      </w:tr>
      <w:tr w14:paraId="247B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44" w:type="dxa"/>
            <w:vMerge w:val="continue"/>
            <w:shd w:val="clear" w:color="auto" w:fill="auto"/>
            <w:vAlign w:val="center"/>
          </w:tcPr>
          <w:p w14:paraId="5E11FC25">
            <w:pPr>
              <w:pStyle w:val="210"/>
              <w:widowControl/>
              <w:adjustRightInd w:val="0"/>
              <w:snapToGrid w:val="0"/>
              <w:spacing w:line="240" w:lineRule="auto"/>
              <w:textAlignment w:val="baseline"/>
              <w:rPr>
                <w:rFonts w:ascii="宋体" w:hAnsi="宋体" w:eastAsia="仿宋_GB2312"/>
                <w:sz w:val="24"/>
              </w:rPr>
            </w:pPr>
          </w:p>
        </w:tc>
        <w:tc>
          <w:tcPr>
            <w:tcW w:w="2118" w:type="dxa"/>
            <w:gridSpan w:val="2"/>
            <w:vMerge w:val="continue"/>
            <w:shd w:val="clear" w:color="auto" w:fill="auto"/>
            <w:tcMar>
              <w:top w:w="89" w:type="dxa"/>
              <w:left w:w="89" w:type="dxa"/>
              <w:bottom w:w="89" w:type="dxa"/>
              <w:right w:w="89" w:type="dxa"/>
            </w:tcMar>
            <w:vAlign w:val="center"/>
          </w:tcPr>
          <w:p w14:paraId="2C6685C9">
            <w:pPr>
              <w:pStyle w:val="210"/>
              <w:widowControl/>
              <w:adjustRightInd w:val="0"/>
              <w:snapToGrid w:val="0"/>
              <w:spacing w:line="240" w:lineRule="auto"/>
              <w:textAlignment w:val="baseline"/>
              <w:rPr>
                <w:rFonts w:ascii="宋体" w:hAnsi="宋体" w:eastAsia="仿宋_GB2312"/>
                <w:sz w:val="24"/>
              </w:rPr>
            </w:pPr>
          </w:p>
        </w:tc>
        <w:tc>
          <w:tcPr>
            <w:tcW w:w="495" w:type="dxa"/>
            <w:shd w:val="clear" w:color="auto" w:fill="auto"/>
            <w:tcMar>
              <w:top w:w="89" w:type="dxa"/>
              <w:left w:w="89" w:type="dxa"/>
              <w:bottom w:w="89" w:type="dxa"/>
              <w:right w:w="89" w:type="dxa"/>
            </w:tcMar>
            <w:vAlign w:val="center"/>
          </w:tcPr>
          <w:p w14:paraId="48E5F48E">
            <w:pPr>
              <w:pStyle w:val="190"/>
              <w:kinsoku w:val="0"/>
              <w:overflowPunct w:val="0"/>
              <w:jc w:val="center"/>
              <w:rPr>
                <w:rFonts w:ascii="宋体" w:hAnsi="宋体" w:eastAsia="仿宋_GB2312" w:cs="仿宋"/>
                <w:szCs w:val="21"/>
              </w:rPr>
            </w:pPr>
            <w:r>
              <w:rPr>
                <w:rFonts w:hint="eastAsia" w:ascii="宋体" w:hAnsi="宋体" w:eastAsia="仿宋_GB2312" w:cs="仿宋"/>
                <w:szCs w:val="21"/>
              </w:rPr>
              <w:t>低层</w:t>
            </w:r>
          </w:p>
        </w:tc>
        <w:tc>
          <w:tcPr>
            <w:tcW w:w="495" w:type="dxa"/>
            <w:shd w:val="clear" w:color="auto" w:fill="auto"/>
            <w:tcMar>
              <w:top w:w="89" w:type="dxa"/>
              <w:left w:w="89" w:type="dxa"/>
              <w:bottom w:w="89" w:type="dxa"/>
              <w:right w:w="89" w:type="dxa"/>
            </w:tcMar>
            <w:vAlign w:val="center"/>
          </w:tcPr>
          <w:p w14:paraId="266FCA91">
            <w:pPr>
              <w:pStyle w:val="190"/>
              <w:kinsoku w:val="0"/>
              <w:overflowPunct w:val="0"/>
              <w:jc w:val="center"/>
              <w:rPr>
                <w:rFonts w:ascii="宋体" w:hAnsi="宋体" w:eastAsia="仿宋_GB2312" w:cs="仿宋"/>
                <w:szCs w:val="21"/>
              </w:rPr>
            </w:pPr>
            <w:r>
              <w:rPr>
                <w:rFonts w:hint="eastAsia" w:ascii="宋体" w:hAnsi="宋体" w:eastAsia="仿宋_GB2312" w:cs="仿宋"/>
                <w:szCs w:val="21"/>
              </w:rPr>
              <w:t>中层</w:t>
            </w:r>
          </w:p>
        </w:tc>
        <w:tc>
          <w:tcPr>
            <w:tcW w:w="495" w:type="dxa"/>
            <w:shd w:val="clear" w:color="auto" w:fill="auto"/>
            <w:tcMar>
              <w:top w:w="89" w:type="dxa"/>
              <w:left w:w="89" w:type="dxa"/>
              <w:bottom w:w="89" w:type="dxa"/>
              <w:right w:w="89" w:type="dxa"/>
            </w:tcMar>
            <w:vAlign w:val="center"/>
          </w:tcPr>
          <w:p w14:paraId="3E92AE31">
            <w:pPr>
              <w:pStyle w:val="190"/>
              <w:kinsoku w:val="0"/>
              <w:overflowPunct w:val="0"/>
              <w:jc w:val="center"/>
              <w:rPr>
                <w:rFonts w:ascii="宋体" w:hAnsi="宋体" w:eastAsia="仿宋_GB2312" w:cs="仿宋"/>
                <w:szCs w:val="21"/>
              </w:rPr>
            </w:pPr>
            <w:r>
              <w:rPr>
                <w:rFonts w:hint="eastAsia" w:ascii="宋体" w:hAnsi="宋体" w:eastAsia="仿宋_GB2312" w:cs="仿宋"/>
                <w:szCs w:val="21"/>
              </w:rPr>
              <w:t>高层</w:t>
            </w:r>
          </w:p>
        </w:tc>
        <w:tc>
          <w:tcPr>
            <w:tcW w:w="484" w:type="dxa"/>
            <w:vMerge w:val="continue"/>
            <w:shd w:val="clear" w:color="auto" w:fill="auto"/>
            <w:vAlign w:val="center"/>
          </w:tcPr>
          <w:p w14:paraId="28FBF332">
            <w:pPr>
              <w:pStyle w:val="190"/>
              <w:kinsoku w:val="0"/>
              <w:overflowPunct w:val="0"/>
              <w:jc w:val="center"/>
              <w:rPr>
                <w:rFonts w:ascii="宋体" w:hAnsi="宋体" w:eastAsia="仿宋_GB2312" w:cs="仿宋"/>
                <w:szCs w:val="21"/>
              </w:rPr>
            </w:pPr>
          </w:p>
        </w:tc>
        <w:tc>
          <w:tcPr>
            <w:tcW w:w="497" w:type="dxa"/>
            <w:vMerge w:val="continue"/>
            <w:shd w:val="clear" w:color="auto" w:fill="auto"/>
            <w:vAlign w:val="center"/>
          </w:tcPr>
          <w:p w14:paraId="19DB0C4C">
            <w:pPr>
              <w:pStyle w:val="190"/>
              <w:kinsoku w:val="0"/>
              <w:overflowPunct w:val="0"/>
              <w:jc w:val="center"/>
              <w:rPr>
                <w:rFonts w:ascii="宋体" w:hAnsi="宋体" w:eastAsia="仿宋_GB2312" w:cs="仿宋"/>
                <w:szCs w:val="21"/>
              </w:rPr>
            </w:pPr>
          </w:p>
        </w:tc>
        <w:tc>
          <w:tcPr>
            <w:tcW w:w="489" w:type="dxa"/>
            <w:shd w:val="clear" w:color="auto" w:fill="auto"/>
            <w:tcMar>
              <w:top w:w="89" w:type="dxa"/>
              <w:left w:w="89" w:type="dxa"/>
              <w:bottom w:w="89" w:type="dxa"/>
              <w:right w:w="89" w:type="dxa"/>
            </w:tcMar>
            <w:vAlign w:val="center"/>
          </w:tcPr>
          <w:p w14:paraId="7B338B36">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14:paraId="19007686">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89" w:type="dxa"/>
            <w:shd w:val="clear" w:color="auto" w:fill="auto"/>
            <w:tcMar>
              <w:top w:w="89" w:type="dxa"/>
              <w:left w:w="89" w:type="dxa"/>
              <w:bottom w:w="89" w:type="dxa"/>
              <w:right w:w="89" w:type="dxa"/>
            </w:tcMar>
            <w:vAlign w:val="center"/>
          </w:tcPr>
          <w:p w14:paraId="689EF1D3">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14" w:type="dxa"/>
            <w:shd w:val="clear" w:color="auto" w:fill="auto"/>
            <w:tcMar>
              <w:top w:w="89" w:type="dxa"/>
              <w:left w:w="89" w:type="dxa"/>
              <w:bottom w:w="89" w:type="dxa"/>
              <w:right w:w="89" w:type="dxa"/>
            </w:tcMar>
            <w:vAlign w:val="center"/>
          </w:tcPr>
          <w:p w14:paraId="0FC5C05C">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95" w:type="dxa"/>
            <w:vMerge w:val="continue"/>
            <w:shd w:val="clear" w:color="auto" w:fill="auto"/>
            <w:vAlign w:val="center"/>
          </w:tcPr>
          <w:p w14:paraId="21A152F3">
            <w:pPr>
              <w:pStyle w:val="190"/>
              <w:kinsoku w:val="0"/>
              <w:overflowPunct w:val="0"/>
              <w:jc w:val="center"/>
              <w:rPr>
                <w:rFonts w:ascii="宋体" w:hAnsi="宋体" w:eastAsia="仿宋_GB2312" w:cs="仿宋"/>
                <w:szCs w:val="21"/>
              </w:rPr>
            </w:pPr>
          </w:p>
        </w:tc>
        <w:tc>
          <w:tcPr>
            <w:tcW w:w="499" w:type="dxa"/>
            <w:vMerge w:val="continue"/>
            <w:shd w:val="clear" w:color="auto" w:fill="auto"/>
            <w:vAlign w:val="center"/>
          </w:tcPr>
          <w:p w14:paraId="2ED4AA90">
            <w:pPr>
              <w:pStyle w:val="190"/>
              <w:kinsoku w:val="0"/>
              <w:overflowPunct w:val="0"/>
              <w:jc w:val="center"/>
              <w:rPr>
                <w:rFonts w:ascii="宋体" w:hAnsi="宋体" w:eastAsia="仿宋_GB2312" w:cs="仿宋"/>
                <w:szCs w:val="21"/>
              </w:rPr>
            </w:pPr>
          </w:p>
        </w:tc>
        <w:tc>
          <w:tcPr>
            <w:tcW w:w="495" w:type="dxa"/>
            <w:shd w:val="clear" w:color="auto" w:fill="auto"/>
            <w:tcMar>
              <w:top w:w="89" w:type="dxa"/>
              <w:left w:w="89" w:type="dxa"/>
              <w:bottom w:w="89" w:type="dxa"/>
              <w:right w:w="89" w:type="dxa"/>
            </w:tcMar>
            <w:vAlign w:val="center"/>
          </w:tcPr>
          <w:p w14:paraId="0321F670">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95" w:type="dxa"/>
            <w:shd w:val="clear" w:color="auto" w:fill="auto"/>
            <w:tcMar>
              <w:top w:w="89" w:type="dxa"/>
              <w:left w:w="89" w:type="dxa"/>
              <w:bottom w:w="89" w:type="dxa"/>
              <w:right w:w="89" w:type="dxa"/>
            </w:tcMar>
            <w:vAlign w:val="center"/>
          </w:tcPr>
          <w:p w14:paraId="05397D2A">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86" w:type="dxa"/>
            <w:shd w:val="clear" w:color="auto" w:fill="auto"/>
            <w:tcMar>
              <w:top w:w="89" w:type="dxa"/>
              <w:left w:w="89" w:type="dxa"/>
              <w:bottom w:w="89" w:type="dxa"/>
              <w:right w:w="89" w:type="dxa"/>
            </w:tcMar>
            <w:vAlign w:val="center"/>
          </w:tcPr>
          <w:p w14:paraId="75DC7BFB">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12" w:type="dxa"/>
            <w:shd w:val="clear" w:color="auto" w:fill="auto"/>
            <w:tcMar>
              <w:top w:w="89" w:type="dxa"/>
              <w:left w:w="89" w:type="dxa"/>
              <w:bottom w:w="89" w:type="dxa"/>
              <w:right w:w="89" w:type="dxa"/>
            </w:tcMar>
            <w:vAlign w:val="center"/>
          </w:tcPr>
          <w:p w14:paraId="415583A6">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78" w:type="dxa"/>
            <w:vMerge w:val="continue"/>
            <w:shd w:val="clear" w:color="auto" w:fill="auto"/>
            <w:vAlign w:val="center"/>
          </w:tcPr>
          <w:p w14:paraId="21F42CB1">
            <w:pPr>
              <w:pStyle w:val="190"/>
              <w:kinsoku w:val="0"/>
              <w:overflowPunct w:val="0"/>
              <w:jc w:val="center"/>
              <w:rPr>
                <w:rFonts w:ascii="宋体" w:hAnsi="宋体" w:eastAsia="仿宋_GB2312" w:cs="仿宋"/>
                <w:szCs w:val="21"/>
              </w:rPr>
            </w:pPr>
          </w:p>
        </w:tc>
        <w:tc>
          <w:tcPr>
            <w:tcW w:w="497" w:type="dxa"/>
            <w:vMerge w:val="continue"/>
            <w:shd w:val="clear" w:color="auto" w:fill="auto"/>
            <w:vAlign w:val="center"/>
          </w:tcPr>
          <w:p w14:paraId="36FC1822">
            <w:pPr>
              <w:pStyle w:val="190"/>
              <w:kinsoku w:val="0"/>
              <w:overflowPunct w:val="0"/>
              <w:jc w:val="center"/>
              <w:rPr>
                <w:rFonts w:ascii="宋体" w:hAnsi="宋体" w:eastAsia="仿宋_GB2312" w:cs="仿宋"/>
                <w:szCs w:val="21"/>
              </w:rPr>
            </w:pPr>
          </w:p>
        </w:tc>
        <w:tc>
          <w:tcPr>
            <w:tcW w:w="500" w:type="dxa"/>
            <w:shd w:val="clear" w:color="auto" w:fill="auto"/>
            <w:tcMar>
              <w:top w:w="89" w:type="dxa"/>
              <w:left w:w="89" w:type="dxa"/>
              <w:bottom w:w="89" w:type="dxa"/>
              <w:right w:w="89" w:type="dxa"/>
            </w:tcMar>
            <w:vAlign w:val="center"/>
          </w:tcPr>
          <w:p w14:paraId="4CDF3A0A">
            <w:pPr>
              <w:pStyle w:val="190"/>
              <w:kinsoku w:val="0"/>
              <w:overflowPunct w:val="0"/>
              <w:jc w:val="center"/>
              <w:rPr>
                <w:rFonts w:ascii="宋体" w:hAnsi="宋体" w:eastAsia="仿宋_GB2312" w:cs="仿宋"/>
                <w:szCs w:val="21"/>
              </w:rPr>
            </w:pPr>
            <w:r>
              <w:rPr>
                <w:rFonts w:hint="eastAsia" w:ascii="宋体" w:hAnsi="宋体" w:eastAsia="仿宋_GB2312" w:cs="仿宋"/>
                <w:szCs w:val="21"/>
              </w:rPr>
              <w:t>政务</w:t>
            </w:r>
          </w:p>
        </w:tc>
        <w:tc>
          <w:tcPr>
            <w:tcW w:w="489" w:type="dxa"/>
            <w:shd w:val="clear" w:color="auto" w:fill="auto"/>
            <w:tcMar>
              <w:top w:w="89" w:type="dxa"/>
              <w:left w:w="89" w:type="dxa"/>
              <w:bottom w:w="89" w:type="dxa"/>
              <w:right w:w="89" w:type="dxa"/>
            </w:tcMar>
            <w:vAlign w:val="center"/>
          </w:tcPr>
          <w:p w14:paraId="23C6F597">
            <w:pPr>
              <w:pStyle w:val="190"/>
              <w:kinsoku w:val="0"/>
              <w:overflowPunct w:val="0"/>
              <w:jc w:val="center"/>
              <w:rPr>
                <w:rFonts w:ascii="宋体" w:hAnsi="宋体" w:eastAsia="仿宋_GB2312" w:cs="仿宋"/>
                <w:szCs w:val="21"/>
              </w:rPr>
            </w:pPr>
            <w:r>
              <w:rPr>
                <w:rFonts w:hint="eastAsia" w:ascii="宋体" w:hAnsi="宋体" w:eastAsia="仿宋_GB2312" w:cs="仿宋"/>
                <w:szCs w:val="21"/>
              </w:rPr>
              <w:t>文化</w:t>
            </w:r>
          </w:p>
        </w:tc>
        <w:tc>
          <w:tcPr>
            <w:tcW w:w="495" w:type="dxa"/>
            <w:shd w:val="clear" w:color="auto" w:fill="auto"/>
            <w:tcMar>
              <w:top w:w="89" w:type="dxa"/>
              <w:left w:w="89" w:type="dxa"/>
              <w:bottom w:w="89" w:type="dxa"/>
              <w:right w:w="89" w:type="dxa"/>
            </w:tcMar>
            <w:vAlign w:val="center"/>
          </w:tcPr>
          <w:p w14:paraId="43EB54F9">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商业</w:t>
            </w:r>
          </w:p>
        </w:tc>
        <w:tc>
          <w:tcPr>
            <w:tcW w:w="503" w:type="dxa"/>
            <w:shd w:val="clear" w:color="auto" w:fill="auto"/>
            <w:tcMar>
              <w:top w:w="89" w:type="dxa"/>
              <w:left w:w="89" w:type="dxa"/>
              <w:bottom w:w="89" w:type="dxa"/>
              <w:right w:w="89" w:type="dxa"/>
            </w:tcMar>
            <w:vAlign w:val="center"/>
          </w:tcPr>
          <w:p w14:paraId="5FD17DDB">
            <w:pPr>
              <w:pStyle w:val="190"/>
              <w:kinsoku w:val="0"/>
              <w:overflowPunct w:val="0"/>
              <w:jc w:val="center"/>
              <w:rPr>
                <w:rFonts w:ascii="宋体" w:hAnsi="宋体" w:eastAsia="仿宋_GB2312" w:cs="仿宋"/>
                <w:szCs w:val="21"/>
              </w:rPr>
            </w:pPr>
            <w:r>
              <w:rPr>
                <w:rFonts w:hint="eastAsia" w:ascii="宋体" w:hAnsi="宋体" w:eastAsia="仿宋_GB2312" w:cs="仿宋"/>
                <w:szCs w:val="21"/>
              </w:rPr>
              <w:t>商务</w:t>
            </w:r>
          </w:p>
        </w:tc>
        <w:tc>
          <w:tcPr>
            <w:tcW w:w="488" w:type="dxa"/>
            <w:vMerge w:val="continue"/>
            <w:shd w:val="clear" w:color="auto" w:fill="auto"/>
            <w:vAlign w:val="center"/>
          </w:tcPr>
          <w:p w14:paraId="3F4C6DC1">
            <w:pPr>
              <w:pStyle w:val="210"/>
              <w:widowControl/>
              <w:adjustRightInd w:val="0"/>
              <w:snapToGrid w:val="0"/>
              <w:spacing w:line="240" w:lineRule="auto"/>
              <w:textAlignment w:val="baseline"/>
              <w:rPr>
                <w:rFonts w:ascii="宋体" w:hAnsi="宋体" w:eastAsia="仿宋_GB2312"/>
                <w:sz w:val="24"/>
              </w:rPr>
            </w:pPr>
          </w:p>
        </w:tc>
        <w:tc>
          <w:tcPr>
            <w:tcW w:w="530" w:type="dxa"/>
            <w:vMerge w:val="continue"/>
            <w:shd w:val="clear" w:color="auto" w:fill="auto"/>
            <w:vAlign w:val="center"/>
          </w:tcPr>
          <w:p w14:paraId="16480257">
            <w:pPr>
              <w:pStyle w:val="210"/>
              <w:widowControl/>
              <w:adjustRightInd w:val="0"/>
              <w:snapToGrid w:val="0"/>
              <w:spacing w:line="240" w:lineRule="auto"/>
              <w:textAlignment w:val="baseline"/>
              <w:rPr>
                <w:rFonts w:ascii="宋体" w:hAnsi="宋体" w:eastAsia="仿宋_GB2312"/>
                <w:sz w:val="24"/>
              </w:rPr>
            </w:pPr>
          </w:p>
        </w:tc>
      </w:tr>
      <w:tr w14:paraId="328B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vAlign w:val="center"/>
          </w:tcPr>
          <w:p w14:paraId="04C9F1B9">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14:paraId="788E2BFC">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（重大节日模式）</w:t>
            </w:r>
          </w:p>
        </w:tc>
        <w:tc>
          <w:tcPr>
            <w:tcW w:w="495" w:type="dxa"/>
            <w:shd w:val="clear" w:color="auto" w:fill="auto"/>
            <w:tcMar>
              <w:top w:w="89" w:type="dxa"/>
              <w:left w:w="89" w:type="dxa"/>
              <w:bottom w:w="89" w:type="dxa"/>
              <w:right w:w="89" w:type="dxa"/>
            </w:tcMar>
            <w:vAlign w:val="center"/>
          </w:tcPr>
          <w:p w14:paraId="2FEF9A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14:paraId="51447FC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43E2441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84" w:type="dxa"/>
            <w:shd w:val="clear" w:color="auto" w:fill="auto"/>
            <w:vAlign w:val="center"/>
          </w:tcPr>
          <w:p w14:paraId="26E85D7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14:paraId="0D88EFE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9" w:type="dxa"/>
            <w:shd w:val="clear" w:color="auto" w:fill="auto"/>
            <w:tcMar>
              <w:top w:w="89" w:type="dxa"/>
              <w:left w:w="89" w:type="dxa"/>
              <w:bottom w:w="89" w:type="dxa"/>
              <w:right w:w="89" w:type="dxa"/>
            </w:tcMar>
            <w:vAlign w:val="center"/>
          </w:tcPr>
          <w:p w14:paraId="1C1503D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3" w:type="dxa"/>
            <w:shd w:val="clear" w:color="auto" w:fill="auto"/>
            <w:tcMar>
              <w:top w:w="89" w:type="dxa"/>
              <w:left w:w="89" w:type="dxa"/>
              <w:bottom w:w="89" w:type="dxa"/>
              <w:right w:w="89" w:type="dxa"/>
            </w:tcMar>
            <w:vAlign w:val="center"/>
          </w:tcPr>
          <w:p w14:paraId="5D48CE6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9" w:type="dxa"/>
            <w:shd w:val="clear" w:color="auto" w:fill="auto"/>
            <w:tcMar>
              <w:top w:w="89" w:type="dxa"/>
              <w:left w:w="89" w:type="dxa"/>
              <w:bottom w:w="89" w:type="dxa"/>
              <w:right w:w="89" w:type="dxa"/>
            </w:tcMar>
            <w:vAlign w:val="center"/>
          </w:tcPr>
          <w:p w14:paraId="3436DDE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14" w:type="dxa"/>
            <w:shd w:val="clear" w:color="auto" w:fill="auto"/>
            <w:tcMar>
              <w:top w:w="89" w:type="dxa"/>
              <w:left w:w="89" w:type="dxa"/>
              <w:bottom w:w="89" w:type="dxa"/>
              <w:right w:w="89" w:type="dxa"/>
            </w:tcMar>
            <w:vAlign w:val="center"/>
          </w:tcPr>
          <w:p w14:paraId="41E63E7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vAlign w:val="center"/>
          </w:tcPr>
          <w:p w14:paraId="73FCA1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9" w:type="dxa"/>
            <w:shd w:val="clear" w:color="auto" w:fill="auto"/>
            <w:vAlign w:val="center"/>
          </w:tcPr>
          <w:p w14:paraId="65BE1FB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14:paraId="143DD83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95" w:type="dxa"/>
            <w:shd w:val="clear" w:color="auto" w:fill="auto"/>
            <w:tcMar>
              <w:top w:w="89" w:type="dxa"/>
              <w:left w:w="89" w:type="dxa"/>
              <w:bottom w:w="89" w:type="dxa"/>
              <w:right w:w="89" w:type="dxa"/>
            </w:tcMar>
            <w:vAlign w:val="center"/>
          </w:tcPr>
          <w:p w14:paraId="71843FD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86" w:type="dxa"/>
            <w:shd w:val="clear" w:color="auto" w:fill="auto"/>
            <w:tcMar>
              <w:top w:w="89" w:type="dxa"/>
              <w:left w:w="89" w:type="dxa"/>
              <w:bottom w:w="89" w:type="dxa"/>
              <w:right w:w="89" w:type="dxa"/>
            </w:tcMar>
            <w:vAlign w:val="center"/>
          </w:tcPr>
          <w:p w14:paraId="76E33C4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12" w:type="dxa"/>
            <w:shd w:val="clear" w:color="auto" w:fill="auto"/>
            <w:tcMar>
              <w:top w:w="89" w:type="dxa"/>
              <w:left w:w="89" w:type="dxa"/>
              <w:bottom w:w="89" w:type="dxa"/>
              <w:right w:w="89" w:type="dxa"/>
            </w:tcMar>
            <w:vAlign w:val="center"/>
          </w:tcPr>
          <w:p w14:paraId="14288E2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478" w:type="dxa"/>
            <w:shd w:val="clear" w:color="auto" w:fill="auto"/>
            <w:vAlign w:val="center"/>
          </w:tcPr>
          <w:p w14:paraId="1DEA402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14:paraId="0D5E164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30</w:t>
            </w:r>
          </w:p>
        </w:tc>
        <w:tc>
          <w:tcPr>
            <w:tcW w:w="500" w:type="dxa"/>
            <w:shd w:val="clear" w:color="auto" w:fill="auto"/>
            <w:tcMar>
              <w:top w:w="89" w:type="dxa"/>
              <w:left w:w="89" w:type="dxa"/>
              <w:bottom w:w="89" w:type="dxa"/>
              <w:right w:w="89" w:type="dxa"/>
            </w:tcMar>
            <w:vAlign w:val="center"/>
          </w:tcPr>
          <w:p w14:paraId="4967D68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9" w:type="dxa"/>
            <w:shd w:val="clear" w:color="auto" w:fill="auto"/>
            <w:tcMar>
              <w:top w:w="89" w:type="dxa"/>
              <w:left w:w="89" w:type="dxa"/>
              <w:bottom w:w="89" w:type="dxa"/>
              <w:right w:w="89" w:type="dxa"/>
            </w:tcMar>
            <w:vAlign w:val="center"/>
          </w:tcPr>
          <w:p w14:paraId="21560BF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5" w:type="dxa"/>
            <w:shd w:val="clear" w:color="auto" w:fill="auto"/>
            <w:tcMar>
              <w:top w:w="89" w:type="dxa"/>
              <w:left w:w="89" w:type="dxa"/>
              <w:bottom w:w="89" w:type="dxa"/>
              <w:right w:w="89" w:type="dxa"/>
            </w:tcMar>
            <w:vAlign w:val="center"/>
          </w:tcPr>
          <w:p w14:paraId="0FBEF68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03" w:type="dxa"/>
            <w:shd w:val="clear" w:color="auto" w:fill="auto"/>
            <w:tcMar>
              <w:top w:w="89" w:type="dxa"/>
              <w:left w:w="89" w:type="dxa"/>
              <w:bottom w:w="89" w:type="dxa"/>
              <w:right w:w="89" w:type="dxa"/>
            </w:tcMar>
            <w:vAlign w:val="center"/>
          </w:tcPr>
          <w:p w14:paraId="2A2BB02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8" w:type="dxa"/>
            <w:shd w:val="clear" w:color="auto" w:fill="auto"/>
            <w:vAlign w:val="center"/>
          </w:tcPr>
          <w:p w14:paraId="1AF1A71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30" w:type="dxa"/>
            <w:shd w:val="clear" w:color="auto" w:fill="auto"/>
            <w:vAlign w:val="center"/>
          </w:tcPr>
          <w:p w14:paraId="4C75E12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r>
      <w:tr w14:paraId="6317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vAlign w:val="center"/>
          </w:tcPr>
          <w:p w14:paraId="297781BB">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14:paraId="585AA4E2">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（节日—平日模式）</w:t>
            </w:r>
          </w:p>
        </w:tc>
        <w:tc>
          <w:tcPr>
            <w:tcW w:w="495" w:type="dxa"/>
            <w:shd w:val="clear" w:color="auto" w:fill="auto"/>
            <w:tcMar>
              <w:top w:w="89" w:type="dxa"/>
              <w:left w:w="89" w:type="dxa"/>
              <w:bottom w:w="89" w:type="dxa"/>
              <w:right w:w="89" w:type="dxa"/>
            </w:tcMar>
            <w:vAlign w:val="center"/>
          </w:tcPr>
          <w:p w14:paraId="6598B30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7FC9574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27293E6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4" w:type="dxa"/>
            <w:shd w:val="clear" w:color="auto" w:fill="auto"/>
            <w:vAlign w:val="center"/>
          </w:tcPr>
          <w:p w14:paraId="18C7277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14:paraId="25F8B3C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9" w:type="dxa"/>
            <w:shd w:val="clear" w:color="auto" w:fill="auto"/>
            <w:tcMar>
              <w:top w:w="89" w:type="dxa"/>
              <w:left w:w="89" w:type="dxa"/>
              <w:bottom w:w="89" w:type="dxa"/>
              <w:right w:w="89" w:type="dxa"/>
            </w:tcMar>
            <w:vAlign w:val="center"/>
          </w:tcPr>
          <w:p w14:paraId="2FA61FA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3" w:type="dxa"/>
            <w:shd w:val="clear" w:color="auto" w:fill="auto"/>
            <w:tcMar>
              <w:top w:w="89" w:type="dxa"/>
              <w:left w:w="89" w:type="dxa"/>
              <w:bottom w:w="89" w:type="dxa"/>
              <w:right w:w="89" w:type="dxa"/>
            </w:tcMar>
            <w:vAlign w:val="center"/>
          </w:tcPr>
          <w:p w14:paraId="1B0D1B5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9" w:type="dxa"/>
            <w:shd w:val="clear" w:color="auto" w:fill="auto"/>
            <w:tcMar>
              <w:top w:w="89" w:type="dxa"/>
              <w:left w:w="89" w:type="dxa"/>
              <w:bottom w:w="89" w:type="dxa"/>
              <w:right w:w="89" w:type="dxa"/>
            </w:tcMar>
            <w:vAlign w:val="center"/>
          </w:tcPr>
          <w:p w14:paraId="1C8BDE5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14" w:type="dxa"/>
            <w:shd w:val="clear" w:color="auto" w:fill="auto"/>
            <w:tcMar>
              <w:top w:w="89" w:type="dxa"/>
              <w:left w:w="89" w:type="dxa"/>
              <w:bottom w:w="89" w:type="dxa"/>
              <w:right w:w="89" w:type="dxa"/>
            </w:tcMar>
            <w:vAlign w:val="center"/>
          </w:tcPr>
          <w:p w14:paraId="37E3718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vAlign w:val="center"/>
          </w:tcPr>
          <w:p w14:paraId="0E46CA4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9" w:type="dxa"/>
            <w:shd w:val="clear" w:color="auto" w:fill="auto"/>
            <w:vAlign w:val="center"/>
          </w:tcPr>
          <w:p w14:paraId="3A60613D">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27C968E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13402DC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86" w:type="dxa"/>
            <w:shd w:val="clear" w:color="auto" w:fill="auto"/>
            <w:tcMar>
              <w:top w:w="89" w:type="dxa"/>
              <w:left w:w="89" w:type="dxa"/>
              <w:bottom w:w="89" w:type="dxa"/>
              <w:right w:w="89" w:type="dxa"/>
            </w:tcMar>
            <w:vAlign w:val="center"/>
          </w:tcPr>
          <w:p w14:paraId="382AD47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12" w:type="dxa"/>
            <w:shd w:val="clear" w:color="auto" w:fill="auto"/>
            <w:tcMar>
              <w:top w:w="89" w:type="dxa"/>
              <w:left w:w="89" w:type="dxa"/>
              <w:bottom w:w="89" w:type="dxa"/>
              <w:right w:w="89" w:type="dxa"/>
            </w:tcMar>
            <w:vAlign w:val="center"/>
          </w:tcPr>
          <w:p w14:paraId="4CB963D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78" w:type="dxa"/>
            <w:shd w:val="clear" w:color="auto" w:fill="auto"/>
            <w:vAlign w:val="center"/>
          </w:tcPr>
          <w:p w14:paraId="5D1BBBC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7" w:type="dxa"/>
            <w:shd w:val="clear" w:color="auto" w:fill="auto"/>
            <w:vAlign w:val="center"/>
          </w:tcPr>
          <w:p w14:paraId="0047548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500" w:type="dxa"/>
            <w:shd w:val="clear" w:color="auto" w:fill="auto"/>
            <w:tcMar>
              <w:top w:w="89" w:type="dxa"/>
              <w:left w:w="89" w:type="dxa"/>
              <w:bottom w:w="89" w:type="dxa"/>
              <w:right w:w="89" w:type="dxa"/>
            </w:tcMar>
            <w:vAlign w:val="center"/>
          </w:tcPr>
          <w:p w14:paraId="76F0AD4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9" w:type="dxa"/>
            <w:shd w:val="clear" w:color="auto" w:fill="auto"/>
            <w:tcMar>
              <w:top w:w="89" w:type="dxa"/>
              <w:left w:w="89" w:type="dxa"/>
              <w:bottom w:w="89" w:type="dxa"/>
              <w:right w:w="89" w:type="dxa"/>
            </w:tcMar>
            <w:vAlign w:val="center"/>
          </w:tcPr>
          <w:p w14:paraId="1E5BFFE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95" w:type="dxa"/>
            <w:shd w:val="clear" w:color="auto" w:fill="auto"/>
            <w:tcMar>
              <w:top w:w="89" w:type="dxa"/>
              <w:left w:w="89" w:type="dxa"/>
              <w:bottom w:w="89" w:type="dxa"/>
              <w:right w:w="89" w:type="dxa"/>
            </w:tcMar>
            <w:vAlign w:val="center"/>
          </w:tcPr>
          <w:p w14:paraId="74A258B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03" w:type="dxa"/>
            <w:shd w:val="clear" w:color="auto" w:fill="auto"/>
            <w:tcMar>
              <w:top w:w="89" w:type="dxa"/>
              <w:left w:w="89" w:type="dxa"/>
              <w:bottom w:w="89" w:type="dxa"/>
              <w:right w:w="89" w:type="dxa"/>
            </w:tcMar>
            <w:vAlign w:val="center"/>
          </w:tcPr>
          <w:p w14:paraId="652AACA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488" w:type="dxa"/>
            <w:shd w:val="clear" w:color="auto" w:fill="auto"/>
            <w:vAlign w:val="center"/>
          </w:tcPr>
          <w:p w14:paraId="4A14E86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c>
          <w:tcPr>
            <w:tcW w:w="530" w:type="dxa"/>
            <w:shd w:val="clear" w:color="auto" w:fill="auto"/>
            <w:vAlign w:val="center"/>
          </w:tcPr>
          <w:p w14:paraId="72B41BE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w:t>
            </w:r>
          </w:p>
        </w:tc>
      </w:tr>
      <w:tr w14:paraId="3252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restart"/>
            <w:shd w:val="clear" w:color="auto" w:fill="auto"/>
            <w:tcMar>
              <w:top w:w="89" w:type="dxa"/>
              <w:left w:w="89" w:type="dxa"/>
              <w:bottom w:w="89" w:type="dxa"/>
              <w:right w:w="89" w:type="dxa"/>
            </w:tcMar>
            <w:vAlign w:val="center"/>
          </w:tcPr>
          <w:p w14:paraId="3197C6E5">
            <w:pPr>
              <w:pStyle w:val="210"/>
              <w:widowControl/>
              <w:adjustRightInd w:val="0"/>
              <w:snapToGrid w:val="0"/>
              <w:spacing w:line="240" w:lineRule="auto"/>
              <w:textAlignment w:val="baseline"/>
              <w:rPr>
                <w:rFonts w:ascii="宋体" w:hAnsi="宋体" w:eastAsia="仿宋_GB2312" w:cs="宋体"/>
                <w:sz w:val="24"/>
              </w:rPr>
            </w:pPr>
            <w:r>
              <w:rPr>
                <w:rFonts w:hint="eastAsia" w:ascii="宋体" w:hAnsi="宋体" w:eastAsia="仿宋_GB2312" w:cs="宋体"/>
                <w:sz w:val="24"/>
              </w:rPr>
              <w:t>一类照</w:t>
            </w:r>
          </w:p>
        </w:tc>
        <w:tc>
          <w:tcPr>
            <w:tcW w:w="549" w:type="dxa"/>
            <w:vMerge w:val="restart"/>
            <w:shd w:val="clear" w:color="auto" w:fill="auto"/>
            <w:tcMar>
              <w:top w:w="89" w:type="dxa"/>
              <w:left w:w="89" w:type="dxa"/>
              <w:bottom w:w="89" w:type="dxa"/>
              <w:right w:w="89" w:type="dxa"/>
            </w:tcMar>
            <w:vAlign w:val="center"/>
          </w:tcPr>
          <w:p w14:paraId="138CDC32">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14:paraId="3149516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中心地区</w:t>
            </w:r>
          </w:p>
        </w:tc>
        <w:tc>
          <w:tcPr>
            <w:tcW w:w="495" w:type="dxa"/>
            <w:shd w:val="clear" w:color="auto" w:fill="auto"/>
            <w:tcMar>
              <w:top w:w="89" w:type="dxa"/>
              <w:left w:w="89" w:type="dxa"/>
              <w:bottom w:w="89" w:type="dxa"/>
              <w:right w:w="89" w:type="dxa"/>
            </w:tcMar>
            <w:vAlign w:val="center"/>
          </w:tcPr>
          <w:p w14:paraId="57BFA61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25</w:t>
            </w:r>
          </w:p>
        </w:tc>
        <w:tc>
          <w:tcPr>
            <w:tcW w:w="495" w:type="dxa"/>
            <w:shd w:val="clear" w:color="auto" w:fill="auto"/>
            <w:tcMar>
              <w:top w:w="89" w:type="dxa"/>
              <w:left w:w="89" w:type="dxa"/>
              <w:bottom w:w="89" w:type="dxa"/>
              <w:right w:w="89" w:type="dxa"/>
            </w:tcMar>
            <w:vAlign w:val="center"/>
          </w:tcPr>
          <w:p w14:paraId="5C38CFB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7AE9C13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4" w:type="dxa"/>
            <w:shd w:val="clear" w:color="auto" w:fill="auto"/>
            <w:tcMar>
              <w:top w:w="89" w:type="dxa"/>
              <w:left w:w="89" w:type="dxa"/>
              <w:bottom w:w="89" w:type="dxa"/>
              <w:right w:w="89" w:type="dxa"/>
            </w:tcMar>
            <w:vAlign w:val="center"/>
          </w:tcPr>
          <w:p w14:paraId="607477B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97" w:type="dxa"/>
            <w:shd w:val="clear" w:color="auto" w:fill="auto"/>
            <w:tcMar>
              <w:top w:w="89" w:type="dxa"/>
              <w:left w:w="89" w:type="dxa"/>
              <w:bottom w:w="89" w:type="dxa"/>
              <w:right w:w="89" w:type="dxa"/>
            </w:tcMar>
            <w:vAlign w:val="center"/>
          </w:tcPr>
          <w:p w14:paraId="66AF975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489" w:type="dxa"/>
            <w:shd w:val="clear" w:color="auto" w:fill="auto"/>
            <w:tcMar>
              <w:top w:w="89" w:type="dxa"/>
              <w:left w:w="89" w:type="dxa"/>
              <w:bottom w:w="89" w:type="dxa"/>
              <w:right w:w="89" w:type="dxa"/>
            </w:tcMar>
            <w:vAlign w:val="center"/>
          </w:tcPr>
          <w:p w14:paraId="57B663A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483" w:type="dxa"/>
            <w:shd w:val="clear" w:color="auto" w:fill="auto"/>
            <w:tcMar>
              <w:top w:w="89" w:type="dxa"/>
              <w:left w:w="89" w:type="dxa"/>
              <w:bottom w:w="89" w:type="dxa"/>
              <w:right w:w="89" w:type="dxa"/>
            </w:tcMar>
            <w:vAlign w:val="center"/>
          </w:tcPr>
          <w:p w14:paraId="3141944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9" w:type="dxa"/>
            <w:shd w:val="clear" w:color="auto" w:fill="auto"/>
            <w:tcMar>
              <w:top w:w="89" w:type="dxa"/>
              <w:left w:w="89" w:type="dxa"/>
              <w:bottom w:w="89" w:type="dxa"/>
              <w:right w:w="89" w:type="dxa"/>
            </w:tcMar>
            <w:vAlign w:val="center"/>
          </w:tcPr>
          <w:p w14:paraId="75C1AA0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22</w:t>
            </w:r>
          </w:p>
        </w:tc>
        <w:tc>
          <w:tcPr>
            <w:tcW w:w="514" w:type="dxa"/>
            <w:shd w:val="clear" w:color="auto" w:fill="auto"/>
            <w:tcMar>
              <w:top w:w="89" w:type="dxa"/>
              <w:left w:w="89" w:type="dxa"/>
              <w:bottom w:w="89" w:type="dxa"/>
              <w:right w:w="89" w:type="dxa"/>
            </w:tcMar>
            <w:vAlign w:val="center"/>
          </w:tcPr>
          <w:p w14:paraId="0204564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46CADAE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9" w:type="dxa"/>
            <w:shd w:val="clear" w:color="auto" w:fill="auto"/>
            <w:tcMar>
              <w:top w:w="89" w:type="dxa"/>
              <w:left w:w="89" w:type="dxa"/>
              <w:bottom w:w="89" w:type="dxa"/>
              <w:right w:w="89" w:type="dxa"/>
            </w:tcMar>
            <w:vAlign w:val="center"/>
          </w:tcPr>
          <w:p w14:paraId="2EBC843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4B870FA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4E3161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6" w:type="dxa"/>
            <w:shd w:val="clear" w:color="auto" w:fill="auto"/>
            <w:tcMar>
              <w:top w:w="89" w:type="dxa"/>
              <w:left w:w="89" w:type="dxa"/>
              <w:bottom w:w="89" w:type="dxa"/>
              <w:right w:w="89" w:type="dxa"/>
            </w:tcMar>
            <w:vAlign w:val="center"/>
          </w:tcPr>
          <w:p w14:paraId="4D2ED8B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2" w:type="dxa"/>
            <w:shd w:val="clear" w:color="auto" w:fill="auto"/>
            <w:tcMar>
              <w:top w:w="89" w:type="dxa"/>
              <w:left w:w="89" w:type="dxa"/>
              <w:bottom w:w="89" w:type="dxa"/>
              <w:right w:w="89" w:type="dxa"/>
            </w:tcMar>
            <w:vAlign w:val="center"/>
          </w:tcPr>
          <w:p w14:paraId="15092EE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78" w:type="dxa"/>
            <w:shd w:val="clear" w:color="auto" w:fill="auto"/>
            <w:tcMar>
              <w:top w:w="89" w:type="dxa"/>
              <w:left w:w="89" w:type="dxa"/>
              <w:bottom w:w="89" w:type="dxa"/>
              <w:right w:w="89" w:type="dxa"/>
            </w:tcMar>
            <w:vAlign w:val="center"/>
          </w:tcPr>
          <w:p w14:paraId="3B4685A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3F594F1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00" w:type="dxa"/>
            <w:shd w:val="clear" w:color="auto" w:fill="auto"/>
            <w:tcMar>
              <w:top w:w="89" w:type="dxa"/>
              <w:left w:w="89" w:type="dxa"/>
              <w:bottom w:w="89" w:type="dxa"/>
              <w:right w:w="89" w:type="dxa"/>
            </w:tcMar>
            <w:vAlign w:val="center"/>
          </w:tcPr>
          <w:p w14:paraId="62ECA0B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14:paraId="18D35AA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6C24D2F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03" w:type="dxa"/>
            <w:shd w:val="clear" w:color="auto" w:fill="auto"/>
            <w:tcMar>
              <w:top w:w="89" w:type="dxa"/>
              <w:left w:w="89" w:type="dxa"/>
              <w:bottom w:w="89" w:type="dxa"/>
              <w:right w:w="89" w:type="dxa"/>
            </w:tcMar>
            <w:vAlign w:val="center"/>
          </w:tcPr>
          <w:p w14:paraId="6E919B3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8" w:type="dxa"/>
            <w:shd w:val="clear" w:color="auto" w:fill="auto"/>
            <w:tcMar>
              <w:top w:w="89" w:type="dxa"/>
              <w:left w:w="89" w:type="dxa"/>
              <w:bottom w:w="89" w:type="dxa"/>
              <w:right w:w="89" w:type="dxa"/>
            </w:tcMar>
            <w:vAlign w:val="center"/>
          </w:tcPr>
          <w:p w14:paraId="2FDFB36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14:paraId="4D5D3B8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r>
      <w:tr w14:paraId="02A4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6C0C9E91">
            <w:pPr>
              <w:pStyle w:val="210"/>
              <w:widowControl/>
              <w:adjustRightInd w:val="0"/>
              <w:snapToGrid w:val="0"/>
              <w:spacing w:line="240" w:lineRule="auto"/>
              <w:textAlignment w:val="baseline"/>
              <w:rPr>
                <w:rFonts w:ascii="宋体" w:hAnsi="宋体" w:eastAsia="仿宋_GB2312" w:cs="宋体"/>
                <w:sz w:val="24"/>
              </w:rPr>
            </w:pPr>
          </w:p>
        </w:tc>
        <w:tc>
          <w:tcPr>
            <w:tcW w:w="549" w:type="dxa"/>
            <w:vMerge w:val="continue"/>
            <w:shd w:val="clear" w:color="auto" w:fill="auto"/>
            <w:tcMar>
              <w:top w:w="89" w:type="dxa"/>
              <w:left w:w="89" w:type="dxa"/>
              <w:bottom w:w="89" w:type="dxa"/>
              <w:right w:w="89" w:type="dxa"/>
            </w:tcMar>
            <w:vAlign w:val="center"/>
          </w:tcPr>
          <w:p w14:paraId="66060283">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29F4F6E4">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副中心</w:t>
            </w:r>
          </w:p>
        </w:tc>
        <w:tc>
          <w:tcPr>
            <w:tcW w:w="495" w:type="dxa"/>
            <w:shd w:val="clear" w:color="auto" w:fill="auto"/>
            <w:tcMar>
              <w:top w:w="89" w:type="dxa"/>
              <w:left w:w="89" w:type="dxa"/>
              <w:bottom w:w="89" w:type="dxa"/>
              <w:right w:w="89" w:type="dxa"/>
            </w:tcMar>
            <w:vAlign w:val="center"/>
          </w:tcPr>
          <w:p w14:paraId="25FC621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22</w:t>
            </w:r>
          </w:p>
        </w:tc>
        <w:tc>
          <w:tcPr>
            <w:tcW w:w="495" w:type="dxa"/>
            <w:shd w:val="clear" w:color="auto" w:fill="auto"/>
            <w:tcMar>
              <w:top w:w="89" w:type="dxa"/>
              <w:left w:w="89" w:type="dxa"/>
              <w:bottom w:w="89" w:type="dxa"/>
              <w:right w:w="89" w:type="dxa"/>
            </w:tcMar>
            <w:vAlign w:val="center"/>
          </w:tcPr>
          <w:p w14:paraId="39A04C17">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02673066">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84" w:type="dxa"/>
            <w:shd w:val="clear" w:color="auto" w:fill="auto"/>
            <w:tcMar>
              <w:top w:w="89" w:type="dxa"/>
              <w:left w:w="89" w:type="dxa"/>
              <w:bottom w:w="89" w:type="dxa"/>
              <w:right w:w="89" w:type="dxa"/>
            </w:tcMar>
            <w:vAlign w:val="center"/>
          </w:tcPr>
          <w:p w14:paraId="040F74C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7" w:type="dxa"/>
            <w:shd w:val="clear" w:color="auto" w:fill="auto"/>
            <w:tcMar>
              <w:top w:w="89" w:type="dxa"/>
              <w:left w:w="89" w:type="dxa"/>
              <w:bottom w:w="89" w:type="dxa"/>
              <w:right w:w="89" w:type="dxa"/>
            </w:tcMar>
            <w:vAlign w:val="center"/>
          </w:tcPr>
          <w:p w14:paraId="436F158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14:paraId="2D2C7EB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3" w:type="dxa"/>
            <w:shd w:val="clear" w:color="auto" w:fill="auto"/>
            <w:tcMar>
              <w:top w:w="89" w:type="dxa"/>
              <w:left w:w="89" w:type="dxa"/>
              <w:bottom w:w="89" w:type="dxa"/>
              <w:right w:w="89" w:type="dxa"/>
            </w:tcMar>
            <w:vAlign w:val="center"/>
          </w:tcPr>
          <w:p w14:paraId="773103D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00AA4E3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514" w:type="dxa"/>
            <w:shd w:val="clear" w:color="auto" w:fill="auto"/>
            <w:tcMar>
              <w:top w:w="89" w:type="dxa"/>
              <w:left w:w="89" w:type="dxa"/>
              <w:bottom w:w="89" w:type="dxa"/>
              <w:right w:w="89" w:type="dxa"/>
            </w:tcMar>
            <w:vAlign w:val="center"/>
          </w:tcPr>
          <w:p w14:paraId="3D59B58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066FC89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9" w:type="dxa"/>
            <w:shd w:val="clear" w:color="auto" w:fill="auto"/>
            <w:tcMar>
              <w:top w:w="89" w:type="dxa"/>
              <w:left w:w="89" w:type="dxa"/>
              <w:bottom w:w="89" w:type="dxa"/>
              <w:right w:w="89" w:type="dxa"/>
            </w:tcMar>
            <w:vAlign w:val="center"/>
          </w:tcPr>
          <w:p w14:paraId="7B73186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3953625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30FB4ED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76F57A1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2" w:type="dxa"/>
            <w:shd w:val="clear" w:color="auto" w:fill="auto"/>
            <w:tcMar>
              <w:top w:w="89" w:type="dxa"/>
              <w:left w:w="89" w:type="dxa"/>
              <w:bottom w:w="89" w:type="dxa"/>
              <w:right w:w="89" w:type="dxa"/>
            </w:tcMar>
            <w:vAlign w:val="center"/>
          </w:tcPr>
          <w:p w14:paraId="04F3991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4233E5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41390E8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0" w:type="dxa"/>
            <w:shd w:val="clear" w:color="auto" w:fill="auto"/>
            <w:tcMar>
              <w:top w:w="89" w:type="dxa"/>
              <w:left w:w="89" w:type="dxa"/>
              <w:bottom w:w="89" w:type="dxa"/>
              <w:right w:w="89" w:type="dxa"/>
            </w:tcMar>
            <w:vAlign w:val="center"/>
          </w:tcPr>
          <w:p w14:paraId="502455A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4C84B3B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23482AF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49F4D20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48C287E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14:paraId="2F2EE3D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r>
      <w:tr w14:paraId="5482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6DE84B0E">
            <w:pPr>
              <w:pStyle w:val="210"/>
              <w:widowControl/>
              <w:adjustRightInd w:val="0"/>
              <w:snapToGrid w:val="0"/>
              <w:spacing w:line="240" w:lineRule="auto"/>
              <w:textAlignment w:val="baseline"/>
              <w:rPr>
                <w:rFonts w:ascii="宋体" w:hAnsi="宋体" w:eastAsia="仿宋_GB2312" w:cs="宋体"/>
                <w:sz w:val="24"/>
              </w:rPr>
            </w:pPr>
          </w:p>
        </w:tc>
        <w:tc>
          <w:tcPr>
            <w:tcW w:w="549" w:type="dxa"/>
            <w:shd w:val="clear" w:color="auto" w:fill="auto"/>
            <w:tcMar>
              <w:top w:w="89" w:type="dxa"/>
              <w:left w:w="89" w:type="dxa"/>
              <w:bottom w:w="89" w:type="dxa"/>
              <w:right w:w="89" w:type="dxa"/>
            </w:tcMar>
            <w:vAlign w:val="center"/>
          </w:tcPr>
          <w:p w14:paraId="0D781108">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14:paraId="7FBFAB13">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边缘集团</w:t>
            </w:r>
          </w:p>
        </w:tc>
        <w:tc>
          <w:tcPr>
            <w:tcW w:w="495" w:type="dxa"/>
            <w:shd w:val="clear" w:color="auto" w:fill="auto"/>
            <w:tcMar>
              <w:top w:w="89" w:type="dxa"/>
              <w:left w:w="89" w:type="dxa"/>
              <w:bottom w:w="89" w:type="dxa"/>
              <w:right w:w="89" w:type="dxa"/>
            </w:tcMar>
            <w:vAlign w:val="center"/>
          </w:tcPr>
          <w:p w14:paraId="0354B6A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4840F380">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01A5A06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14:paraId="4AB9FD0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562BF1C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4536FCA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14:paraId="5042F58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6858867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14:paraId="06B3911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079F521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14:paraId="28AF08F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0CCEC4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24DD0E9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6468B94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14:paraId="3AEE471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3B88961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262F77B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14:paraId="2D94E6D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5305C61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463A1B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49E2DC4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23A6B8C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DEE849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14:paraId="7E3B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37CB64DE">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14:paraId="2EE2BD5F">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2A2A8C68">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63EB92F6">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6C2D2746">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14:paraId="0B8E39F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24D00D1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5800B2A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14:paraId="46A858C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2F4E482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14:paraId="54AC454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4FCBA92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14:paraId="3C857EF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BC5CB4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449F22B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57A5536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14:paraId="165B9ED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63C510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60E7BD7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14:paraId="37B7806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60F0B0E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0D95D13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29C6CDA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4D0F4E8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41AED4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14:paraId="4119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4024E938">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14:paraId="2F2659F0">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14:paraId="3AA9CAD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75C71ADF">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17CDE38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84" w:type="dxa"/>
            <w:shd w:val="clear" w:color="auto" w:fill="auto"/>
            <w:tcMar>
              <w:top w:w="89" w:type="dxa"/>
              <w:left w:w="89" w:type="dxa"/>
              <w:bottom w:w="89" w:type="dxa"/>
              <w:right w:w="89" w:type="dxa"/>
            </w:tcMar>
            <w:vAlign w:val="center"/>
          </w:tcPr>
          <w:p w14:paraId="1865058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6B5ECFD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11D3CAD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14:paraId="4E17A22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3BE70E1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14:paraId="1CD526C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9326CE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14:paraId="5061DC3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711493F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8E5310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14:paraId="6507541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14:paraId="2BD93D1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14:paraId="17B5534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4A4D603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14:paraId="579C8E5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2A90AD2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01EE4F2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14:paraId="2CC1D0A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14:paraId="4AE3294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0BAD792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6DD9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0FBAC861">
            <w:pPr>
              <w:pStyle w:val="210"/>
              <w:widowControl/>
              <w:adjustRightInd w:val="0"/>
              <w:snapToGrid w:val="0"/>
              <w:spacing w:line="240" w:lineRule="auto"/>
              <w:textAlignment w:val="baseline"/>
              <w:rPr>
                <w:rFonts w:ascii="宋体" w:hAnsi="宋体" w:eastAsia="仿宋_GB2312" w:cs="宋体"/>
                <w:sz w:val="24"/>
              </w:rPr>
            </w:pPr>
          </w:p>
        </w:tc>
        <w:tc>
          <w:tcPr>
            <w:tcW w:w="2118" w:type="dxa"/>
            <w:gridSpan w:val="2"/>
            <w:shd w:val="clear" w:color="auto" w:fill="auto"/>
            <w:tcMar>
              <w:top w:w="89" w:type="dxa"/>
              <w:left w:w="89" w:type="dxa"/>
              <w:bottom w:w="89" w:type="dxa"/>
              <w:right w:w="89" w:type="dxa"/>
            </w:tcMar>
            <w:vAlign w:val="center"/>
          </w:tcPr>
          <w:p w14:paraId="29F35AA0">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14:paraId="34E73462">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264666ED">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67FE553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14:paraId="7F03F58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312384F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10EC998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14:paraId="311B7C7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6B3572F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14:paraId="170C1EE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F237D2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106AA69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240BCC4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0307ACA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0D8B22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14:paraId="33126E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0E333D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06FF33B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0AEBCC3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0B8F9E9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71A31C8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14:paraId="538A9B3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5262634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56F8D86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0D51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44" w:type="dxa"/>
            <w:vMerge w:val="restart"/>
            <w:shd w:val="clear" w:color="auto" w:fill="auto"/>
            <w:tcMar>
              <w:top w:w="89" w:type="dxa"/>
              <w:left w:w="89" w:type="dxa"/>
              <w:bottom w:w="89" w:type="dxa"/>
              <w:right w:w="89" w:type="dxa"/>
            </w:tcMar>
            <w:vAlign w:val="center"/>
          </w:tcPr>
          <w:p w14:paraId="5914286E">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49" w:type="dxa"/>
            <w:vMerge w:val="restart"/>
            <w:shd w:val="clear" w:color="auto" w:fill="auto"/>
            <w:tcMar>
              <w:top w:w="89" w:type="dxa"/>
              <w:left w:w="89" w:type="dxa"/>
              <w:bottom w:w="89" w:type="dxa"/>
              <w:right w:w="89" w:type="dxa"/>
            </w:tcMar>
            <w:vAlign w:val="center"/>
          </w:tcPr>
          <w:p w14:paraId="29437933">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14:paraId="06925C40">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7F4D55E8">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20</w:t>
            </w:r>
          </w:p>
        </w:tc>
        <w:tc>
          <w:tcPr>
            <w:tcW w:w="495" w:type="dxa"/>
            <w:shd w:val="clear" w:color="auto" w:fill="auto"/>
            <w:tcMar>
              <w:top w:w="89" w:type="dxa"/>
              <w:left w:w="89" w:type="dxa"/>
              <w:bottom w:w="89" w:type="dxa"/>
              <w:right w:w="89" w:type="dxa"/>
            </w:tcMar>
            <w:vAlign w:val="center"/>
          </w:tcPr>
          <w:p w14:paraId="10D4AB6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010F0626">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84" w:type="dxa"/>
            <w:shd w:val="clear" w:color="auto" w:fill="auto"/>
            <w:tcMar>
              <w:top w:w="89" w:type="dxa"/>
              <w:left w:w="89" w:type="dxa"/>
              <w:bottom w:w="89" w:type="dxa"/>
              <w:right w:w="89" w:type="dxa"/>
            </w:tcMar>
            <w:vAlign w:val="center"/>
          </w:tcPr>
          <w:p w14:paraId="6526252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7" w:type="dxa"/>
            <w:shd w:val="clear" w:color="auto" w:fill="auto"/>
            <w:tcMar>
              <w:top w:w="89" w:type="dxa"/>
              <w:left w:w="89" w:type="dxa"/>
              <w:bottom w:w="89" w:type="dxa"/>
              <w:right w:w="89" w:type="dxa"/>
            </w:tcMar>
            <w:vAlign w:val="center"/>
          </w:tcPr>
          <w:p w14:paraId="0A3F321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9" w:type="dxa"/>
            <w:shd w:val="clear" w:color="auto" w:fill="auto"/>
            <w:tcMar>
              <w:top w:w="89" w:type="dxa"/>
              <w:left w:w="89" w:type="dxa"/>
              <w:bottom w:w="89" w:type="dxa"/>
              <w:right w:w="89" w:type="dxa"/>
            </w:tcMar>
            <w:vAlign w:val="center"/>
          </w:tcPr>
          <w:p w14:paraId="3B4E84A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483" w:type="dxa"/>
            <w:shd w:val="clear" w:color="auto" w:fill="auto"/>
            <w:tcMar>
              <w:top w:w="89" w:type="dxa"/>
              <w:left w:w="89" w:type="dxa"/>
              <w:bottom w:w="89" w:type="dxa"/>
              <w:right w:w="89" w:type="dxa"/>
            </w:tcMar>
            <w:vAlign w:val="center"/>
          </w:tcPr>
          <w:p w14:paraId="174B541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7E5A8D8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20</w:t>
            </w:r>
          </w:p>
        </w:tc>
        <w:tc>
          <w:tcPr>
            <w:tcW w:w="514" w:type="dxa"/>
            <w:shd w:val="clear" w:color="auto" w:fill="auto"/>
            <w:tcMar>
              <w:top w:w="89" w:type="dxa"/>
              <w:left w:w="89" w:type="dxa"/>
              <w:bottom w:w="89" w:type="dxa"/>
              <w:right w:w="89" w:type="dxa"/>
            </w:tcMar>
            <w:vAlign w:val="center"/>
          </w:tcPr>
          <w:p w14:paraId="421DE5C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1808409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9" w:type="dxa"/>
            <w:shd w:val="clear" w:color="auto" w:fill="auto"/>
            <w:tcMar>
              <w:top w:w="89" w:type="dxa"/>
              <w:left w:w="89" w:type="dxa"/>
              <w:bottom w:w="89" w:type="dxa"/>
              <w:right w:w="89" w:type="dxa"/>
            </w:tcMar>
            <w:vAlign w:val="center"/>
          </w:tcPr>
          <w:p w14:paraId="1E230E8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756620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3D4E27B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1C22D6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2" w:type="dxa"/>
            <w:shd w:val="clear" w:color="auto" w:fill="auto"/>
            <w:tcMar>
              <w:top w:w="89" w:type="dxa"/>
              <w:left w:w="89" w:type="dxa"/>
              <w:bottom w:w="89" w:type="dxa"/>
              <w:right w:w="89" w:type="dxa"/>
            </w:tcMar>
            <w:vAlign w:val="center"/>
          </w:tcPr>
          <w:p w14:paraId="37145EB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7E03F86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0EEEB30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0" w:type="dxa"/>
            <w:shd w:val="clear" w:color="auto" w:fill="auto"/>
            <w:tcMar>
              <w:top w:w="89" w:type="dxa"/>
              <w:left w:w="89" w:type="dxa"/>
              <w:bottom w:w="89" w:type="dxa"/>
              <w:right w:w="89" w:type="dxa"/>
            </w:tcMar>
            <w:vAlign w:val="center"/>
          </w:tcPr>
          <w:p w14:paraId="2630B22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55B6F74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5B7D4D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4EE5499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002083C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30" w:type="dxa"/>
            <w:shd w:val="clear" w:color="auto" w:fill="auto"/>
            <w:tcMar>
              <w:top w:w="89" w:type="dxa"/>
              <w:left w:w="89" w:type="dxa"/>
              <w:bottom w:w="89" w:type="dxa"/>
              <w:right w:w="89" w:type="dxa"/>
            </w:tcMar>
            <w:vAlign w:val="center"/>
          </w:tcPr>
          <w:p w14:paraId="089C5C3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r>
      <w:tr w14:paraId="2833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355FFE6D">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14:paraId="3DCF15E4">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6FA6DEF2">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95" w:type="dxa"/>
            <w:shd w:val="clear" w:color="auto" w:fill="auto"/>
            <w:tcMar>
              <w:top w:w="89" w:type="dxa"/>
              <w:left w:w="89" w:type="dxa"/>
              <w:bottom w:w="89" w:type="dxa"/>
              <w:right w:w="89" w:type="dxa"/>
            </w:tcMar>
            <w:vAlign w:val="center"/>
          </w:tcPr>
          <w:p w14:paraId="65867E3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18</w:t>
            </w:r>
          </w:p>
        </w:tc>
        <w:tc>
          <w:tcPr>
            <w:tcW w:w="495" w:type="dxa"/>
            <w:shd w:val="clear" w:color="auto" w:fill="auto"/>
            <w:tcMar>
              <w:top w:w="89" w:type="dxa"/>
              <w:left w:w="89" w:type="dxa"/>
              <w:bottom w:w="89" w:type="dxa"/>
              <w:right w:w="89" w:type="dxa"/>
            </w:tcMar>
            <w:vAlign w:val="center"/>
          </w:tcPr>
          <w:p w14:paraId="065A7722">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6D7D8DA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84" w:type="dxa"/>
            <w:shd w:val="clear" w:color="auto" w:fill="auto"/>
            <w:tcMar>
              <w:top w:w="89" w:type="dxa"/>
              <w:left w:w="89" w:type="dxa"/>
              <w:bottom w:w="89" w:type="dxa"/>
              <w:right w:w="89" w:type="dxa"/>
            </w:tcMar>
            <w:vAlign w:val="center"/>
          </w:tcPr>
          <w:p w14:paraId="262B62D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242CD5C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482823D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14:paraId="677EB6E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4433A20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14:paraId="2ABA934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26D678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14:paraId="5AA0538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82E42D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AEF30F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4E1D96F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14:paraId="4EED6B6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4E82BF4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2859AC0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14:paraId="52C9C00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0F927D9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6CD72D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25968EB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487AF41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77F4BEB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14:paraId="6B39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6AC1CB1B">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14:paraId="6C072251">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1BFAE319">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95" w:type="dxa"/>
            <w:shd w:val="clear" w:color="auto" w:fill="auto"/>
            <w:tcMar>
              <w:top w:w="89" w:type="dxa"/>
              <w:left w:w="89" w:type="dxa"/>
              <w:bottom w:w="89" w:type="dxa"/>
              <w:right w:w="89" w:type="dxa"/>
            </w:tcMar>
            <w:vAlign w:val="center"/>
          </w:tcPr>
          <w:p w14:paraId="26CC4750">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1C27468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24838DF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14:paraId="02F4C0F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13916E3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47578B1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14:paraId="6B4A6F6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59099E5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14:paraId="4253535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72B80F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14:paraId="4FEA9A4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52CBBB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55C54EC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14:paraId="2C556FF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14:paraId="1D78A19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14:paraId="3784F7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4644D59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14:paraId="2681765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40D1543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14B30BA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14:paraId="2FEC894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14:paraId="5BD4056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5210C5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1AAD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5CF90D1E">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6CAA2AE9">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42AF0BB1">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0A8FF8D1">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7846A4C2">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14:paraId="5A5E281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0F2895B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0AA48EA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14:paraId="4DD1B7A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2353D3D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14:paraId="29C0FDD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F06A2A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14:paraId="71A1905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EBEA6F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34CFEA3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14:paraId="293C422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14:paraId="55B2D97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14:paraId="1CEA9E9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3FEC237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14:paraId="455D4DD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6F86182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0A1938E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14:paraId="0B5E73E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14:paraId="3486774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3C97AE3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6D44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7384BACD">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5ED16A88">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14:paraId="291EF361">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3DAA6CEF">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560554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311F2EF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7A55486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0CE03DF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14:paraId="587BCAD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3FA8123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14:paraId="794D3AB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6CE269E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7C032C7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189827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7D671E1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35A8249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14:paraId="3C95E20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4914CB3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6733D7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6682936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48BA406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333412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14:paraId="19E96F2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0F0B1F1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55606A6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00B7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12FD6747">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588525CD">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14:paraId="0379AFC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DEDE5C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23D81E57">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58D58DD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8B66BF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0FDA0FB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3" w:type="dxa"/>
            <w:shd w:val="clear" w:color="auto" w:fill="auto"/>
            <w:tcMar>
              <w:top w:w="89" w:type="dxa"/>
              <w:left w:w="89" w:type="dxa"/>
              <w:bottom w:w="89" w:type="dxa"/>
              <w:right w:w="89" w:type="dxa"/>
            </w:tcMar>
            <w:vAlign w:val="center"/>
          </w:tcPr>
          <w:p w14:paraId="3273124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1ED39CD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4" w:type="dxa"/>
            <w:shd w:val="clear" w:color="auto" w:fill="auto"/>
            <w:tcMar>
              <w:top w:w="89" w:type="dxa"/>
              <w:left w:w="89" w:type="dxa"/>
              <w:bottom w:w="89" w:type="dxa"/>
              <w:right w:w="89" w:type="dxa"/>
            </w:tcMar>
            <w:vAlign w:val="center"/>
          </w:tcPr>
          <w:p w14:paraId="00795EC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14A258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63A0DC9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871D60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585BC73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585ED5E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12" w:type="dxa"/>
            <w:shd w:val="clear" w:color="auto" w:fill="auto"/>
            <w:tcMar>
              <w:top w:w="89" w:type="dxa"/>
              <w:left w:w="89" w:type="dxa"/>
              <w:bottom w:w="89" w:type="dxa"/>
              <w:right w:w="89" w:type="dxa"/>
            </w:tcMar>
            <w:vAlign w:val="center"/>
          </w:tcPr>
          <w:p w14:paraId="1DD34EB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2BB4FED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994C5F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29C5493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297D167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19FCFB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14:paraId="4CE5B22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27235AB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6F70A7B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53B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restart"/>
            <w:shd w:val="clear" w:color="auto" w:fill="auto"/>
            <w:tcMar>
              <w:top w:w="89" w:type="dxa"/>
              <w:left w:w="89" w:type="dxa"/>
              <w:bottom w:w="89" w:type="dxa"/>
              <w:right w:w="89" w:type="dxa"/>
            </w:tcMar>
            <w:vAlign w:val="center"/>
          </w:tcPr>
          <w:p w14:paraId="5D068DC2">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49" w:type="dxa"/>
            <w:vMerge w:val="restart"/>
            <w:shd w:val="clear" w:color="auto" w:fill="auto"/>
            <w:tcMar>
              <w:top w:w="89" w:type="dxa"/>
              <w:left w:w="89" w:type="dxa"/>
              <w:bottom w:w="89" w:type="dxa"/>
              <w:right w:w="89" w:type="dxa"/>
            </w:tcMar>
            <w:vAlign w:val="center"/>
          </w:tcPr>
          <w:p w14:paraId="146DA249">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569" w:type="dxa"/>
            <w:shd w:val="clear" w:color="auto" w:fill="auto"/>
            <w:tcMar>
              <w:top w:w="89" w:type="dxa"/>
              <w:left w:w="89" w:type="dxa"/>
              <w:bottom w:w="89" w:type="dxa"/>
              <w:right w:w="89" w:type="dxa"/>
            </w:tcMar>
            <w:vAlign w:val="center"/>
          </w:tcPr>
          <w:p w14:paraId="50DD9DFE">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49DA46F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15</w:t>
            </w:r>
          </w:p>
        </w:tc>
        <w:tc>
          <w:tcPr>
            <w:tcW w:w="495" w:type="dxa"/>
            <w:shd w:val="clear" w:color="auto" w:fill="auto"/>
            <w:tcMar>
              <w:top w:w="89" w:type="dxa"/>
              <w:left w:w="89" w:type="dxa"/>
              <w:bottom w:w="89" w:type="dxa"/>
              <w:right w:w="89" w:type="dxa"/>
            </w:tcMar>
            <w:vAlign w:val="center"/>
          </w:tcPr>
          <w:p w14:paraId="5ED2A7BB">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1AEEF3C">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84" w:type="dxa"/>
            <w:shd w:val="clear" w:color="auto" w:fill="auto"/>
            <w:tcMar>
              <w:top w:w="89" w:type="dxa"/>
              <w:left w:w="89" w:type="dxa"/>
              <w:bottom w:w="89" w:type="dxa"/>
              <w:right w:w="89" w:type="dxa"/>
            </w:tcMar>
            <w:vAlign w:val="center"/>
          </w:tcPr>
          <w:p w14:paraId="0640EFD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7" w:type="dxa"/>
            <w:shd w:val="clear" w:color="auto" w:fill="auto"/>
            <w:tcMar>
              <w:top w:w="89" w:type="dxa"/>
              <w:left w:w="89" w:type="dxa"/>
              <w:bottom w:w="89" w:type="dxa"/>
              <w:right w:w="89" w:type="dxa"/>
            </w:tcMar>
            <w:vAlign w:val="center"/>
          </w:tcPr>
          <w:p w14:paraId="29DAB43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3EAEBEE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483" w:type="dxa"/>
            <w:shd w:val="clear" w:color="auto" w:fill="auto"/>
            <w:tcMar>
              <w:top w:w="89" w:type="dxa"/>
              <w:left w:w="89" w:type="dxa"/>
              <w:bottom w:w="89" w:type="dxa"/>
              <w:right w:w="89" w:type="dxa"/>
            </w:tcMar>
            <w:vAlign w:val="center"/>
          </w:tcPr>
          <w:p w14:paraId="28F1E91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9" w:type="dxa"/>
            <w:shd w:val="clear" w:color="auto" w:fill="auto"/>
            <w:tcMar>
              <w:top w:w="89" w:type="dxa"/>
              <w:left w:w="89" w:type="dxa"/>
              <w:bottom w:w="89" w:type="dxa"/>
              <w:right w:w="89" w:type="dxa"/>
            </w:tcMar>
            <w:vAlign w:val="center"/>
          </w:tcPr>
          <w:p w14:paraId="51308DE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18</w:t>
            </w:r>
          </w:p>
        </w:tc>
        <w:tc>
          <w:tcPr>
            <w:tcW w:w="514" w:type="dxa"/>
            <w:shd w:val="clear" w:color="auto" w:fill="auto"/>
            <w:tcMar>
              <w:top w:w="89" w:type="dxa"/>
              <w:left w:w="89" w:type="dxa"/>
              <w:bottom w:w="89" w:type="dxa"/>
              <w:right w:w="89" w:type="dxa"/>
            </w:tcMar>
            <w:vAlign w:val="center"/>
          </w:tcPr>
          <w:p w14:paraId="091ABD3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7E89F36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9" w:type="dxa"/>
            <w:shd w:val="clear" w:color="auto" w:fill="auto"/>
            <w:tcMar>
              <w:top w:w="89" w:type="dxa"/>
              <w:left w:w="89" w:type="dxa"/>
              <w:bottom w:w="89" w:type="dxa"/>
              <w:right w:w="89" w:type="dxa"/>
            </w:tcMar>
            <w:vAlign w:val="center"/>
          </w:tcPr>
          <w:p w14:paraId="311C53C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3400802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75F304E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6" w:type="dxa"/>
            <w:shd w:val="clear" w:color="auto" w:fill="auto"/>
            <w:tcMar>
              <w:top w:w="89" w:type="dxa"/>
              <w:left w:w="89" w:type="dxa"/>
              <w:bottom w:w="89" w:type="dxa"/>
              <w:right w:w="89" w:type="dxa"/>
            </w:tcMar>
            <w:vAlign w:val="center"/>
          </w:tcPr>
          <w:p w14:paraId="3D917FB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2" w:type="dxa"/>
            <w:shd w:val="clear" w:color="auto" w:fill="auto"/>
            <w:tcMar>
              <w:top w:w="89" w:type="dxa"/>
              <w:left w:w="89" w:type="dxa"/>
              <w:bottom w:w="89" w:type="dxa"/>
              <w:right w:w="89" w:type="dxa"/>
            </w:tcMar>
            <w:vAlign w:val="center"/>
          </w:tcPr>
          <w:p w14:paraId="3502FE4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78" w:type="dxa"/>
            <w:shd w:val="clear" w:color="auto" w:fill="auto"/>
            <w:tcMar>
              <w:top w:w="89" w:type="dxa"/>
              <w:left w:w="89" w:type="dxa"/>
              <w:bottom w:w="89" w:type="dxa"/>
              <w:right w:w="89" w:type="dxa"/>
            </w:tcMar>
            <w:vAlign w:val="center"/>
          </w:tcPr>
          <w:p w14:paraId="784F22A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7377C0E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0" w:type="dxa"/>
            <w:shd w:val="clear" w:color="auto" w:fill="auto"/>
            <w:tcMar>
              <w:top w:w="89" w:type="dxa"/>
              <w:left w:w="89" w:type="dxa"/>
              <w:bottom w:w="89" w:type="dxa"/>
              <w:right w:w="89" w:type="dxa"/>
            </w:tcMar>
            <w:vAlign w:val="center"/>
          </w:tcPr>
          <w:p w14:paraId="4184055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0789D70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25E0205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03" w:type="dxa"/>
            <w:shd w:val="clear" w:color="auto" w:fill="auto"/>
            <w:tcMar>
              <w:top w:w="89" w:type="dxa"/>
              <w:left w:w="89" w:type="dxa"/>
              <w:bottom w:w="89" w:type="dxa"/>
              <w:right w:w="89" w:type="dxa"/>
            </w:tcMar>
            <w:vAlign w:val="center"/>
          </w:tcPr>
          <w:p w14:paraId="773741D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8" w:type="dxa"/>
            <w:shd w:val="clear" w:color="auto" w:fill="auto"/>
            <w:tcMar>
              <w:top w:w="89" w:type="dxa"/>
              <w:left w:w="89" w:type="dxa"/>
              <w:bottom w:w="89" w:type="dxa"/>
              <w:right w:w="89" w:type="dxa"/>
            </w:tcMar>
            <w:vAlign w:val="center"/>
          </w:tcPr>
          <w:p w14:paraId="3E5CA18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530C595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r>
      <w:tr w14:paraId="46F6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3A395D25">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14:paraId="33B14334">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6E87DA34">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95" w:type="dxa"/>
            <w:shd w:val="clear" w:color="auto" w:fill="auto"/>
            <w:tcMar>
              <w:top w:w="89" w:type="dxa"/>
              <w:left w:w="89" w:type="dxa"/>
              <w:bottom w:w="89" w:type="dxa"/>
              <w:right w:w="89" w:type="dxa"/>
            </w:tcMar>
            <w:vAlign w:val="center"/>
          </w:tcPr>
          <w:p w14:paraId="4BE7F999">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12</w:t>
            </w:r>
          </w:p>
        </w:tc>
        <w:tc>
          <w:tcPr>
            <w:tcW w:w="495" w:type="dxa"/>
            <w:shd w:val="clear" w:color="auto" w:fill="auto"/>
            <w:tcMar>
              <w:top w:w="89" w:type="dxa"/>
              <w:left w:w="89" w:type="dxa"/>
              <w:bottom w:w="89" w:type="dxa"/>
              <w:right w:w="89" w:type="dxa"/>
            </w:tcMar>
            <w:vAlign w:val="center"/>
          </w:tcPr>
          <w:p w14:paraId="15FBE49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15D015FB">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00C57AC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7" w:type="dxa"/>
            <w:shd w:val="clear" w:color="auto" w:fill="auto"/>
            <w:tcMar>
              <w:top w:w="89" w:type="dxa"/>
              <w:left w:w="89" w:type="dxa"/>
              <w:bottom w:w="89" w:type="dxa"/>
              <w:right w:w="89" w:type="dxa"/>
            </w:tcMar>
            <w:vAlign w:val="center"/>
          </w:tcPr>
          <w:p w14:paraId="3047DFF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1F7A83B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483" w:type="dxa"/>
            <w:shd w:val="clear" w:color="auto" w:fill="auto"/>
            <w:tcMar>
              <w:top w:w="89" w:type="dxa"/>
              <w:left w:w="89" w:type="dxa"/>
              <w:bottom w:w="89" w:type="dxa"/>
              <w:right w:w="89" w:type="dxa"/>
            </w:tcMar>
            <w:vAlign w:val="center"/>
          </w:tcPr>
          <w:p w14:paraId="337A37E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9" w:type="dxa"/>
            <w:shd w:val="clear" w:color="auto" w:fill="auto"/>
            <w:tcMar>
              <w:top w:w="89" w:type="dxa"/>
              <w:left w:w="89" w:type="dxa"/>
              <w:bottom w:w="89" w:type="dxa"/>
              <w:right w:w="89" w:type="dxa"/>
            </w:tcMar>
            <w:vAlign w:val="center"/>
          </w:tcPr>
          <w:p w14:paraId="212F7A3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15</w:t>
            </w:r>
          </w:p>
        </w:tc>
        <w:tc>
          <w:tcPr>
            <w:tcW w:w="514" w:type="dxa"/>
            <w:shd w:val="clear" w:color="auto" w:fill="auto"/>
            <w:tcMar>
              <w:top w:w="89" w:type="dxa"/>
              <w:left w:w="89" w:type="dxa"/>
              <w:bottom w:w="89" w:type="dxa"/>
              <w:right w:w="89" w:type="dxa"/>
            </w:tcMar>
            <w:vAlign w:val="center"/>
          </w:tcPr>
          <w:p w14:paraId="73EB165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0408772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9" w:type="dxa"/>
            <w:shd w:val="clear" w:color="auto" w:fill="auto"/>
            <w:tcMar>
              <w:top w:w="89" w:type="dxa"/>
              <w:left w:w="89" w:type="dxa"/>
              <w:bottom w:w="89" w:type="dxa"/>
              <w:right w:w="89" w:type="dxa"/>
            </w:tcMar>
            <w:vAlign w:val="center"/>
          </w:tcPr>
          <w:p w14:paraId="44683EF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335C0AB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595B833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6" w:type="dxa"/>
            <w:shd w:val="clear" w:color="auto" w:fill="auto"/>
            <w:tcMar>
              <w:top w:w="89" w:type="dxa"/>
              <w:left w:w="89" w:type="dxa"/>
              <w:bottom w:w="89" w:type="dxa"/>
              <w:right w:w="89" w:type="dxa"/>
            </w:tcMar>
            <w:vAlign w:val="center"/>
          </w:tcPr>
          <w:p w14:paraId="750157E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2" w:type="dxa"/>
            <w:shd w:val="clear" w:color="auto" w:fill="auto"/>
            <w:tcMar>
              <w:top w:w="89" w:type="dxa"/>
              <w:left w:w="89" w:type="dxa"/>
              <w:bottom w:w="89" w:type="dxa"/>
              <w:right w:w="89" w:type="dxa"/>
            </w:tcMar>
            <w:vAlign w:val="center"/>
          </w:tcPr>
          <w:p w14:paraId="59DF31B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78" w:type="dxa"/>
            <w:shd w:val="clear" w:color="auto" w:fill="auto"/>
            <w:tcMar>
              <w:top w:w="89" w:type="dxa"/>
              <w:left w:w="89" w:type="dxa"/>
              <w:bottom w:w="89" w:type="dxa"/>
              <w:right w:w="89" w:type="dxa"/>
            </w:tcMar>
            <w:vAlign w:val="center"/>
          </w:tcPr>
          <w:p w14:paraId="06FF2D7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3444C25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0" w:type="dxa"/>
            <w:shd w:val="clear" w:color="auto" w:fill="auto"/>
            <w:tcMar>
              <w:top w:w="89" w:type="dxa"/>
              <w:left w:w="89" w:type="dxa"/>
              <w:bottom w:w="89" w:type="dxa"/>
              <w:right w:w="89" w:type="dxa"/>
            </w:tcMar>
            <w:vAlign w:val="center"/>
          </w:tcPr>
          <w:p w14:paraId="72D655C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0965A30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0269BC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03" w:type="dxa"/>
            <w:shd w:val="clear" w:color="auto" w:fill="auto"/>
            <w:tcMar>
              <w:top w:w="89" w:type="dxa"/>
              <w:left w:w="89" w:type="dxa"/>
              <w:bottom w:w="89" w:type="dxa"/>
              <w:right w:w="89" w:type="dxa"/>
            </w:tcMar>
            <w:vAlign w:val="center"/>
          </w:tcPr>
          <w:p w14:paraId="2D12E14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8" w:type="dxa"/>
            <w:shd w:val="clear" w:color="auto" w:fill="auto"/>
            <w:tcMar>
              <w:top w:w="89" w:type="dxa"/>
              <w:left w:w="89" w:type="dxa"/>
              <w:bottom w:w="89" w:type="dxa"/>
              <w:right w:w="89" w:type="dxa"/>
            </w:tcMar>
            <w:vAlign w:val="center"/>
          </w:tcPr>
          <w:p w14:paraId="43C31BF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7A841B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7E63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656F1582">
            <w:pPr>
              <w:pStyle w:val="210"/>
              <w:widowControl/>
              <w:adjustRightInd w:val="0"/>
              <w:snapToGrid w:val="0"/>
              <w:spacing w:line="240" w:lineRule="auto"/>
              <w:textAlignment w:val="baseline"/>
              <w:rPr>
                <w:rFonts w:ascii="宋体" w:hAnsi="宋体" w:eastAsia="仿宋_GB2312" w:cs="仿宋"/>
                <w:sz w:val="24"/>
                <w:szCs w:val="21"/>
              </w:rPr>
            </w:pPr>
          </w:p>
        </w:tc>
        <w:tc>
          <w:tcPr>
            <w:tcW w:w="549" w:type="dxa"/>
            <w:vMerge w:val="continue"/>
            <w:shd w:val="clear" w:color="auto" w:fill="auto"/>
            <w:tcMar>
              <w:top w:w="89" w:type="dxa"/>
              <w:left w:w="89" w:type="dxa"/>
              <w:bottom w:w="89" w:type="dxa"/>
              <w:right w:w="89" w:type="dxa"/>
            </w:tcMar>
            <w:vAlign w:val="center"/>
          </w:tcPr>
          <w:p w14:paraId="47AEA3EC">
            <w:pPr>
              <w:pStyle w:val="210"/>
              <w:widowControl/>
              <w:adjustRightInd w:val="0"/>
              <w:snapToGrid w:val="0"/>
              <w:spacing w:line="240" w:lineRule="auto"/>
              <w:textAlignment w:val="baseline"/>
              <w:rPr>
                <w:rFonts w:ascii="宋体" w:hAnsi="宋体" w:eastAsia="仿宋_GB2312" w:cs="仿宋"/>
                <w:sz w:val="24"/>
                <w:szCs w:val="21"/>
              </w:rPr>
            </w:pPr>
          </w:p>
        </w:tc>
        <w:tc>
          <w:tcPr>
            <w:tcW w:w="1569" w:type="dxa"/>
            <w:shd w:val="clear" w:color="auto" w:fill="auto"/>
            <w:tcMar>
              <w:top w:w="89" w:type="dxa"/>
              <w:left w:w="89" w:type="dxa"/>
              <w:bottom w:w="89" w:type="dxa"/>
              <w:right w:w="89" w:type="dxa"/>
            </w:tcMar>
            <w:vAlign w:val="center"/>
          </w:tcPr>
          <w:p w14:paraId="3616A153">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95" w:type="dxa"/>
            <w:shd w:val="clear" w:color="auto" w:fill="auto"/>
            <w:tcMar>
              <w:top w:w="89" w:type="dxa"/>
              <w:left w:w="89" w:type="dxa"/>
              <w:bottom w:w="89" w:type="dxa"/>
              <w:right w:w="89" w:type="dxa"/>
            </w:tcMar>
            <w:vAlign w:val="center"/>
          </w:tcPr>
          <w:p w14:paraId="04FF31C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25B7F4AB">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CA6F27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466C1B3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6F0CCF6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16720C7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14:paraId="4813A08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11A678E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14:paraId="6B87CCC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08C28D4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594EFDE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A3B093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6C0AE0E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0475106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14:paraId="4EF8EEC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6855968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7591133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4D80655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5B3498C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34E6E39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14:paraId="7DFDFC0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6521B4E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B6DCBA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10F4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527FD376">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2BA673F5">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95" w:type="dxa"/>
            <w:shd w:val="clear" w:color="auto" w:fill="auto"/>
            <w:tcMar>
              <w:top w:w="89" w:type="dxa"/>
              <w:left w:w="89" w:type="dxa"/>
              <w:bottom w:w="89" w:type="dxa"/>
              <w:right w:w="89" w:type="dxa"/>
            </w:tcMar>
            <w:vAlign w:val="center"/>
          </w:tcPr>
          <w:p w14:paraId="1BA6967D">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10</w:t>
            </w:r>
          </w:p>
        </w:tc>
        <w:tc>
          <w:tcPr>
            <w:tcW w:w="495" w:type="dxa"/>
            <w:shd w:val="clear" w:color="auto" w:fill="auto"/>
            <w:tcMar>
              <w:top w:w="89" w:type="dxa"/>
              <w:left w:w="89" w:type="dxa"/>
              <w:bottom w:w="89" w:type="dxa"/>
              <w:right w:w="89" w:type="dxa"/>
            </w:tcMar>
            <w:vAlign w:val="center"/>
          </w:tcPr>
          <w:p w14:paraId="1FF20194">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4F1A52D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3AFC079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EBF914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52A4514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483" w:type="dxa"/>
            <w:shd w:val="clear" w:color="auto" w:fill="auto"/>
            <w:tcMar>
              <w:top w:w="89" w:type="dxa"/>
              <w:left w:w="89" w:type="dxa"/>
              <w:bottom w:w="89" w:type="dxa"/>
              <w:right w:w="89" w:type="dxa"/>
            </w:tcMar>
            <w:vAlign w:val="center"/>
          </w:tcPr>
          <w:p w14:paraId="496B0ED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9" w:type="dxa"/>
            <w:shd w:val="clear" w:color="auto" w:fill="auto"/>
            <w:tcMar>
              <w:top w:w="89" w:type="dxa"/>
              <w:left w:w="89" w:type="dxa"/>
              <w:bottom w:w="89" w:type="dxa"/>
              <w:right w:w="89" w:type="dxa"/>
            </w:tcMar>
            <w:vAlign w:val="center"/>
          </w:tcPr>
          <w:p w14:paraId="411B37C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12</w:t>
            </w:r>
          </w:p>
        </w:tc>
        <w:tc>
          <w:tcPr>
            <w:tcW w:w="514" w:type="dxa"/>
            <w:shd w:val="clear" w:color="auto" w:fill="auto"/>
            <w:tcMar>
              <w:top w:w="89" w:type="dxa"/>
              <w:left w:w="89" w:type="dxa"/>
              <w:bottom w:w="89" w:type="dxa"/>
              <w:right w:w="89" w:type="dxa"/>
            </w:tcMar>
            <w:vAlign w:val="center"/>
          </w:tcPr>
          <w:p w14:paraId="003F920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5D40246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7302947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72D3913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1EACB58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46AB246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2" w:type="dxa"/>
            <w:shd w:val="clear" w:color="auto" w:fill="auto"/>
            <w:tcMar>
              <w:top w:w="89" w:type="dxa"/>
              <w:left w:w="89" w:type="dxa"/>
              <w:bottom w:w="89" w:type="dxa"/>
              <w:right w:w="89" w:type="dxa"/>
            </w:tcMar>
            <w:vAlign w:val="center"/>
          </w:tcPr>
          <w:p w14:paraId="417F39B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11C8D01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5913AF5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56B9D98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3FC154F0">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562C9CF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03" w:type="dxa"/>
            <w:shd w:val="clear" w:color="auto" w:fill="auto"/>
            <w:tcMar>
              <w:top w:w="89" w:type="dxa"/>
              <w:left w:w="89" w:type="dxa"/>
              <w:bottom w:w="89" w:type="dxa"/>
              <w:right w:w="89" w:type="dxa"/>
            </w:tcMar>
            <w:vAlign w:val="center"/>
          </w:tcPr>
          <w:p w14:paraId="35DACF9B">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280DC11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1C92A44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3C1A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0ADB8C06">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5B919689">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95" w:type="dxa"/>
            <w:shd w:val="clear" w:color="auto" w:fill="auto"/>
            <w:tcMar>
              <w:top w:w="89" w:type="dxa"/>
              <w:left w:w="89" w:type="dxa"/>
              <w:bottom w:w="89" w:type="dxa"/>
              <w:right w:w="89" w:type="dxa"/>
            </w:tcMar>
            <w:vAlign w:val="center"/>
          </w:tcPr>
          <w:p w14:paraId="16AFC051">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8</w:t>
            </w:r>
          </w:p>
        </w:tc>
        <w:tc>
          <w:tcPr>
            <w:tcW w:w="495" w:type="dxa"/>
            <w:shd w:val="clear" w:color="auto" w:fill="auto"/>
            <w:tcMar>
              <w:top w:w="89" w:type="dxa"/>
              <w:left w:w="89" w:type="dxa"/>
              <w:bottom w:w="89" w:type="dxa"/>
              <w:right w:w="89" w:type="dxa"/>
            </w:tcMar>
            <w:vAlign w:val="center"/>
          </w:tcPr>
          <w:p w14:paraId="4424D34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68F6DA5">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6118665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6488C9E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78F02DD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483" w:type="dxa"/>
            <w:shd w:val="clear" w:color="auto" w:fill="auto"/>
            <w:tcMar>
              <w:top w:w="89" w:type="dxa"/>
              <w:left w:w="89" w:type="dxa"/>
              <w:bottom w:w="89" w:type="dxa"/>
              <w:right w:w="89" w:type="dxa"/>
            </w:tcMar>
            <w:vAlign w:val="center"/>
          </w:tcPr>
          <w:p w14:paraId="642D9B0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6E9901E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10</w:t>
            </w:r>
          </w:p>
        </w:tc>
        <w:tc>
          <w:tcPr>
            <w:tcW w:w="514" w:type="dxa"/>
            <w:shd w:val="clear" w:color="auto" w:fill="auto"/>
            <w:tcMar>
              <w:top w:w="89" w:type="dxa"/>
              <w:left w:w="89" w:type="dxa"/>
              <w:bottom w:w="89" w:type="dxa"/>
              <w:right w:w="89" w:type="dxa"/>
            </w:tcMar>
            <w:vAlign w:val="center"/>
          </w:tcPr>
          <w:p w14:paraId="1C5AF30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4C92AE1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5877E9D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1954411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4BCFF458">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6" w:type="dxa"/>
            <w:shd w:val="clear" w:color="auto" w:fill="auto"/>
            <w:tcMar>
              <w:top w:w="89" w:type="dxa"/>
              <w:left w:w="89" w:type="dxa"/>
              <w:bottom w:w="89" w:type="dxa"/>
              <w:right w:w="89" w:type="dxa"/>
            </w:tcMar>
            <w:vAlign w:val="center"/>
          </w:tcPr>
          <w:p w14:paraId="08155CB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512" w:type="dxa"/>
            <w:shd w:val="clear" w:color="auto" w:fill="auto"/>
            <w:tcMar>
              <w:top w:w="89" w:type="dxa"/>
              <w:left w:w="89" w:type="dxa"/>
              <w:bottom w:w="89" w:type="dxa"/>
              <w:right w:w="89" w:type="dxa"/>
            </w:tcMar>
            <w:vAlign w:val="center"/>
          </w:tcPr>
          <w:p w14:paraId="2E62EE9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78" w:type="dxa"/>
            <w:shd w:val="clear" w:color="auto" w:fill="auto"/>
            <w:tcMar>
              <w:top w:w="89" w:type="dxa"/>
              <w:left w:w="89" w:type="dxa"/>
              <w:bottom w:w="89" w:type="dxa"/>
              <w:right w:w="89" w:type="dxa"/>
            </w:tcMar>
            <w:vAlign w:val="center"/>
          </w:tcPr>
          <w:p w14:paraId="2D5853B1">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162B25A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763D5B7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7512008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2D2145A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14:paraId="02E49AA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50D6A93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7C5E49B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7142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4" w:type="dxa"/>
            <w:vMerge w:val="continue"/>
            <w:shd w:val="clear" w:color="auto" w:fill="auto"/>
            <w:tcMar>
              <w:top w:w="89" w:type="dxa"/>
              <w:left w:w="89" w:type="dxa"/>
              <w:bottom w:w="89" w:type="dxa"/>
              <w:right w:w="89" w:type="dxa"/>
            </w:tcMar>
            <w:vAlign w:val="center"/>
          </w:tcPr>
          <w:p w14:paraId="2576D6FC">
            <w:pPr>
              <w:pStyle w:val="210"/>
              <w:widowControl/>
              <w:adjustRightInd w:val="0"/>
              <w:snapToGrid w:val="0"/>
              <w:spacing w:line="240" w:lineRule="auto"/>
              <w:textAlignment w:val="baseline"/>
              <w:rPr>
                <w:rFonts w:ascii="宋体" w:hAnsi="宋体" w:eastAsia="仿宋_GB2312" w:cs="仿宋"/>
                <w:sz w:val="24"/>
                <w:szCs w:val="21"/>
              </w:rPr>
            </w:pPr>
          </w:p>
        </w:tc>
        <w:tc>
          <w:tcPr>
            <w:tcW w:w="2118" w:type="dxa"/>
            <w:gridSpan w:val="2"/>
            <w:shd w:val="clear" w:color="auto" w:fill="auto"/>
            <w:tcMar>
              <w:top w:w="89" w:type="dxa"/>
              <w:left w:w="89" w:type="dxa"/>
              <w:bottom w:w="89" w:type="dxa"/>
              <w:right w:w="89" w:type="dxa"/>
            </w:tcMar>
            <w:vAlign w:val="center"/>
          </w:tcPr>
          <w:p w14:paraId="42857060">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95" w:type="dxa"/>
            <w:shd w:val="clear" w:color="auto" w:fill="auto"/>
            <w:tcMar>
              <w:top w:w="89" w:type="dxa"/>
              <w:left w:w="89" w:type="dxa"/>
              <w:bottom w:w="89" w:type="dxa"/>
              <w:right w:w="89" w:type="dxa"/>
            </w:tcMar>
            <w:vAlign w:val="center"/>
          </w:tcPr>
          <w:p w14:paraId="451EF540">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5</w:t>
            </w:r>
          </w:p>
        </w:tc>
        <w:tc>
          <w:tcPr>
            <w:tcW w:w="495" w:type="dxa"/>
            <w:shd w:val="clear" w:color="auto" w:fill="auto"/>
            <w:tcMar>
              <w:top w:w="89" w:type="dxa"/>
              <w:left w:w="89" w:type="dxa"/>
              <w:bottom w:w="89" w:type="dxa"/>
              <w:right w:w="89" w:type="dxa"/>
            </w:tcMar>
            <w:vAlign w:val="center"/>
          </w:tcPr>
          <w:p w14:paraId="1C088FAE">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22367C3A">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3</w:t>
            </w:r>
          </w:p>
        </w:tc>
        <w:tc>
          <w:tcPr>
            <w:tcW w:w="484" w:type="dxa"/>
            <w:shd w:val="clear" w:color="auto" w:fill="auto"/>
            <w:tcMar>
              <w:top w:w="89" w:type="dxa"/>
              <w:left w:w="89" w:type="dxa"/>
              <w:bottom w:w="89" w:type="dxa"/>
              <w:right w:w="89" w:type="dxa"/>
            </w:tcMar>
            <w:vAlign w:val="center"/>
          </w:tcPr>
          <w:p w14:paraId="5CA2F5F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7DE9805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9" w:type="dxa"/>
            <w:shd w:val="clear" w:color="auto" w:fill="auto"/>
            <w:tcMar>
              <w:top w:w="89" w:type="dxa"/>
              <w:left w:w="89" w:type="dxa"/>
              <w:bottom w:w="89" w:type="dxa"/>
              <w:right w:w="89" w:type="dxa"/>
            </w:tcMar>
            <w:vAlign w:val="center"/>
          </w:tcPr>
          <w:p w14:paraId="29D1430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5</w:t>
            </w:r>
          </w:p>
        </w:tc>
        <w:tc>
          <w:tcPr>
            <w:tcW w:w="483" w:type="dxa"/>
            <w:shd w:val="clear" w:color="auto" w:fill="auto"/>
            <w:tcMar>
              <w:top w:w="89" w:type="dxa"/>
              <w:left w:w="89" w:type="dxa"/>
              <w:bottom w:w="89" w:type="dxa"/>
              <w:right w:w="89" w:type="dxa"/>
            </w:tcMar>
            <w:vAlign w:val="center"/>
          </w:tcPr>
          <w:p w14:paraId="59DA244E">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41CD376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8</w:t>
            </w:r>
          </w:p>
        </w:tc>
        <w:tc>
          <w:tcPr>
            <w:tcW w:w="514" w:type="dxa"/>
            <w:shd w:val="clear" w:color="auto" w:fill="auto"/>
            <w:tcMar>
              <w:top w:w="89" w:type="dxa"/>
              <w:left w:w="89" w:type="dxa"/>
              <w:bottom w:w="89" w:type="dxa"/>
              <w:right w:w="89" w:type="dxa"/>
            </w:tcMar>
            <w:vAlign w:val="center"/>
          </w:tcPr>
          <w:p w14:paraId="7E031077">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5243C1A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9" w:type="dxa"/>
            <w:shd w:val="clear" w:color="auto" w:fill="auto"/>
            <w:tcMar>
              <w:top w:w="89" w:type="dxa"/>
              <w:left w:w="89" w:type="dxa"/>
              <w:bottom w:w="89" w:type="dxa"/>
              <w:right w:w="89" w:type="dxa"/>
            </w:tcMar>
            <w:vAlign w:val="center"/>
          </w:tcPr>
          <w:p w14:paraId="61B5B9C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6B124A2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4D4518D2">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6" w:type="dxa"/>
            <w:shd w:val="clear" w:color="auto" w:fill="auto"/>
            <w:tcMar>
              <w:top w:w="89" w:type="dxa"/>
              <w:left w:w="89" w:type="dxa"/>
              <w:bottom w:w="89" w:type="dxa"/>
              <w:right w:w="89" w:type="dxa"/>
            </w:tcMar>
            <w:vAlign w:val="center"/>
          </w:tcPr>
          <w:p w14:paraId="54CA0AF9">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12" w:type="dxa"/>
            <w:shd w:val="clear" w:color="auto" w:fill="auto"/>
            <w:tcMar>
              <w:top w:w="89" w:type="dxa"/>
              <w:left w:w="89" w:type="dxa"/>
              <w:bottom w:w="89" w:type="dxa"/>
              <w:right w:w="89" w:type="dxa"/>
            </w:tcMar>
            <w:vAlign w:val="center"/>
          </w:tcPr>
          <w:p w14:paraId="6BC53654">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78" w:type="dxa"/>
            <w:shd w:val="clear" w:color="auto" w:fill="auto"/>
            <w:tcMar>
              <w:top w:w="89" w:type="dxa"/>
              <w:left w:w="89" w:type="dxa"/>
              <w:bottom w:w="89" w:type="dxa"/>
              <w:right w:w="89" w:type="dxa"/>
            </w:tcMar>
            <w:vAlign w:val="center"/>
          </w:tcPr>
          <w:p w14:paraId="48C7849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7" w:type="dxa"/>
            <w:shd w:val="clear" w:color="auto" w:fill="auto"/>
            <w:tcMar>
              <w:top w:w="89" w:type="dxa"/>
              <w:left w:w="89" w:type="dxa"/>
              <w:bottom w:w="89" w:type="dxa"/>
              <w:right w:w="89" w:type="dxa"/>
            </w:tcMar>
            <w:vAlign w:val="center"/>
          </w:tcPr>
          <w:p w14:paraId="7A9F33F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0" w:type="dxa"/>
            <w:shd w:val="clear" w:color="auto" w:fill="auto"/>
            <w:tcMar>
              <w:top w:w="89" w:type="dxa"/>
              <w:left w:w="89" w:type="dxa"/>
              <w:bottom w:w="89" w:type="dxa"/>
              <w:right w:w="89" w:type="dxa"/>
            </w:tcMar>
            <w:vAlign w:val="center"/>
          </w:tcPr>
          <w:p w14:paraId="5FF7CDF6">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9" w:type="dxa"/>
            <w:shd w:val="clear" w:color="auto" w:fill="auto"/>
            <w:tcMar>
              <w:top w:w="89" w:type="dxa"/>
              <w:left w:w="89" w:type="dxa"/>
              <w:bottom w:w="89" w:type="dxa"/>
              <w:right w:w="89" w:type="dxa"/>
            </w:tcMar>
            <w:vAlign w:val="center"/>
          </w:tcPr>
          <w:p w14:paraId="7EE26DF3">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95" w:type="dxa"/>
            <w:shd w:val="clear" w:color="auto" w:fill="auto"/>
            <w:tcMar>
              <w:top w:w="89" w:type="dxa"/>
              <w:left w:w="89" w:type="dxa"/>
              <w:bottom w:w="89" w:type="dxa"/>
              <w:right w:w="89" w:type="dxa"/>
            </w:tcMar>
            <w:vAlign w:val="center"/>
          </w:tcPr>
          <w:p w14:paraId="47E42F2F">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03" w:type="dxa"/>
            <w:shd w:val="clear" w:color="auto" w:fill="auto"/>
            <w:tcMar>
              <w:top w:w="89" w:type="dxa"/>
              <w:left w:w="89" w:type="dxa"/>
              <w:bottom w:w="89" w:type="dxa"/>
              <w:right w:w="89" w:type="dxa"/>
            </w:tcMar>
            <w:vAlign w:val="center"/>
          </w:tcPr>
          <w:p w14:paraId="6A353A7D">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488" w:type="dxa"/>
            <w:shd w:val="clear" w:color="auto" w:fill="auto"/>
            <w:tcMar>
              <w:top w:w="89" w:type="dxa"/>
              <w:left w:w="89" w:type="dxa"/>
              <w:bottom w:w="89" w:type="dxa"/>
              <w:right w:w="89" w:type="dxa"/>
            </w:tcMar>
            <w:vAlign w:val="center"/>
          </w:tcPr>
          <w:p w14:paraId="54CDE07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c>
          <w:tcPr>
            <w:tcW w:w="530" w:type="dxa"/>
            <w:shd w:val="clear" w:color="auto" w:fill="auto"/>
            <w:tcMar>
              <w:top w:w="89" w:type="dxa"/>
              <w:left w:w="89" w:type="dxa"/>
              <w:bottom w:w="89" w:type="dxa"/>
              <w:right w:w="89" w:type="dxa"/>
            </w:tcMar>
            <w:vAlign w:val="center"/>
          </w:tcPr>
          <w:p w14:paraId="3AC7D50C">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3</w:t>
            </w:r>
          </w:p>
        </w:tc>
      </w:tr>
      <w:tr w14:paraId="55F5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62" w:type="dxa"/>
            <w:gridSpan w:val="3"/>
            <w:shd w:val="clear" w:color="auto" w:fill="auto"/>
            <w:tcMar>
              <w:top w:w="89" w:type="dxa"/>
              <w:left w:w="89" w:type="dxa"/>
              <w:bottom w:w="89" w:type="dxa"/>
              <w:right w:w="89" w:type="dxa"/>
            </w:tcMar>
            <w:vAlign w:val="center"/>
          </w:tcPr>
          <w:p w14:paraId="023CA522">
            <w:pPr>
              <w:pStyle w:val="210"/>
              <w:widowControl/>
              <w:adjustRightInd w:val="0"/>
              <w:snapToGrid w:val="0"/>
              <w:spacing w:line="240" w:lineRule="auto"/>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495" w:type="dxa"/>
            <w:shd w:val="clear" w:color="auto" w:fill="auto"/>
            <w:tcMar>
              <w:top w:w="89" w:type="dxa"/>
              <w:left w:w="89" w:type="dxa"/>
              <w:bottom w:w="89" w:type="dxa"/>
              <w:right w:w="89" w:type="dxa"/>
            </w:tcMar>
            <w:vAlign w:val="center"/>
          </w:tcPr>
          <w:p w14:paraId="43A3D5A0">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1FD51518">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685B42F2">
            <w:pPr>
              <w:widowControl/>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2</w:t>
            </w:r>
          </w:p>
        </w:tc>
        <w:tc>
          <w:tcPr>
            <w:tcW w:w="484" w:type="dxa"/>
            <w:shd w:val="clear" w:color="auto" w:fill="auto"/>
            <w:tcMar>
              <w:top w:w="89" w:type="dxa"/>
              <w:left w:w="89" w:type="dxa"/>
              <w:bottom w:w="89" w:type="dxa"/>
              <w:right w:w="89" w:type="dxa"/>
            </w:tcMar>
            <w:vAlign w:val="center"/>
          </w:tcPr>
          <w:p w14:paraId="764EA9EA">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w:t>
            </w:r>
          </w:p>
        </w:tc>
        <w:tc>
          <w:tcPr>
            <w:tcW w:w="497" w:type="dxa"/>
            <w:shd w:val="clear" w:color="auto" w:fill="auto"/>
            <w:tcMar>
              <w:top w:w="89" w:type="dxa"/>
              <w:left w:w="89" w:type="dxa"/>
              <w:bottom w:w="89" w:type="dxa"/>
              <w:right w:w="89" w:type="dxa"/>
            </w:tcMar>
            <w:vAlign w:val="center"/>
          </w:tcPr>
          <w:p w14:paraId="6C99E275">
            <w:pPr>
              <w:widowControl/>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14:paraId="36239843">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3" w:type="dxa"/>
            <w:shd w:val="clear" w:color="auto" w:fill="auto"/>
            <w:tcMar>
              <w:top w:w="89" w:type="dxa"/>
              <w:left w:w="89" w:type="dxa"/>
              <w:bottom w:w="89" w:type="dxa"/>
              <w:right w:w="89" w:type="dxa"/>
            </w:tcMar>
            <w:vAlign w:val="center"/>
          </w:tcPr>
          <w:p w14:paraId="40CC0B1A">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14:paraId="5764B687">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14" w:type="dxa"/>
            <w:shd w:val="clear" w:color="auto" w:fill="auto"/>
            <w:tcMar>
              <w:top w:w="89" w:type="dxa"/>
              <w:left w:w="89" w:type="dxa"/>
              <w:bottom w:w="89" w:type="dxa"/>
              <w:right w:w="89" w:type="dxa"/>
            </w:tcMar>
            <w:vAlign w:val="center"/>
          </w:tcPr>
          <w:p w14:paraId="2147C9CD">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01F08DB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9" w:type="dxa"/>
            <w:shd w:val="clear" w:color="auto" w:fill="auto"/>
            <w:tcMar>
              <w:top w:w="89" w:type="dxa"/>
              <w:left w:w="89" w:type="dxa"/>
              <w:bottom w:w="89" w:type="dxa"/>
              <w:right w:w="89" w:type="dxa"/>
            </w:tcMar>
            <w:vAlign w:val="center"/>
          </w:tcPr>
          <w:p w14:paraId="5F99547F">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0264B088">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4DBF75EB">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6" w:type="dxa"/>
            <w:shd w:val="clear" w:color="auto" w:fill="auto"/>
            <w:tcMar>
              <w:top w:w="89" w:type="dxa"/>
              <w:left w:w="89" w:type="dxa"/>
              <w:bottom w:w="89" w:type="dxa"/>
              <w:right w:w="89" w:type="dxa"/>
            </w:tcMar>
            <w:vAlign w:val="center"/>
          </w:tcPr>
          <w:p w14:paraId="5F0C2AF1">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12" w:type="dxa"/>
            <w:shd w:val="clear" w:color="auto" w:fill="auto"/>
            <w:tcMar>
              <w:top w:w="89" w:type="dxa"/>
              <w:left w:w="89" w:type="dxa"/>
              <w:bottom w:w="89" w:type="dxa"/>
              <w:right w:w="89" w:type="dxa"/>
            </w:tcMar>
            <w:vAlign w:val="center"/>
          </w:tcPr>
          <w:p w14:paraId="6D61A759">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78" w:type="dxa"/>
            <w:shd w:val="clear" w:color="auto" w:fill="auto"/>
            <w:tcMar>
              <w:top w:w="89" w:type="dxa"/>
              <w:left w:w="89" w:type="dxa"/>
              <w:bottom w:w="89" w:type="dxa"/>
              <w:right w:w="89" w:type="dxa"/>
            </w:tcMar>
            <w:vAlign w:val="center"/>
          </w:tcPr>
          <w:p w14:paraId="59AF7B1C">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7" w:type="dxa"/>
            <w:shd w:val="clear" w:color="auto" w:fill="auto"/>
            <w:tcMar>
              <w:top w:w="89" w:type="dxa"/>
              <w:left w:w="89" w:type="dxa"/>
              <w:bottom w:w="89" w:type="dxa"/>
              <w:right w:w="89" w:type="dxa"/>
            </w:tcMar>
            <w:vAlign w:val="center"/>
          </w:tcPr>
          <w:p w14:paraId="50E96D0C">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00" w:type="dxa"/>
            <w:shd w:val="clear" w:color="auto" w:fill="auto"/>
            <w:tcMar>
              <w:top w:w="89" w:type="dxa"/>
              <w:left w:w="89" w:type="dxa"/>
              <w:bottom w:w="89" w:type="dxa"/>
              <w:right w:w="89" w:type="dxa"/>
            </w:tcMar>
            <w:vAlign w:val="center"/>
          </w:tcPr>
          <w:p w14:paraId="6CA9341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9" w:type="dxa"/>
            <w:shd w:val="clear" w:color="auto" w:fill="auto"/>
            <w:tcMar>
              <w:top w:w="89" w:type="dxa"/>
              <w:left w:w="89" w:type="dxa"/>
              <w:bottom w:w="89" w:type="dxa"/>
              <w:right w:w="89" w:type="dxa"/>
            </w:tcMar>
            <w:vAlign w:val="center"/>
          </w:tcPr>
          <w:p w14:paraId="1DB1B6E2">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95" w:type="dxa"/>
            <w:shd w:val="clear" w:color="auto" w:fill="auto"/>
            <w:tcMar>
              <w:top w:w="89" w:type="dxa"/>
              <w:left w:w="89" w:type="dxa"/>
              <w:bottom w:w="89" w:type="dxa"/>
              <w:right w:w="89" w:type="dxa"/>
            </w:tcMar>
            <w:vAlign w:val="center"/>
          </w:tcPr>
          <w:p w14:paraId="7E9EB32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03" w:type="dxa"/>
            <w:shd w:val="clear" w:color="auto" w:fill="auto"/>
            <w:tcMar>
              <w:top w:w="89" w:type="dxa"/>
              <w:left w:w="89" w:type="dxa"/>
              <w:bottom w:w="89" w:type="dxa"/>
              <w:right w:w="89" w:type="dxa"/>
            </w:tcMar>
            <w:vAlign w:val="center"/>
          </w:tcPr>
          <w:p w14:paraId="44B08F0E">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488" w:type="dxa"/>
            <w:shd w:val="clear" w:color="auto" w:fill="auto"/>
            <w:tcMar>
              <w:top w:w="89" w:type="dxa"/>
              <w:left w:w="89" w:type="dxa"/>
              <w:bottom w:w="89" w:type="dxa"/>
              <w:right w:w="89" w:type="dxa"/>
            </w:tcMar>
            <w:vAlign w:val="center"/>
          </w:tcPr>
          <w:p w14:paraId="518AB0FC">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c>
          <w:tcPr>
            <w:tcW w:w="530" w:type="dxa"/>
            <w:shd w:val="clear" w:color="auto" w:fill="auto"/>
            <w:tcMar>
              <w:top w:w="89" w:type="dxa"/>
              <w:left w:w="89" w:type="dxa"/>
              <w:bottom w:w="89" w:type="dxa"/>
              <w:right w:w="89" w:type="dxa"/>
            </w:tcMar>
            <w:vAlign w:val="center"/>
          </w:tcPr>
          <w:p w14:paraId="6F66E895">
            <w:pPr>
              <w:widowControl/>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2</w:t>
            </w:r>
          </w:p>
        </w:tc>
      </w:tr>
      <w:bookmarkEnd w:id="681"/>
    </w:tbl>
    <w:p w14:paraId="099F2960">
      <w:pPr>
        <w:pStyle w:val="205"/>
        <w:spacing w:before="156" w:after="156"/>
        <w:rPr>
          <w:rFonts w:ascii="宋体" w:hAnsi="宋体"/>
          <w:bCs w:val="0"/>
          <w:sz w:val="24"/>
        </w:rPr>
      </w:pPr>
      <w:bookmarkStart w:id="682" w:name="_Hlk87456922"/>
    </w:p>
    <w:p w14:paraId="5361CDED">
      <w:pPr>
        <w:pStyle w:val="205"/>
        <w:spacing w:before="156" w:after="156"/>
        <w:rPr>
          <w:rFonts w:ascii="宋体" w:hAnsi="宋体"/>
          <w:bCs w:val="0"/>
          <w:sz w:val="24"/>
        </w:rPr>
      </w:pPr>
    </w:p>
    <w:p w14:paraId="632D8F92">
      <w:pPr>
        <w:pStyle w:val="205"/>
        <w:spacing w:before="156" w:after="156"/>
        <w:rPr>
          <w:rFonts w:ascii="宋体" w:hAnsi="宋体"/>
          <w:bCs w:val="0"/>
          <w:sz w:val="24"/>
        </w:rPr>
      </w:pPr>
    </w:p>
    <w:p w14:paraId="30A1F63B">
      <w:pPr>
        <w:pStyle w:val="205"/>
        <w:spacing w:before="156" w:after="156"/>
        <w:rPr>
          <w:rFonts w:ascii="宋体" w:hAnsi="宋体"/>
          <w:bCs w:val="0"/>
          <w:sz w:val="24"/>
        </w:rPr>
      </w:pPr>
    </w:p>
    <w:p w14:paraId="76BA6C90">
      <w:pPr>
        <w:pStyle w:val="205"/>
        <w:spacing w:before="156" w:after="156"/>
        <w:rPr>
          <w:rFonts w:ascii="宋体" w:hAnsi="宋体"/>
          <w:bCs w:val="0"/>
          <w:sz w:val="24"/>
        </w:rPr>
      </w:pPr>
      <w:r>
        <w:rPr>
          <w:rFonts w:hint="eastAsia" w:ascii="宋体" w:hAnsi="宋体"/>
          <w:bCs w:val="0"/>
          <w:sz w:val="24"/>
        </w:rPr>
        <w:t>表13—7</w:t>
      </w:r>
      <w:r>
        <w:rPr>
          <w:rFonts w:ascii="宋体" w:hAnsi="宋体"/>
          <w:bCs w:val="0"/>
          <w:sz w:val="24"/>
        </w:rPr>
        <w:t xml:space="preserve"> </w:t>
      </w:r>
      <w:r>
        <w:rPr>
          <w:rFonts w:hint="eastAsia" w:ascii="宋体" w:hAnsi="宋体"/>
          <w:bCs w:val="0"/>
          <w:sz w:val="24"/>
        </w:rPr>
        <w:t>建（构）筑物媒体立面照明亮度规划表（单位：cd/㎡）</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3046"/>
        <w:gridCol w:w="3049"/>
        <w:gridCol w:w="3049"/>
        <w:gridCol w:w="3046"/>
      </w:tblGrid>
      <w:tr w14:paraId="5BD8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14:paraId="248F32E7">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照明色彩模式</w:t>
            </w:r>
          </w:p>
        </w:tc>
        <w:tc>
          <w:tcPr>
            <w:tcW w:w="3046" w:type="dxa"/>
            <w:vAlign w:val="center"/>
          </w:tcPr>
          <w:p w14:paraId="4D854C76">
            <w:pPr>
              <w:pStyle w:val="190"/>
              <w:kinsoku w:val="0"/>
              <w:overflowPunct w:val="0"/>
              <w:jc w:val="center"/>
              <w:rPr>
                <w:rFonts w:ascii="宋体" w:hAnsi="宋体" w:eastAsia="仿宋_GB2312" w:cs="仿宋"/>
                <w:szCs w:val="21"/>
              </w:rPr>
            </w:pPr>
            <w:r>
              <w:rPr>
                <w:rFonts w:hint="eastAsia" w:ascii="宋体" w:hAnsi="宋体" w:eastAsia="仿宋_GB2312" w:cs="仿宋"/>
                <w:szCs w:val="21"/>
              </w:rPr>
              <w:t>白色模式</w:t>
            </w:r>
          </w:p>
        </w:tc>
        <w:tc>
          <w:tcPr>
            <w:tcW w:w="3049" w:type="dxa"/>
            <w:vAlign w:val="center"/>
          </w:tcPr>
          <w:p w14:paraId="448BE4E8">
            <w:pPr>
              <w:pStyle w:val="190"/>
              <w:kinsoku w:val="0"/>
              <w:overflowPunct w:val="0"/>
              <w:jc w:val="center"/>
              <w:rPr>
                <w:rFonts w:ascii="宋体" w:hAnsi="宋体" w:eastAsia="仿宋_GB2312" w:cs="仿宋"/>
                <w:szCs w:val="21"/>
              </w:rPr>
            </w:pPr>
            <w:r>
              <w:rPr>
                <w:rFonts w:hint="eastAsia" w:ascii="宋体" w:hAnsi="宋体" w:eastAsia="仿宋_GB2312" w:cs="仿宋"/>
                <w:szCs w:val="21"/>
              </w:rPr>
              <w:t>红色模式</w:t>
            </w:r>
          </w:p>
        </w:tc>
        <w:tc>
          <w:tcPr>
            <w:tcW w:w="3049" w:type="dxa"/>
            <w:vAlign w:val="center"/>
          </w:tcPr>
          <w:p w14:paraId="7AFB5E02">
            <w:pPr>
              <w:pStyle w:val="190"/>
              <w:kinsoku w:val="0"/>
              <w:overflowPunct w:val="0"/>
              <w:jc w:val="center"/>
              <w:rPr>
                <w:rFonts w:ascii="宋体" w:hAnsi="宋体" w:eastAsia="仿宋_GB2312" w:cs="仿宋"/>
                <w:szCs w:val="21"/>
              </w:rPr>
            </w:pPr>
            <w:r>
              <w:rPr>
                <w:rFonts w:hint="eastAsia" w:ascii="宋体" w:hAnsi="宋体" w:eastAsia="仿宋_GB2312" w:cs="仿宋"/>
                <w:szCs w:val="21"/>
              </w:rPr>
              <w:t>绿色模式</w:t>
            </w:r>
          </w:p>
        </w:tc>
        <w:tc>
          <w:tcPr>
            <w:tcW w:w="3046" w:type="dxa"/>
            <w:vAlign w:val="center"/>
          </w:tcPr>
          <w:p w14:paraId="2E524D19">
            <w:pPr>
              <w:pStyle w:val="190"/>
              <w:kinsoku w:val="0"/>
              <w:overflowPunct w:val="0"/>
              <w:jc w:val="center"/>
              <w:rPr>
                <w:rFonts w:ascii="宋体" w:hAnsi="宋体" w:eastAsia="仿宋_GB2312" w:cs="仿宋"/>
                <w:szCs w:val="21"/>
              </w:rPr>
            </w:pPr>
            <w:r>
              <w:rPr>
                <w:rFonts w:hint="eastAsia" w:ascii="宋体" w:hAnsi="宋体" w:eastAsia="仿宋_GB2312" w:cs="仿宋"/>
                <w:szCs w:val="21"/>
              </w:rPr>
              <w:t>蓝色模式</w:t>
            </w:r>
          </w:p>
        </w:tc>
      </w:tr>
      <w:tr w14:paraId="14A3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758" w:type="dxa"/>
            <w:vAlign w:val="center"/>
          </w:tcPr>
          <w:p w14:paraId="6BA6A4B2">
            <w:pPr>
              <w:pStyle w:val="82"/>
              <w:jc w:val="center"/>
              <w:rPr>
                <w:rFonts w:eastAsia="仿宋_GB2312" w:cs="仿宋"/>
                <w:kern w:val="2"/>
                <w:szCs w:val="21"/>
              </w:rPr>
            </w:pPr>
            <w:r>
              <w:rPr>
                <w:rFonts w:hint="eastAsia" w:eastAsia="仿宋_GB2312" w:cs="仿宋"/>
                <w:kern w:val="2"/>
                <w:szCs w:val="21"/>
              </w:rPr>
              <w:t>一类照明区</w:t>
            </w:r>
          </w:p>
        </w:tc>
        <w:tc>
          <w:tcPr>
            <w:tcW w:w="3046" w:type="dxa"/>
            <w:vAlign w:val="center"/>
          </w:tcPr>
          <w:p w14:paraId="210C7A58">
            <w:pPr>
              <w:pStyle w:val="82"/>
              <w:jc w:val="center"/>
              <w:rPr>
                <w:rFonts w:eastAsia="仿宋_GB2312" w:cs="仿宋"/>
                <w:kern w:val="2"/>
                <w:szCs w:val="21"/>
              </w:rPr>
            </w:pPr>
            <w:r>
              <w:rPr>
                <w:rFonts w:hint="eastAsia" w:eastAsia="仿宋_GB2312" w:cs="仿宋"/>
                <w:kern w:val="2"/>
                <w:szCs w:val="21"/>
              </w:rPr>
              <w:t>15</w:t>
            </w:r>
          </w:p>
        </w:tc>
        <w:tc>
          <w:tcPr>
            <w:tcW w:w="3049" w:type="dxa"/>
            <w:vAlign w:val="center"/>
          </w:tcPr>
          <w:p w14:paraId="49562EA0">
            <w:pPr>
              <w:pStyle w:val="82"/>
              <w:jc w:val="center"/>
              <w:rPr>
                <w:rFonts w:eastAsia="仿宋_GB2312" w:cs="仿宋"/>
                <w:kern w:val="2"/>
                <w:szCs w:val="21"/>
              </w:rPr>
            </w:pPr>
            <w:r>
              <w:rPr>
                <w:rFonts w:hint="eastAsia" w:eastAsia="仿宋_GB2312" w:cs="仿宋"/>
                <w:kern w:val="2"/>
                <w:szCs w:val="21"/>
              </w:rPr>
              <w:t>8</w:t>
            </w:r>
          </w:p>
        </w:tc>
        <w:tc>
          <w:tcPr>
            <w:tcW w:w="3049" w:type="dxa"/>
            <w:vAlign w:val="center"/>
          </w:tcPr>
          <w:p w14:paraId="13492921">
            <w:pPr>
              <w:pStyle w:val="82"/>
              <w:jc w:val="center"/>
              <w:rPr>
                <w:rFonts w:eastAsia="仿宋_GB2312" w:cs="仿宋"/>
                <w:kern w:val="2"/>
                <w:szCs w:val="21"/>
              </w:rPr>
            </w:pPr>
            <w:r>
              <w:rPr>
                <w:rFonts w:hint="eastAsia" w:eastAsia="仿宋_GB2312" w:cs="仿宋"/>
                <w:kern w:val="2"/>
                <w:szCs w:val="21"/>
              </w:rPr>
              <w:t>12</w:t>
            </w:r>
          </w:p>
        </w:tc>
        <w:tc>
          <w:tcPr>
            <w:tcW w:w="3046" w:type="dxa"/>
            <w:vAlign w:val="center"/>
          </w:tcPr>
          <w:p w14:paraId="768A46C4">
            <w:pPr>
              <w:pStyle w:val="82"/>
              <w:jc w:val="center"/>
              <w:rPr>
                <w:rFonts w:eastAsia="仿宋_GB2312" w:cs="仿宋"/>
                <w:kern w:val="2"/>
                <w:szCs w:val="21"/>
              </w:rPr>
            </w:pPr>
            <w:r>
              <w:rPr>
                <w:rFonts w:hint="eastAsia" w:eastAsia="仿宋_GB2312" w:cs="仿宋"/>
                <w:kern w:val="2"/>
                <w:szCs w:val="21"/>
              </w:rPr>
              <w:t>4</w:t>
            </w:r>
          </w:p>
        </w:tc>
      </w:tr>
      <w:tr w14:paraId="250F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14:paraId="6713B806">
            <w:pPr>
              <w:pStyle w:val="82"/>
              <w:jc w:val="center"/>
              <w:rPr>
                <w:rFonts w:eastAsia="仿宋_GB2312" w:cs="仿宋"/>
                <w:kern w:val="2"/>
                <w:szCs w:val="21"/>
              </w:rPr>
            </w:pPr>
            <w:r>
              <w:rPr>
                <w:rFonts w:hint="eastAsia" w:eastAsia="仿宋_GB2312" w:cs="仿宋"/>
                <w:kern w:val="2"/>
                <w:szCs w:val="21"/>
              </w:rPr>
              <w:t>二类照明区</w:t>
            </w:r>
          </w:p>
        </w:tc>
        <w:tc>
          <w:tcPr>
            <w:tcW w:w="3046" w:type="dxa"/>
            <w:vAlign w:val="center"/>
          </w:tcPr>
          <w:p w14:paraId="3E3A8816">
            <w:pPr>
              <w:pStyle w:val="82"/>
              <w:jc w:val="center"/>
              <w:rPr>
                <w:rFonts w:eastAsia="仿宋_GB2312" w:cs="仿宋"/>
                <w:kern w:val="2"/>
                <w:szCs w:val="21"/>
              </w:rPr>
            </w:pPr>
            <w:r>
              <w:rPr>
                <w:rFonts w:hint="eastAsia" w:eastAsia="仿宋_GB2312" w:cs="仿宋"/>
                <w:kern w:val="2"/>
                <w:szCs w:val="21"/>
              </w:rPr>
              <w:t>12</w:t>
            </w:r>
          </w:p>
        </w:tc>
        <w:tc>
          <w:tcPr>
            <w:tcW w:w="3049" w:type="dxa"/>
            <w:vAlign w:val="center"/>
          </w:tcPr>
          <w:p w14:paraId="5689D4EA">
            <w:pPr>
              <w:pStyle w:val="82"/>
              <w:jc w:val="center"/>
              <w:rPr>
                <w:rFonts w:eastAsia="仿宋_GB2312" w:cs="仿宋"/>
                <w:kern w:val="2"/>
                <w:szCs w:val="21"/>
              </w:rPr>
            </w:pPr>
            <w:r>
              <w:rPr>
                <w:rFonts w:hint="eastAsia" w:eastAsia="仿宋_GB2312" w:cs="仿宋"/>
                <w:kern w:val="2"/>
                <w:szCs w:val="21"/>
              </w:rPr>
              <w:t>6</w:t>
            </w:r>
          </w:p>
        </w:tc>
        <w:tc>
          <w:tcPr>
            <w:tcW w:w="3049" w:type="dxa"/>
            <w:vAlign w:val="center"/>
          </w:tcPr>
          <w:p w14:paraId="17E2FA9F">
            <w:pPr>
              <w:pStyle w:val="82"/>
              <w:jc w:val="center"/>
              <w:rPr>
                <w:rFonts w:eastAsia="仿宋_GB2312" w:cs="仿宋"/>
                <w:kern w:val="2"/>
                <w:szCs w:val="21"/>
              </w:rPr>
            </w:pPr>
            <w:r>
              <w:rPr>
                <w:rFonts w:hint="eastAsia" w:eastAsia="仿宋_GB2312" w:cs="仿宋"/>
                <w:kern w:val="2"/>
                <w:szCs w:val="21"/>
              </w:rPr>
              <w:t>8</w:t>
            </w:r>
          </w:p>
        </w:tc>
        <w:tc>
          <w:tcPr>
            <w:tcW w:w="3046" w:type="dxa"/>
            <w:vAlign w:val="center"/>
          </w:tcPr>
          <w:p w14:paraId="724CDDCC">
            <w:pPr>
              <w:pStyle w:val="82"/>
              <w:jc w:val="center"/>
              <w:rPr>
                <w:rFonts w:eastAsia="仿宋_GB2312" w:cs="仿宋"/>
                <w:kern w:val="2"/>
                <w:szCs w:val="21"/>
              </w:rPr>
            </w:pPr>
            <w:r>
              <w:rPr>
                <w:rFonts w:hint="eastAsia" w:eastAsia="仿宋_GB2312" w:cs="仿宋"/>
                <w:kern w:val="2"/>
                <w:szCs w:val="21"/>
              </w:rPr>
              <w:t>3</w:t>
            </w:r>
          </w:p>
        </w:tc>
      </w:tr>
      <w:tr w14:paraId="7A1E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58" w:type="dxa"/>
            <w:vAlign w:val="center"/>
          </w:tcPr>
          <w:p w14:paraId="202C8BF7">
            <w:pPr>
              <w:pStyle w:val="82"/>
              <w:jc w:val="center"/>
              <w:rPr>
                <w:rFonts w:eastAsia="仿宋_GB2312" w:cs="仿宋"/>
                <w:kern w:val="2"/>
                <w:szCs w:val="21"/>
              </w:rPr>
            </w:pPr>
            <w:r>
              <w:rPr>
                <w:rFonts w:hint="eastAsia" w:eastAsia="仿宋_GB2312" w:cs="仿宋"/>
                <w:kern w:val="2"/>
                <w:szCs w:val="21"/>
              </w:rPr>
              <w:t>三类照明区</w:t>
            </w:r>
          </w:p>
        </w:tc>
        <w:tc>
          <w:tcPr>
            <w:tcW w:w="3046" w:type="dxa"/>
            <w:vAlign w:val="center"/>
          </w:tcPr>
          <w:p w14:paraId="4BCFCF30">
            <w:pPr>
              <w:pStyle w:val="82"/>
              <w:jc w:val="center"/>
              <w:rPr>
                <w:rFonts w:eastAsia="仿宋_GB2312" w:cs="仿宋"/>
                <w:kern w:val="2"/>
                <w:szCs w:val="21"/>
              </w:rPr>
            </w:pPr>
            <w:r>
              <w:rPr>
                <w:rFonts w:hint="eastAsia" w:eastAsia="仿宋_GB2312" w:cs="仿宋"/>
                <w:kern w:val="2"/>
                <w:szCs w:val="21"/>
              </w:rPr>
              <w:t>8</w:t>
            </w:r>
          </w:p>
        </w:tc>
        <w:tc>
          <w:tcPr>
            <w:tcW w:w="3049" w:type="dxa"/>
            <w:vAlign w:val="center"/>
          </w:tcPr>
          <w:p w14:paraId="2FE98A0F">
            <w:pPr>
              <w:pStyle w:val="82"/>
              <w:jc w:val="center"/>
              <w:rPr>
                <w:rFonts w:eastAsia="仿宋_GB2312" w:cs="仿宋"/>
                <w:kern w:val="2"/>
                <w:szCs w:val="21"/>
              </w:rPr>
            </w:pPr>
            <w:r>
              <w:rPr>
                <w:rFonts w:hint="eastAsia" w:eastAsia="仿宋_GB2312" w:cs="仿宋"/>
                <w:kern w:val="2"/>
                <w:szCs w:val="21"/>
              </w:rPr>
              <w:t>4</w:t>
            </w:r>
          </w:p>
        </w:tc>
        <w:tc>
          <w:tcPr>
            <w:tcW w:w="3049" w:type="dxa"/>
            <w:vAlign w:val="center"/>
          </w:tcPr>
          <w:p w14:paraId="12CFD8D2">
            <w:pPr>
              <w:pStyle w:val="82"/>
              <w:jc w:val="center"/>
              <w:rPr>
                <w:rFonts w:eastAsia="仿宋_GB2312" w:cs="仿宋"/>
                <w:kern w:val="2"/>
                <w:szCs w:val="21"/>
              </w:rPr>
            </w:pPr>
            <w:r>
              <w:rPr>
                <w:rFonts w:hint="eastAsia" w:eastAsia="仿宋_GB2312" w:cs="仿宋"/>
                <w:kern w:val="2"/>
                <w:szCs w:val="21"/>
              </w:rPr>
              <w:t>6</w:t>
            </w:r>
          </w:p>
        </w:tc>
        <w:tc>
          <w:tcPr>
            <w:tcW w:w="3046" w:type="dxa"/>
            <w:vAlign w:val="center"/>
          </w:tcPr>
          <w:p w14:paraId="1AB07B0A">
            <w:pPr>
              <w:pStyle w:val="82"/>
              <w:jc w:val="center"/>
              <w:rPr>
                <w:rFonts w:eastAsia="仿宋_GB2312" w:cs="仿宋"/>
                <w:kern w:val="2"/>
                <w:szCs w:val="21"/>
              </w:rPr>
            </w:pPr>
            <w:r>
              <w:rPr>
                <w:rFonts w:hint="eastAsia" w:eastAsia="仿宋_GB2312" w:cs="仿宋"/>
                <w:kern w:val="2"/>
                <w:szCs w:val="21"/>
              </w:rPr>
              <w:t>2</w:t>
            </w:r>
          </w:p>
        </w:tc>
      </w:tr>
      <w:tr w14:paraId="2120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758" w:type="dxa"/>
            <w:vAlign w:val="center"/>
          </w:tcPr>
          <w:p w14:paraId="0716394D">
            <w:pPr>
              <w:pStyle w:val="82"/>
              <w:jc w:val="center"/>
              <w:rPr>
                <w:rFonts w:eastAsia="仿宋_GB2312" w:cs="仿宋"/>
                <w:kern w:val="2"/>
                <w:szCs w:val="21"/>
              </w:rPr>
            </w:pPr>
            <w:r>
              <w:rPr>
                <w:rFonts w:hint="eastAsia" w:eastAsia="仿宋_GB2312" w:cs="仿宋"/>
                <w:kern w:val="2"/>
                <w:szCs w:val="21"/>
              </w:rPr>
              <w:t>四类照明区</w:t>
            </w:r>
          </w:p>
        </w:tc>
        <w:tc>
          <w:tcPr>
            <w:tcW w:w="3046" w:type="dxa"/>
            <w:vAlign w:val="center"/>
          </w:tcPr>
          <w:p w14:paraId="1CED11F3">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9" w:type="dxa"/>
            <w:vAlign w:val="center"/>
          </w:tcPr>
          <w:p w14:paraId="4F5DF0F4">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9" w:type="dxa"/>
            <w:vAlign w:val="center"/>
          </w:tcPr>
          <w:p w14:paraId="63161FD5">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c>
          <w:tcPr>
            <w:tcW w:w="3046" w:type="dxa"/>
            <w:vAlign w:val="center"/>
          </w:tcPr>
          <w:p w14:paraId="4F054EEB">
            <w:pPr>
              <w:widowControl/>
              <w:jc w:val="center"/>
              <w:rPr>
                <w:rFonts w:ascii="宋体" w:hAnsi="宋体" w:eastAsia="仿宋_GB2312" w:cs="仿宋"/>
                <w:sz w:val="24"/>
                <w:szCs w:val="21"/>
              </w:rPr>
            </w:pPr>
            <w:r>
              <w:rPr>
                <w:rFonts w:hint="eastAsia" w:ascii="宋体" w:hAnsi="宋体" w:eastAsia="仿宋_GB2312" w:cs="仿宋"/>
                <w:sz w:val="24"/>
                <w:szCs w:val="21"/>
              </w:rPr>
              <w:t>不宜设置</w:t>
            </w:r>
          </w:p>
        </w:tc>
      </w:tr>
    </w:tbl>
    <w:p w14:paraId="20EABA05">
      <w:pPr>
        <w:pStyle w:val="205"/>
        <w:spacing w:before="156" w:after="156"/>
        <w:rPr>
          <w:rFonts w:ascii="宋体" w:hAnsi="宋体"/>
          <w:bCs w:val="0"/>
          <w:sz w:val="24"/>
        </w:rPr>
      </w:pPr>
      <w:r>
        <w:rPr>
          <w:rFonts w:hint="eastAsia" w:ascii="宋体" w:hAnsi="宋体"/>
          <w:bCs w:val="0"/>
          <w:sz w:val="24"/>
        </w:rPr>
        <w:t>表13—8</w:t>
      </w:r>
      <w:r>
        <w:rPr>
          <w:rFonts w:ascii="宋体" w:hAnsi="宋体"/>
          <w:bCs w:val="0"/>
          <w:sz w:val="24"/>
        </w:rPr>
        <w:t xml:space="preserve"> </w:t>
      </w:r>
      <w:r>
        <w:rPr>
          <w:rFonts w:hint="eastAsia" w:ascii="宋体" w:hAnsi="宋体"/>
          <w:bCs w:val="0"/>
          <w:sz w:val="24"/>
        </w:rPr>
        <w:t>建（构）筑物最大亮度、亮度对比度规划表</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6090"/>
        <w:gridCol w:w="6090"/>
      </w:tblGrid>
      <w:tr w14:paraId="78EC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46D53AC3">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6090" w:type="dxa"/>
            <w:vAlign w:val="center"/>
          </w:tcPr>
          <w:p w14:paraId="4F4373E1">
            <w:pPr>
              <w:pStyle w:val="190"/>
              <w:kinsoku w:val="0"/>
              <w:overflowPunct w:val="0"/>
              <w:jc w:val="center"/>
              <w:rPr>
                <w:rFonts w:ascii="宋体" w:hAnsi="宋体" w:eastAsia="仿宋_GB2312" w:cs="仿宋"/>
                <w:szCs w:val="21"/>
              </w:rPr>
            </w:pPr>
            <w:r>
              <w:rPr>
                <w:rFonts w:hint="eastAsia" w:ascii="宋体" w:hAnsi="宋体" w:eastAsia="仿宋_GB2312" w:cs="仿宋"/>
                <w:szCs w:val="21"/>
              </w:rPr>
              <w:t>建筑间亮度对比度</w:t>
            </w:r>
          </w:p>
        </w:tc>
        <w:tc>
          <w:tcPr>
            <w:tcW w:w="6090" w:type="dxa"/>
            <w:vAlign w:val="center"/>
          </w:tcPr>
          <w:p w14:paraId="6EE1ACF0">
            <w:pPr>
              <w:pStyle w:val="190"/>
              <w:kinsoku w:val="0"/>
              <w:overflowPunct w:val="0"/>
              <w:jc w:val="center"/>
              <w:rPr>
                <w:rFonts w:ascii="宋体" w:hAnsi="宋体" w:eastAsia="仿宋_GB2312" w:cs="仿宋"/>
                <w:szCs w:val="21"/>
              </w:rPr>
            </w:pPr>
            <w:r>
              <w:rPr>
                <w:rFonts w:hint="eastAsia" w:ascii="宋体" w:hAnsi="宋体" w:eastAsia="仿宋_GB2312" w:cs="仿宋"/>
                <w:szCs w:val="21"/>
              </w:rPr>
              <w:t>建筑内局部最高亮度（cd/㎡）</w:t>
            </w:r>
          </w:p>
        </w:tc>
      </w:tr>
      <w:tr w14:paraId="6DD0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6FF19BA4">
            <w:pPr>
              <w:pStyle w:val="82"/>
              <w:jc w:val="center"/>
              <w:rPr>
                <w:rFonts w:eastAsia="仿宋_GB2312" w:cs="仿宋"/>
                <w:kern w:val="2"/>
                <w:szCs w:val="21"/>
              </w:rPr>
            </w:pPr>
            <w:r>
              <w:rPr>
                <w:rFonts w:hint="eastAsia" w:eastAsia="仿宋_GB2312" w:cs="仿宋"/>
                <w:kern w:val="2"/>
                <w:szCs w:val="21"/>
              </w:rPr>
              <w:t>特级照明区</w:t>
            </w:r>
          </w:p>
        </w:tc>
        <w:tc>
          <w:tcPr>
            <w:tcW w:w="6090" w:type="dxa"/>
            <w:vAlign w:val="center"/>
          </w:tcPr>
          <w:p w14:paraId="37200368">
            <w:pPr>
              <w:pStyle w:val="82"/>
              <w:jc w:val="center"/>
              <w:rPr>
                <w:rFonts w:eastAsia="仿宋_GB2312"/>
                <w:szCs w:val="21"/>
              </w:rPr>
            </w:pPr>
            <w:r>
              <w:rPr>
                <w:rFonts w:hint="eastAsia" w:eastAsia="仿宋_GB2312"/>
                <w:szCs w:val="21"/>
              </w:rPr>
              <w:t>1:10</w:t>
            </w:r>
          </w:p>
        </w:tc>
        <w:tc>
          <w:tcPr>
            <w:tcW w:w="6090" w:type="dxa"/>
            <w:vAlign w:val="center"/>
          </w:tcPr>
          <w:p w14:paraId="53234216">
            <w:pPr>
              <w:pStyle w:val="82"/>
              <w:jc w:val="center"/>
              <w:rPr>
                <w:rFonts w:eastAsia="仿宋_GB2312"/>
                <w:szCs w:val="21"/>
              </w:rPr>
            </w:pPr>
            <w:r>
              <w:rPr>
                <w:rFonts w:hint="eastAsia" w:eastAsia="仿宋_GB2312"/>
                <w:szCs w:val="21"/>
              </w:rPr>
              <w:t>400</w:t>
            </w:r>
          </w:p>
        </w:tc>
      </w:tr>
      <w:tr w14:paraId="0283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0A9C233C">
            <w:pPr>
              <w:pStyle w:val="82"/>
              <w:jc w:val="center"/>
              <w:rPr>
                <w:rFonts w:eastAsia="仿宋_GB2312" w:cs="仿宋"/>
                <w:kern w:val="2"/>
                <w:szCs w:val="21"/>
              </w:rPr>
            </w:pPr>
            <w:r>
              <w:rPr>
                <w:rFonts w:hint="eastAsia" w:eastAsia="仿宋_GB2312" w:cs="仿宋"/>
                <w:kern w:val="2"/>
                <w:szCs w:val="21"/>
              </w:rPr>
              <w:t>一类照明区</w:t>
            </w:r>
          </w:p>
        </w:tc>
        <w:tc>
          <w:tcPr>
            <w:tcW w:w="6090" w:type="dxa"/>
            <w:vAlign w:val="center"/>
          </w:tcPr>
          <w:p w14:paraId="0164C272">
            <w:pPr>
              <w:pStyle w:val="82"/>
              <w:jc w:val="center"/>
              <w:rPr>
                <w:rFonts w:eastAsia="仿宋_GB2312"/>
                <w:szCs w:val="21"/>
              </w:rPr>
            </w:pPr>
            <w:r>
              <w:rPr>
                <w:rFonts w:hint="eastAsia" w:eastAsia="仿宋_GB2312"/>
                <w:szCs w:val="21"/>
              </w:rPr>
              <w:t>1:10</w:t>
            </w:r>
          </w:p>
        </w:tc>
        <w:tc>
          <w:tcPr>
            <w:tcW w:w="6090" w:type="dxa"/>
            <w:vAlign w:val="center"/>
          </w:tcPr>
          <w:p w14:paraId="2CF872E7">
            <w:pPr>
              <w:pStyle w:val="82"/>
              <w:jc w:val="center"/>
              <w:rPr>
                <w:rFonts w:eastAsia="仿宋_GB2312"/>
                <w:szCs w:val="21"/>
              </w:rPr>
            </w:pPr>
            <w:r>
              <w:rPr>
                <w:rFonts w:hint="eastAsia" w:eastAsia="仿宋_GB2312"/>
                <w:szCs w:val="21"/>
              </w:rPr>
              <w:t>250</w:t>
            </w:r>
          </w:p>
        </w:tc>
      </w:tr>
      <w:tr w14:paraId="7127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33D47D20">
            <w:pPr>
              <w:pStyle w:val="82"/>
              <w:jc w:val="center"/>
              <w:rPr>
                <w:rFonts w:eastAsia="仿宋_GB2312" w:cs="仿宋"/>
                <w:kern w:val="2"/>
                <w:szCs w:val="21"/>
              </w:rPr>
            </w:pPr>
            <w:r>
              <w:rPr>
                <w:rFonts w:hint="eastAsia" w:eastAsia="仿宋_GB2312" w:cs="仿宋"/>
                <w:kern w:val="2"/>
                <w:szCs w:val="21"/>
              </w:rPr>
              <w:t>二类照明区</w:t>
            </w:r>
          </w:p>
        </w:tc>
        <w:tc>
          <w:tcPr>
            <w:tcW w:w="6090" w:type="dxa"/>
            <w:vAlign w:val="center"/>
          </w:tcPr>
          <w:p w14:paraId="240C1A53">
            <w:pPr>
              <w:pStyle w:val="82"/>
              <w:jc w:val="center"/>
              <w:rPr>
                <w:rFonts w:eastAsia="仿宋_GB2312" w:cs="仿宋_GB2312"/>
                <w:szCs w:val="21"/>
              </w:rPr>
            </w:pPr>
            <w:r>
              <w:rPr>
                <w:rFonts w:hint="eastAsia" w:eastAsia="仿宋_GB2312"/>
                <w:szCs w:val="21"/>
              </w:rPr>
              <w:t>1:5</w:t>
            </w:r>
          </w:p>
        </w:tc>
        <w:tc>
          <w:tcPr>
            <w:tcW w:w="6090" w:type="dxa"/>
            <w:vAlign w:val="center"/>
          </w:tcPr>
          <w:p w14:paraId="667827E9">
            <w:pPr>
              <w:pStyle w:val="82"/>
              <w:jc w:val="center"/>
              <w:rPr>
                <w:rFonts w:eastAsia="仿宋_GB2312"/>
                <w:szCs w:val="21"/>
              </w:rPr>
            </w:pPr>
            <w:r>
              <w:rPr>
                <w:rFonts w:hint="eastAsia" w:eastAsia="仿宋_GB2312"/>
                <w:szCs w:val="21"/>
              </w:rPr>
              <w:t>75</w:t>
            </w:r>
          </w:p>
        </w:tc>
      </w:tr>
      <w:tr w14:paraId="2D3E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5E093ABD">
            <w:pPr>
              <w:pStyle w:val="82"/>
              <w:jc w:val="center"/>
              <w:rPr>
                <w:rFonts w:eastAsia="仿宋_GB2312" w:cs="仿宋"/>
                <w:kern w:val="2"/>
                <w:szCs w:val="21"/>
              </w:rPr>
            </w:pPr>
            <w:r>
              <w:rPr>
                <w:rFonts w:hint="eastAsia" w:eastAsia="仿宋_GB2312" w:cs="仿宋"/>
                <w:kern w:val="2"/>
                <w:szCs w:val="21"/>
              </w:rPr>
              <w:t>三类照明区</w:t>
            </w:r>
          </w:p>
        </w:tc>
        <w:tc>
          <w:tcPr>
            <w:tcW w:w="6090" w:type="dxa"/>
            <w:vAlign w:val="center"/>
          </w:tcPr>
          <w:p w14:paraId="70E7F1E8">
            <w:pPr>
              <w:pStyle w:val="82"/>
              <w:jc w:val="center"/>
              <w:rPr>
                <w:rFonts w:eastAsia="仿宋_GB2312" w:cs="仿宋_GB2312"/>
                <w:szCs w:val="21"/>
              </w:rPr>
            </w:pPr>
            <w:r>
              <w:rPr>
                <w:rFonts w:hint="eastAsia" w:eastAsia="仿宋_GB2312"/>
                <w:szCs w:val="21"/>
              </w:rPr>
              <w:t>1:3</w:t>
            </w:r>
          </w:p>
        </w:tc>
        <w:tc>
          <w:tcPr>
            <w:tcW w:w="6090" w:type="dxa"/>
            <w:vAlign w:val="center"/>
          </w:tcPr>
          <w:p w14:paraId="638C2D10">
            <w:pPr>
              <w:pStyle w:val="82"/>
              <w:jc w:val="center"/>
              <w:rPr>
                <w:rFonts w:eastAsia="仿宋_GB2312"/>
                <w:szCs w:val="21"/>
              </w:rPr>
            </w:pPr>
            <w:r>
              <w:rPr>
                <w:rFonts w:hint="eastAsia" w:eastAsia="仿宋_GB2312"/>
                <w:szCs w:val="21"/>
              </w:rPr>
              <w:t>50</w:t>
            </w:r>
          </w:p>
        </w:tc>
      </w:tr>
      <w:tr w14:paraId="10A5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68" w:type="dxa"/>
            <w:vAlign w:val="center"/>
          </w:tcPr>
          <w:p w14:paraId="158FC5BC">
            <w:pPr>
              <w:pStyle w:val="82"/>
              <w:jc w:val="center"/>
              <w:rPr>
                <w:rFonts w:eastAsia="仿宋_GB2312" w:cs="仿宋"/>
                <w:kern w:val="2"/>
                <w:szCs w:val="21"/>
              </w:rPr>
            </w:pPr>
            <w:r>
              <w:rPr>
                <w:rFonts w:hint="eastAsia" w:eastAsia="仿宋_GB2312" w:cs="仿宋"/>
                <w:kern w:val="2"/>
                <w:szCs w:val="21"/>
              </w:rPr>
              <w:t>四类照明区</w:t>
            </w:r>
          </w:p>
        </w:tc>
        <w:tc>
          <w:tcPr>
            <w:tcW w:w="6090" w:type="dxa"/>
            <w:vAlign w:val="center"/>
          </w:tcPr>
          <w:p w14:paraId="71492CD9">
            <w:pPr>
              <w:pStyle w:val="82"/>
              <w:jc w:val="center"/>
              <w:rPr>
                <w:rFonts w:eastAsia="仿宋_GB2312"/>
                <w:szCs w:val="21"/>
              </w:rPr>
            </w:pPr>
            <w:r>
              <w:rPr>
                <w:rFonts w:hint="eastAsia" w:eastAsia="仿宋_GB2312"/>
                <w:szCs w:val="21"/>
              </w:rPr>
              <w:t>1:2</w:t>
            </w:r>
          </w:p>
        </w:tc>
        <w:tc>
          <w:tcPr>
            <w:tcW w:w="6090" w:type="dxa"/>
            <w:vAlign w:val="center"/>
          </w:tcPr>
          <w:p w14:paraId="318DAAA1">
            <w:pPr>
              <w:pStyle w:val="82"/>
              <w:jc w:val="center"/>
              <w:rPr>
                <w:rFonts w:eastAsia="仿宋_GB2312"/>
                <w:szCs w:val="21"/>
              </w:rPr>
            </w:pPr>
            <w:r>
              <w:rPr>
                <w:rFonts w:hint="eastAsia" w:eastAsia="仿宋_GB2312"/>
                <w:szCs w:val="21"/>
              </w:rPr>
              <w:t>25</w:t>
            </w:r>
          </w:p>
        </w:tc>
      </w:tr>
      <w:bookmarkEnd w:id="682"/>
    </w:tbl>
    <w:p w14:paraId="13F80477">
      <w:pPr>
        <w:pStyle w:val="205"/>
        <w:spacing w:before="0" w:beforeLines="0" w:after="0" w:afterLines="0"/>
        <w:rPr>
          <w:rFonts w:ascii="宋体" w:hAnsi="宋体"/>
          <w:bCs w:val="0"/>
          <w:sz w:val="24"/>
        </w:rPr>
      </w:pPr>
      <w:bookmarkStart w:id="683" w:name="_Hlk87456941"/>
      <w:r>
        <w:rPr>
          <w:rFonts w:hint="eastAsia" w:ascii="宋体" w:hAnsi="宋体"/>
          <w:bCs w:val="0"/>
          <w:sz w:val="24"/>
        </w:rPr>
        <w:t>表13—9建（构）筑物景观照明色温及彩光比例控制指引</w:t>
      </w:r>
    </w:p>
    <w:tbl>
      <w:tblPr>
        <w:tblStyle w:val="89"/>
        <w:tblpPr w:leftFromText="181" w:rightFromText="181" w:vertAnchor="text" w:horzAnchor="page" w:tblpX="1486" w:tblpY="114"/>
        <w:tblOverlap w:val="never"/>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537"/>
        <w:gridCol w:w="1797"/>
        <w:gridCol w:w="410"/>
        <w:gridCol w:w="389"/>
        <w:gridCol w:w="485"/>
        <w:gridCol w:w="474"/>
        <w:gridCol w:w="491"/>
        <w:gridCol w:w="480"/>
        <w:gridCol w:w="474"/>
        <w:gridCol w:w="480"/>
        <w:gridCol w:w="502"/>
        <w:gridCol w:w="234"/>
        <w:gridCol w:w="248"/>
        <w:gridCol w:w="488"/>
        <w:gridCol w:w="483"/>
        <w:gridCol w:w="483"/>
        <w:gridCol w:w="477"/>
        <w:gridCol w:w="505"/>
        <w:gridCol w:w="469"/>
        <w:gridCol w:w="488"/>
        <w:gridCol w:w="494"/>
        <w:gridCol w:w="480"/>
        <w:gridCol w:w="483"/>
        <w:gridCol w:w="494"/>
        <w:gridCol w:w="480"/>
        <w:gridCol w:w="485"/>
      </w:tblGrid>
      <w:tr w14:paraId="17A5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38" w:type="dxa"/>
            <w:vMerge w:val="restart"/>
            <w:shd w:val="clear" w:color="auto" w:fill="auto"/>
            <w:tcMar>
              <w:top w:w="89" w:type="dxa"/>
              <w:left w:w="89" w:type="dxa"/>
              <w:bottom w:w="89" w:type="dxa"/>
              <w:right w:w="89" w:type="dxa"/>
            </w:tcMar>
            <w:vAlign w:val="center"/>
          </w:tcPr>
          <w:p w14:paraId="19BA50FF">
            <w:pPr>
              <w:pStyle w:val="190"/>
              <w:kinsoku w:val="0"/>
              <w:overflowPunct w:val="0"/>
              <w:spacing w:line="260" w:lineRule="exact"/>
              <w:jc w:val="center"/>
              <w:rPr>
                <w:rFonts w:ascii="宋体" w:hAnsi="宋体" w:eastAsia="仿宋_GB2312" w:cs="仿宋"/>
                <w:szCs w:val="21"/>
              </w:rPr>
            </w:pPr>
            <w:bookmarkStart w:id="684" w:name="_Hlk86308306"/>
            <w:r>
              <w:rPr>
                <w:rFonts w:hint="eastAsia" w:ascii="宋体" w:hAnsi="宋体" w:eastAsia="仿宋_GB2312" w:cs="仿宋"/>
                <w:szCs w:val="21"/>
              </w:rPr>
              <w:t>照明分区</w:t>
            </w:r>
          </w:p>
        </w:tc>
        <w:tc>
          <w:tcPr>
            <w:tcW w:w="2334" w:type="dxa"/>
            <w:gridSpan w:val="2"/>
            <w:vMerge w:val="restart"/>
            <w:shd w:val="clear" w:color="auto" w:fill="auto"/>
            <w:tcMar>
              <w:top w:w="89" w:type="dxa"/>
              <w:left w:w="89" w:type="dxa"/>
              <w:bottom w:w="89" w:type="dxa"/>
              <w:right w:w="89" w:type="dxa"/>
            </w:tcMar>
            <w:vAlign w:val="center"/>
          </w:tcPr>
          <w:p w14:paraId="3BC976C5">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所属区域</w:t>
            </w:r>
          </w:p>
        </w:tc>
        <w:tc>
          <w:tcPr>
            <w:tcW w:w="2249" w:type="dxa"/>
            <w:gridSpan w:val="5"/>
            <w:shd w:val="clear" w:color="auto" w:fill="auto"/>
            <w:tcMar>
              <w:top w:w="89" w:type="dxa"/>
              <w:left w:w="89" w:type="dxa"/>
              <w:bottom w:w="89" w:type="dxa"/>
              <w:right w:w="89" w:type="dxa"/>
            </w:tcMar>
            <w:vAlign w:val="center"/>
          </w:tcPr>
          <w:p w14:paraId="49A3AE77">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06" w:type="dxa"/>
            <w:gridSpan w:val="7"/>
            <w:shd w:val="clear" w:color="auto" w:fill="auto"/>
            <w:tcMar>
              <w:top w:w="89" w:type="dxa"/>
              <w:left w:w="89" w:type="dxa"/>
              <w:bottom w:w="89" w:type="dxa"/>
              <w:right w:w="89" w:type="dxa"/>
            </w:tcMar>
            <w:vAlign w:val="center"/>
          </w:tcPr>
          <w:p w14:paraId="687C816D">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05" w:type="dxa"/>
            <w:gridSpan w:val="6"/>
            <w:shd w:val="clear" w:color="auto" w:fill="auto"/>
            <w:tcMar>
              <w:top w:w="89" w:type="dxa"/>
              <w:left w:w="89" w:type="dxa"/>
              <w:bottom w:w="89" w:type="dxa"/>
              <w:right w:w="89" w:type="dxa"/>
            </w:tcMar>
            <w:vAlign w:val="center"/>
          </w:tcPr>
          <w:p w14:paraId="0748D179">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2916" w:type="dxa"/>
            <w:gridSpan w:val="6"/>
            <w:shd w:val="clear" w:color="auto" w:fill="auto"/>
            <w:tcMar>
              <w:top w:w="89" w:type="dxa"/>
              <w:left w:w="89" w:type="dxa"/>
              <w:bottom w:w="89" w:type="dxa"/>
              <w:right w:w="89" w:type="dxa"/>
            </w:tcMar>
            <w:vAlign w:val="center"/>
          </w:tcPr>
          <w:p w14:paraId="67630611">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体量不突出</w:t>
            </w:r>
          </w:p>
        </w:tc>
      </w:tr>
      <w:tr w14:paraId="599A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638" w:type="dxa"/>
            <w:vMerge w:val="continue"/>
            <w:shd w:val="clear" w:color="auto" w:fill="auto"/>
            <w:vAlign w:val="center"/>
          </w:tcPr>
          <w:p w14:paraId="357BAF74">
            <w:pPr>
              <w:pStyle w:val="190"/>
              <w:kinsoku w:val="0"/>
              <w:overflowPunct w:val="0"/>
              <w:spacing w:line="260" w:lineRule="exact"/>
              <w:jc w:val="center"/>
              <w:rPr>
                <w:rFonts w:ascii="宋体" w:hAnsi="宋体" w:eastAsia="仿宋_GB2312" w:cs="仿宋"/>
                <w:szCs w:val="21"/>
              </w:rPr>
            </w:pPr>
          </w:p>
        </w:tc>
        <w:tc>
          <w:tcPr>
            <w:tcW w:w="2334" w:type="dxa"/>
            <w:gridSpan w:val="2"/>
            <w:vMerge w:val="continue"/>
            <w:shd w:val="clear" w:color="auto" w:fill="auto"/>
            <w:tcMar>
              <w:top w:w="89" w:type="dxa"/>
              <w:left w:w="89" w:type="dxa"/>
              <w:bottom w:w="89" w:type="dxa"/>
              <w:right w:w="89" w:type="dxa"/>
            </w:tcMar>
            <w:vAlign w:val="center"/>
          </w:tcPr>
          <w:p w14:paraId="13F7B763">
            <w:pPr>
              <w:pStyle w:val="190"/>
              <w:kinsoku w:val="0"/>
              <w:overflowPunct w:val="0"/>
              <w:spacing w:line="260" w:lineRule="exact"/>
              <w:jc w:val="center"/>
              <w:rPr>
                <w:rFonts w:ascii="宋体" w:hAnsi="宋体" w:eastAsia="仿宋_GB2312" w:cs="仿宋"/>
                <w:szCs w:val="21"/>
              </w:rPr>
            </w:pPr>
          </w:p>
        </w:tc>
        <w:tc>
          <w:tcPr>
            <w:tcW w:w="1284" w:type="dxa"/>
            <w:gridSpan w:val="3"/>
            <w:shd w:val="clear" w:color="auto" w:fill="auto"/>
            <w:tcMar>
              <w:top w:w="89" w:type="dxa"/>
              <w:left w:w="89" w:type="dxa"/>
              <w:bottom w:w="89" w:type="dxa"/>
              <w:right w:w="89" w:type="dxa"/>
            </w:tcMar>
            <w:vAlign w:val="center"/>
          </w:tcPr>
          <w:p w14:paraId="34212D8D">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74" w:type="dxa"/>
            <w:vMerge w:val="restart"/>
            <w:shd w:val="clear" w:color="auto" w:fill="auto"/>
            <w:tcMar>
              <w:top w:w="89" w:type="dxa"/>
              <w:left w:w="89" w:type="dxa"/>
              <w:bottom w:w="89" w:type="dxa"/>
              <w:right w:w="89" w:type="dxa"/>
            </w:tcMar>
            <w:vAlign w:val="center"/>
          </w:tcPr>
          <w:p w14:paraId="47DEF8E1">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1" w:type="dxa"/>
            <w:vMerge w:val="restart"/>
            <w:shd w:val="clear" w:color="auto" w:fill="auto"/>
            <w:tcMar>
              <w:top w:w="89" w:type="dxa"/>
              <w:left w:w="89" w:type="dxa"/>
              <w:bottom w:w="89" w:type="dxa"/>
              <w:right w:w="89" w:type="dxa"/>
            </w:tcMar>
            <w:vAlign w:val="center"/>
          </w:tcPr>
          <w:p w14:paraId="79C34947">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36" w:type="dxa"/>
            <w:gridSpan w:val="4"/>
            <w:shd w:val="clear" w:color="auto" w:fill="auto"/>
            <w:tcMar>
              <w:top w:w="89" w:type="dxa"/>
              <w:left w:w="89" w:type="dxa"/>
              <w:bottom w:w="89" w:type="dxa"/>
              <w:right w:w="89" w:type="dxa"/>
            </w:tcMar>
            <w:vAlign w:val="center"/>
          </w:tcPr>
          <w:p w14:paraId="0D4FC9CA">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2" w:type="dxa"/>
            <w:gridSpan w:val="2"/>
            <w:vMerge w:val="restart"/>
            <w:shd w:val="clear" w:color="auto" w:fill="auto"/>
            <w:tcMar>
              <w:top w:w="89" w:type="dxa"/>
              <w:left w:w="89" w:type="dxa"/>
              <w:bottom w:w="89" w:type="dxa"/>
              <w:right w:w="89" w:type="dxa"/>
            </w:tcMar>
            <w:vAlign w:val="center"/>
          </w:tcPr>
          <w:p w14:paraId="03E7818A">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8" w:type="dxa"/>
            <w:vMerge w:val="restart"/>
            <w:shd w:val="clear" w:color="auto" w:fill="auto"/>
            <w:tcMar>
              <w:top w:w="89" w:type="dxa"/>
              <w:left w:w="89" w:type="dxa"/>
              <w:bottom w:w="89" w:type="dxa"/>
              <w:right w:w="89" w:type="dxa"/>
            </w:tcMar>
            <w:vAlign w:val="center"/>
          </w:tcPr>
          <w:p w14:paraId="5A734872">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48" w:type="dxa"/>
            <w:gridSpan w:val="4"/>
            <w:shd w:val="clear" w:color="auto" w:fill="auto"/>
            <w:tcMar>
              <w:top w:w="89" w:type="dxa"/>
              <w:left w:w="89" w:type="dxa"/>
              <w:bottom w:w="89" w:type="dxa"/>
              <w:right w:w="89" w:type="dxa"/>
            </w:tcMar>
            <w:vAlign w:val="center"/>
          </w:tcPr>
          <w:p w14:paraId="70B0CC5B">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69" w:type="dxa"/>
            <w:vMerge w:val="restart"/>
            <w:shd w:val="clear" w:color="auto" w:fill="auto"/>
            <w:tcMar>
              <w:top w:w="89" w:type="dxa"/>
              <w:left w:w="89" w:type="dxa"/>
              <w:bottom w:w="89" w:type="dxa"/>
              <w:right w:w="89" w:type="dxa"/>
            </w:tcMar>
            <w:vAlign w:val="center"/>
          </w:tcPr>
          <w:p w14:paraId="30B5FD4C">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8" w:type="dxa"/>
            <w:vMerge w:val="restart"/>
            <w:shd w:val="clear" w:color="auto" w:fill="auto"/>
            <w:tcMar>
              <w:top w:w="89" w:type="dxa"/>
              <w:left w:w="89" w:type="dxa"/>
              <w:bottom w:w="89" w:type="dxa"/>
              <w:right w:w="89" w:type="dxa"/>
            </w:tcMar>
            <w:vAlign w:val="center"/>
          </w:tcPr>
          <w:p w14:paraId="39B98822">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51" w:type="dxa"/>
            <w:gridSpan w:val="4"/>
            <w:shd w:val="clear" w:color="auto" w:fill="auto"/>
            <w:tcMar>
              <w:top w:w="89" w:type="dxa"/>
              <w:left w:w="89" w:type="dxa"/>
              <w:bottom w:w="89" w:type="dxa"/>
              <w:right w:w="89" w:type="dxa"/>
            </w:tcMar>
            <w:vAlign w:val="center"/>
          </w:tcPr>
          <w:p w14:paraId="5C09E442">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0" w:type="dxa"/>
            <w:vMerge w:val="restart"/>
            <w:shd w:val="clear" w:color="auto" w:fill="auto"/>
            <w:tcMar>
              <w:top w:w="89" w:type="dxa"/>
              <w:left w:w="89" w:type="dxa"/>
              <w:bottom w:w="89" w:type="dxa"/>
              <w:right w:w="89" w:type="dxa"/>
            </w:tcMar>
            <w:vAlign w:val="center"/>
          </w:tcPr>
          <w:p w14:paraId="0A48A52B">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85" w:type="dxa"/>
            <w:vMerge w:val="restart"/>
            <w:shd w:val="clear" w:color="auto" w:fill="auto"/>
            <w:tcMar>
              <w:top w:w="89" w:type="dxa"/>
              <w:left w:w="89" w:type="dxa"/>
              <w:bottom w:w="89" w:type="dxa"/>
              <w:right w:w="89" w:type="dxa"/>
            </w:tcMar>
            <w:vAlign w:val="center"/>
          </w:tcPr>
          <w:p w14:paraId="455462A9">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r>
      <w:tr w14:paraId="3E55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blHeader/>
        </w:trPr>
        <w:tc>
          <w:tcPr>
            <w:tcW w:w="638" w:type="dxa"/>
            <w:vMerge w:val="continue"/>
            <w:shd w:val="clear" w:color="auto" w:fill="auto"/>
            <w:vAlign w:val="center"/>
          </w:tcPr>
          <w:p w14:paraId="395BF816">
            <w:pPr>
              <w:pStyle w:val="210"/>
              <w:widowControl/>
              <w:adjustRightInd w:val="0"/>
              <w:snapToGrid w:val="0"/>
              <w:spacing w:line="240" w:lineRule="exact"/>
              <w:textAlignment w:val="baseline"/>
              <w:rPr>
                <w:rFonts w:ascii="宋体" w:hAnsi="宋体" w:eastAsia="仿宋_GB2312"/>
                <w:sz w:val="24"/>
              </w:rPr>
            </w:pPr>
          </w:p>
        </w:tc>
        <w:tc>
          <w:tcPr>
            <w:tcW w:w="2334" w:type="dxa"/>
            <w:gridSpan w:val="2"/>
            <w:vMerge w:val="continue"/>
            <w:shd w:val="clear" w:color="auto" w:fill="auto"/>
            <w:tcMar>
              <w:top w:w="89" w:type="dxa"/>
              <w:left w:w="89" w:type="dxa"/>
              <w:bottom w:w="89" w:type="dxa"/>
              <w:right w:w="89" w:type="dxa"/>
            </w:tcMar>
            <w:vAlign w:val="center"/>
          </w:tcPr>
          <w:p w14:paraId="5918376C">
            <w:pPr>
              <w:pStyle w:val="210"/>
              <w:widowControl/>
              <w:adjustRightInd w:val="0"/>
              <w:snapToGrid w:val="0"/>
              <w:spacing w:line="240" w:lineRule="exact"/>
              <w:textAlignment w:val="baseline"/>
              <w:rPr>
                <w:rFonts w:ascii="宋体" w:hAnsi="宋体" w:eastAsia="仿宋_GB2312"/>
                <w:sz w:val="24"/>
              </w:rPr>
            </w:pPr>
          </w:p>
        </w:tc>
        <w:tc>
          <w:tcPr>
            <w:tcW w:w="410" w:type="dxa"/>
            <w:shd w:val="clear" w:color="auto" w:fill="auto"/>
            <w:tcMar>
              <w:top w:w="89" w:type="dxa"/>
              <w:left w:w="89" w:type="dxa"/>
              <w:bottom w:w="89" w:type="dxa"/>
              <w:right w:w="89" w:type="dxa"/>
            </w:tcMar>
            <w:vAlign w:val="center"/>
          </w:tcPr>
          <w:p w14:paraId="33CE9B75">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低层</w:t>
            </w:r>
          </w:p>
        </w:tc>
        <w:tc>
          <w:tcPr>
            <w:tcW w:w="389" w:type="dxa"/>
            <w:shd w:val="clear" w:color="auto" w:fill="auto"/>
            <w:tcMar>
              <w:top w:w="89" w:type="dxa"/>
              <w:left w:w="89" w:type="dxa"/>
              <w:bottom w:w="89" w:type="dxa"/>
              <w:right w:w="89" w:type="dxa"/>
            </w:tcMar>
            <w:vAlign w:val="center"/>
          </w:tcPr>
          <w:p w14:paraId="42185B97">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中层</w:t>
            </w:r>
          </w:p>
        </w:tc>
        <w:tc>
          <w:tcPr>
            <w:tcW w:w="485" w:type="dxa"/>
            <w:shd w:val="clear" w:color="auto" w:fill="auto"/>
            <w:tcMar>
              <w:top w:w="89" w:type="dxa"/>
              <w:left w:w="89" w:type="dxa"/>
              <w:bottom w:w="89" w:type="dxa"/>
              <w:right w:w="89" w:type="dxa"/>
            </w:tcMar>
            <w:vAlign w:val="center"/>
          </w:tcPr>
          <w:p w14:paraId="07059F08">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高层</w:t>
            </w:r>
          </w:p>
        </w:tc>
        <w:tc>
          <w:tcPr>
            <w:tcW w:w="474" w:type="dxa"/>
            <w:vMerge w:val="continue"/>
            <w:shd w:val="clear" w:color="auto" w:fill="auto"/>
            <w:vAlign w:val="center"/>
          </w:tcPr>
          <w:p w14:paraId="2F4E7B11">
            <w:pPr>
              <w:pStyle w:val="190"/>
              <w:kinsoku w:val="0"/>
              <w:overflowPunct w:val="0"/>
              <w:spacing w:line="240" w:lineRule="exact"/>
              <w:jc w:val="center"/>
              <w:rPr>
                <w:rFonts w:ascii="宋体" w:hAnsi="宋体" w:eastAsia="仿宋_GB2312" w:cs="仿宋"/>
                <w:szCs w:val="21"/>
              </w:rPr>
            </w:pPr>
          </w:p>
        </w:tc>
        <w:tc>
          <w:tcPr>
            <w:tcW w:w="491" w:type="dxa"/>
            <w:vMerge w:val="continue"/>
            <w:shd w:val="clear" w:color="auto" w:fill="auto"/>
            <w:vAlign w:val="center"/>
          </w:tcPr>
          <w:p w14:paraId="0333C2BC">
            <w:pPr>
              <w:pStyle w:val="190"/>
              <w:kinsoku w:val="0"/>
              <w:overflowPunct w:val="0"/>
              <w:spacing w:line="240" w:lineRule="exact"/>
              <w:jc w:val="center"/>
              <w:rPr>
                <w:rFonts w:ascii="宋体" w:hAnsi="宋体" w:eastAsia="仿宋_GB2312" w:cs="仿宋"/>
                <w:szCs w:val="21"/>
              </w:rPr>
            </w:pPr>
          </w:p>
        </w:tc>
        <w:tc>
          <w:tcPr>
            <w:tcW w:w="480" w:type="dxa"/>
            <w:shd w:val="clear" w:color="auto" w:fill="auto"/>
            <w:tcMar>
              <w:top w:w="89" w:type="dxa"/>
              <w:left w:w="89" w:type="dxa"/>
              <w:bottom w:w="89" w:type="dxa"/>
              <w:right w:w="89" w:type="dxa"/>
            </w:tcMar>
            <w:vAlign w:val="center"/>
          </w:tcPr>
          <w:p w14:paraId="75BFF800">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74" w:type="dxa"/>
            <w:shd w:val="clear" w:color="auto" w:fill="auto"/>
            <w:tcMar>
              <w:top w:w="89" w:type="dxa"/>
              <w:left w:w="89" w:type="dxa"/>
              <w:bottom w:w="89" w:type="dxa"/>
              <w:right w:w="89" w:type="dxa"/>
            </w:tcMar>
            <w:vAlign w:val="center"/>
          </w:tcPr>
          <w:p w14:paraId="6219895A">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80" w:type="dxa"/>
            <w:shd w:val="clear" w:color="auto" w:fill="auto"/>
            <w:tcMar>
              <w:top w:w="89" w:type="dxa"/>
              <w:left w:w="89" w:type="dxa"/>
              <w:bottom w:w="89" w:type="dxa"/>
              <w:right w:w="89" w:type="dxa"/>
            </w:tcMar>
            <w:vAlign w:val="center"/>
          </w:tcPr>
          <w:p w14:paraId="57B752C7">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502" w:type="dxa"/>
            <w:shd w:val="clear" w:color="auto" w:fill="auto"/>
            <w:tcMar>
              <w:top w:w="89" w:type="dxa"/>
              <w:left w:w="89" w:type="dxa"/>
              <w:bottom w:w="89" w:type="dxa"/>
              <w:right w:w="89" w:type="dxa"/>
            </w:tcMar>
            <w:vAlign w:val="center"/>
          </w:tcPr>
          <w:p w14:paraId="6FD7820B">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82" w:type="dxa"/>
            <w:gridSpan w:val="2"/>
            <w:vMerge w:val="continue"/>
            <w:shd w:val="clear" w:color="auto" w:fill="auto"/>
            <w:vAlign w:val="center"/>
          </w:tcPr>
          <w:p w14:paraId="4D598B7A">
            <w:pPr>
              <w:pStyle w:val="190"/>
              <w:kinsoku w:val="0"/>
              <w:overflowPunct w:val="0"/>
              <w:spacing w:line="240" w:lineRule="exact"/>
              <w:jc w:val="center"/>
              <w:rPr>
                <w:rFonts w:ascii="宋体" w:hAnsi="宋体" w:eastAsia="仿宋_GB2312" w:cs="仿宋"/>
                <w:szCs w:val="21"/>
              </w:rPr>
            </w:pPr>
          </w:p>
        </w:tc>
        <w:tc>
          <w:tcPr>
            <w:tcW w:w="488" w:type="dxa"/>
            <w:vMerge w:val="continue"/>
            <w:shd w:val="clear" w:color="auto" w:fill="auto"/>
            <w:vAlign w:val="center"/>
          </w:tcPr>
          <w:p w14:paraId="3F78860B">
            <w:pPr>
              <w:pStyle w:val="190"/>
              <w:kinsoku w:val="0"/>
              <w:overflowPunct w:val="0"/>
              <w:spacing w:line="240" w:lineRule="exact"/>
              <w:jc w:val="center"/>
              <w:rPr>
                <w:rFonts w:ascii="宋体" w:hAnsi="宋体" w:eastAsia="仿宋_GB2312" w:cs="仿宋"/>
                <w:szCs w:val="21"/>
              </w:rPr>
            </w:pPr>
          </w:p>
        </w:tc>
        <w:tc>
          <w:tcPr>
            <w:tcW w:w="483" w:type="dxa"/>
            <w:shd w:val="clear" w:color="auto" w:fill="auto"/>
            <w:tcMar>
              <w:top w:w="89" w:type="dxa"/>
              <w:left w:w="89" w:type="dxa"/>
              <w:bottom w:w="89" w:type="dxa"/>
              <w:right w:w="89" w:type="dxa"/>
            </w:tcMar>
            <w:vAlign w:val="center"/>
          </w:tcPr>
          <w:p w14:paraId="2C55083D">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14:paraId="3429E8F1">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77" w:type="dxa"/>
            <w:shd w:val="clear" w:color="auto" w:fill="auto"/>
            <w:tcMar>
              <w:top w:w="89" w:type="dxa"/>
              <w:left w:w="89" w:type="dxa"/>
              <w:bottom w:w="89" w:type="dxa"/>
              <w:right w:w="89" w:type="dxa"/>
            </w:tcMar>
            <w:vAlign w:val="center"/>
          </w:tcPr>
          <w:p w14:paraId="2BC79109">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505" w:type="dxa"/>
            <w:shd w:val="clear" w:color="auto" w:fill="auto"/>
            <w:tcMar>
              <w:top w:w="89" w:type="dxa"/>
              <w:left w:w="89" w:type="dxa"/>
              <w:bottom w:w="89" w:type="dxa"/>
              <w:right w:w="89" w:type="dxa"/>
            </w:tcMar>
            <w:vAlign w:val="center"/>
          </w:tcPr>
          <w:p w14:paraId="3883D8EA">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69" w:type="dxa"/>
            <w:vMerge w:val="continue"/>
            <w:shd w:val="clear" w:color="auto" w:fill="auto"/>
            <w:vAlign w:val="center"/>
          </w:tcPr>
          <w:p w14:paraId="508C8664">
            <w:pPr>
              <w:pStyle w:val="190"/>
              <w:kinsoku w:val="0"/>
              <w:overflowPunct w:val="0"/>
              <w:spacing w:line="240" w:lineRule="exact"/>
              <w:jc w:val="center"/>
              <w:rPr>
                <w:rFonts w:ascii="宋体" w:hAnsi="宋体" w:eastAsia="仿宋_GB2312" w:cs="仿宋"/>
                <w:szCs w:val="21"/>
              </w:rPr>
            </w:pPr>
          </w:p>
        </w:tc>
        <w:tc>
          <w:tcPr>
            <w:tcW w:w="488" w:type="dxa"/>
            <w:vMerge w:val="continue"/>
            <w:shd w:val="clear" w:color="auto" w:fill="auto"/>
            <w:vAlign w:val="center"/>
          </w:tcPr>
          <w:p w14:paraId="0206CD29">
            <w:pPr>
              <w:pStyle w:val="190"/>
              <w:kinsoku w:val="0"/>
              <w:overflowPunct w:val="0"/>
              <w:spacing w:line="240" w:lineRule="exact"/>
              <w:jc w:val="center"/>
              <w:rPr>
                <w:rFonts w:ascii="宋体" w:hAnsi="宋体" w:eastAsia="仿宋_GB2312" w:cs="仿宋"/>
                <w:szCs w:val="21"/>
              </w:rPr>
            </w:pPr>
          </w:p>
        </w:tc>
        <w:tc>
          <w:tcPr>
            <w:tcW w:w="494" w:type="dxa"/>
            <w:shd w:val="clear" w:color="auto" w:fill="auto"/>
            <w:tcMar>
              <w:top w:w="89" w:type="dxa"/>
              <w:left w:w="89" w:type="dxa"/>
              <w:bottom w:w="89" w:type="dxa"/>
              <w:right w:w="89" w:type="dxa"/>
            </w:tcMar>
            <w:vAlign w:val="center"/>
          </w:tcPr>
          <w:p w14:paraId="4E139DC5">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政务</w:t>
            </w:r>
          </w:p>
        </w:tc>
        <w:tc>
          <w:tcPr>
            <w:tcW w:w="480" w:type="dxa"/>
            <w:shd w:val="clear" w:color="auto" w:fill="auto"/>
            <w:tcMar>
              <w:top w:w="89" w:type="dxa"/>
              <w:left w:w="89" w:type="dxa"/>
              <w:bottom w:w="89" w:type="dxa"/>
              <w:right w:w="89" w:type="dxa"/>
            </w:tcMar>
            <w:vAlign w:val="center"/>
          </w:tcPr>
          <w:p w14:paraId="353D197C">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文化</w:t>
            </w:r>
          </w:p>
        </w:tc>
        <w:tc>
          <w:tcPr>
            <w:tcW w:w="483" w:type="dxa"/>
            <w:shd w:val="clear" w:color="auto" w:fill="auto"/>
            <w:tcMar>
              <w:top w:w="89" w:type="dxa"/>
              <w:left w:w="89" w:type="dxa"/>
              <w:bottom w:w="89" w:type="dxa"/>
              <w:right w:w="89" w:type="dxa"/>
            </w:tcMar>
            <w:vAlign w:val="center"/>
          </w:tcPr>
          <w:p w14:paraId="587DE185">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商业</w:t>
            </w:r>
          </w:p>
        </w:tc>
        <w:tc>
          <w:tcPr>
            <w:tcW w:w="494" w:type="dxa"/>
            <w:shd w:val="clear" w:color="auto" w:fill="auto"/>
            <w:tcMar>
              <w:top w:w="89" w:type="dxa"/>
              <w:left w:w="89" w:type="dxa"/>
              <w:bottom w:w="89" w:type="dxa"/>
              <w:right w:w="89" w:type="dxa"/>
            </w:tcMar>
            <w:vAlign w:val="center"/>
          </w:tcPr>
          <w:p w14:paraId="6ADDD361">
            <w:pPr>
              <w:pStyle w:val="190"/>
              <w:kinsoku w:val="0"/>
              <w:overflowPunct w:val="0"/>
              <w:spacing w:line="240" w:lineRule="exact"/>
              <w:jc w:val="center"/>
              <w:rPr>
                <w:rFonts w:ascii="宋体" w:hAnsi="宋体" w:eastAsia="仿宋_GB2312" w:cs="仿宋"/>
                <w:szCs w:val="21"/>
              </w:rPr>
            </w:pPr>
            <w:r>
              <w:rPr>
                <w:rFonts w:hint="eastAsia" w:ascii="宋体" w:hAnsi="宋体" w:eastAsia="仿宋_GB2312" w:cs="仿宋"/>
                <w:szCs w:val="21"/>
              </w:rPr>
              <w:t>商务</w:t>
            </w:r>
          </w:p>
        </w:tc>
        <w:tc>
          <w:tcPr>
            <w:tcW w:w="480" w:type="dxa"/>
            <w:vMerge w:val="continue"/>
            <w:shd w:val="clear" w:color="auto" w:fill="auto"/>
            <w:vAlign w:val="center"/>
          </w:tcPr>
          <w:p w14:paraId="29819CF5">
            <w:pPr>
              <w:pStyle w:val="210"/>
              <w:widowControl/>
              <w:adjustRightInd w:val="0"/>
              <w:snapToGrid w:val="0"/>
              <w:spacing w:line="240" w:lineRule="exact"/>
              <w:textAlignment w:val="baseline"/>
              <w:rPr>
                <w:rFonts w:ascii="宋体" w:hAnsi="宋体" w:eastAsia="仿宋_GB2312"/>
                <w:sz w:val="24"/>
              </w:rPr>
            </w:pPr>
          </w:p>
        </w:tc>
        <w:tc>
          <w:tcPr>
            <w:tcW w:w="485" w:type="dxa"/>
            <w:vMerge w:val="continue"/>
            <w:shd w:val="clear" w:color="auto" w:fill="auto"/>
            <w:vAlign w:val="center"/>
          </w:tcPr>
          <w:p w14:paraId="2D02465B">
            <w:pPr>
              <w:pStyle w:val="210"/>
              <w:widowControl/>
              <w:adjustRightInd w:val="0"/>
              <w:snapToGrid w:val="0"/>
              <w:spacing w:line="240" w:lineRule="exact"/>
              <w:textAlignment w:val="baseline"/>
              <w:rPr>
                <w:rFonts w:ascii="宋体" w:hAnsi="宋体" w:eastAsia="仿宋_GB2312"/>
                <w:sz w:val="24"/>
              </w:rPr>
            </w:pPr>
          </w:p>
        </w:tc>
      </w:tr>
      <w:tr w14:paraId="4E04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Header/>
        </w:trPr>
        <w:tc>
          <w:tcPr>
            <w:tcW w:w="2972" w:type="dxa"/>
            <w:gridSpan w:val="3"/>
            <w:shd w:val="clear" w:color="auto" w:fill="auto"/>
            <w:vAlign w:val="center"/>
          </w:tcPr>
          <w:p w14:paraId="37B0FC66">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特级照明区（重大节日模式）</w:t>
            </w:r>
          </w:p>
        </w:tc>
        <w:tc>
          <w:tcPr>
            <w:tcW w:w="410" w:type="dxa"/>
            <w:shd w:val="clear" w:color="auto" w:fill="auto"/>
            <w:tcMar>
              <w:top w:w="89" w:type="dxa"/>
              <w:left w:w="89" w:type="dxa"/>
              <w:bottom w:w="89" w:type="dxa"/>
              <w:right w:w="89" w:type="dxa"/>
            </w:tcMar>
            <w:vAlign w:val="center"/>
          </w:tcPr>
          <w:p w14:paraId="6C613EB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513F4F7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5" w:type="dxa"/>
            <w:shd w:val="clear" w:color="auto" w:fill="auto"/>
            <w:tcMar>
              <w:top w:w="89" w:type="dxa"/>
              <w:left w:w="89" w:type="dxa"/>
              <w:bottom w:w="89" w:type="dxa"/>
              <w:right w:w="89" w:type="dxa"/>
            </w:tcMar>
            <w:vAlign w:val="center"/>
          </w:tcPr>
          <w:p w14:paraId="4B404B5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vAlign w:val="center"/>
          </w:tcPr>
          <w:p w14:paraId="2388C77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1" w:type="dxa"/>
            <w:shd w:val="clear" w:color="auto" w:fill="auto"/>
            <w:vAlign w:val="center"/>
          </w:tcPr>
          <w:p w14:paraId="2772324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51EB1A5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14:paraId="341C3F6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0EFD67F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2" w:type="dxa"/>
            <w:shd w:val="clear" w:color="auto" w:fill="auto"/>
            <w:tcMar>
              <w:top w:w="89" w:type="dxa"/>
              <w:left w:w="89" w:type="dxa"/>
              <w:bottom w:w="89" w:type="dxa"/>
              <w:right w:w="89" w:type="dxa"/>
            </w:tcMar>
            <w:vAlign w:val="center"/>
          </w:tcPr>
          <w:p w14:paraId="33EB5F8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vAlign w:val="center"/>
          </w:tcPr>
          <w:p w14:paraId="6ACE8C7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14:paraId="7ACA9F6C">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6DFF2AC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60B307B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7" w:type="dxa"/>
            <w:shd w:val="clear" w:color="auto" w:fill="auto"/>
            <w:tcMar>
              <w:top w:w="89" w:type="dxa"/>
              <w:left w:w="89" w:type="dxa"/>
              <w:bottom w:w="89" w:type="dxa"/>
              <w:right w:w="89" w:type="dxa"/>
            </w:tcMar>
            <w:vAlign w:val="center"/>
          </w:tcPr>
          <w:p w14:paraId="73F22F7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5" w:type="dxa"/>
            <w:shd w:val="clear" w:color="auto" w:fill="auto"/>
            <w:tcMar>
              <w:top w:w="89" w:type="dxa"/>
              <w:left w:w="89" w:type="dxa"/>
              <w:bottom w:w="89" w:type="dxa"/>
              <w:right w:w="89" w:type="dxa"/>
            </w:tcMar>
            <w:vAlign w:val="center"/>
          </w:tcPr>
          <w:p w14:paraId="1747025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69" w:type="dxa"/>
            <w:shd w:val="clear" w:color="auto" w:fill="auto"/>
            <w:vAlign w:val="center"/>
          </w:tcPr>
          <w:p w14:paraId="5CA9D5A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14:paraId="5B1E113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94" w:type="dxa"/>
            <w:shd w:val="clear" w:color="auto" w:fill="auto"/>
            <w:tcMar>
              <w:top w:w="89" w:type="dxa"/>
              <w:left w:w="89" w:type="dxa"/>
              <w:bottom w:w="89" w:type="dxa"/>
              <w:right w:w="89" w:type="dxa"/>
            </w:tcMar>
            <w:vAlign w:val="center"/>
          </w:tcPr>
          <w:p w14:paraId="4D6D54B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tcMar>
              <w:top w:w="89" w:type="dxa"/>
              <w:left w:w="89" w:type="dxa"/>
              <w:bottom w:w="89" w:type="dxa"/>
              <w:right w:w="89" w:type="dxa"/>
            </w:tcMar>
            <w:vAlign w:val="center"/>
          </w:tcPr>
          <w:p w14:paraId="23FFD19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3" w:type="dxa"/>
            <w:shd w:val="clear" w:color="auto" w:fill="auto"/>
            <w:tcMar>
              <w:top w:w="89" w:type="dxa"/>
              <w:left w:w="89" w:type="dxa"/>
              <w:bottom w:w="89" w:type="dxa"/>
              <w:right w:w="89" w:type="dxa"/>
            </w:tcMar>
            <w:vAlign w:val="center"/>
          </w:tcPr>
          <w:p w14:paraId="32A2185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4" w:type="dxa"/>
            <w:shd w:val="clear" w:color="auto" w:fill="auto"/>
            <w:tcMar>
              <w:top w:w="89" w:type="dxa"/>
              <w:left w:w="89" w:type="dxa"/>
              <w:bottom w:w="89" w:type="dxa"/>
              <w:right w:w="89" w:type="dxa"/>
            </w:tcMar>
            <w:vAlign w:val="center"/>
          </w:tcPr>
          <w:p w14:paraId="08FD2C2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vAlign w:val="center"/>
          </w:tcPr>
          <w:p w14:paraId="3617D74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5" w:type="dxa"/>
            <w:shd w:val="clear" w:color="auto" w:fill="auto"/>
            <w:vAlign w:val="center"/>
          </w:tcPr>
          <w:p w14:paraId="0344B7D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r>
      <w:tr w14:paraId="1C43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972" w:type="dxa"/>
            <w:gridSpan w:val="3"/>
            <w:shd w:val="clear" w:color="auto" w:fill="auto"/>
            <w:vAlign w:val="center"/>
          </w:tcPr>
          <w:p w14:paraId="25AE5BE4">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特级照明区（节日—平日模式）</w:t>
            </w:r>
          </w:p>
        </w:tc>
        <w:tc>
          <w:tcPr>
            <w:tcW w:w="410" w:type="dxa"/>
            <w:shd w:val="clear" w:color="auto" w:fill="auto"/>
            <w:tcMar>
              <w:top w:w="89" w:type="dxa"/>
              <w:left w:w="89" w:type="dxa"/>
              <w:bottom w:w="89" w:type="dxa"/>
              <w:right w:w="89" w:type="dxa"/>
            </w:tcMar>
            <w:vAlign w:val="center"/>
          </w:tcPr>
          <w:p w14:paraId="374ECFC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0ADC2E3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5" w:type="dxa"/>
            <w:shd w:val="clear" w:color="auto" w:fill="auto"/>
            <w:tcMar>
              <w:top w:w="89" w:type="dxa"/>
              <w:left w:w="89" w:type="dxa"/>
              <w:bottom w:w="89" w:type="dxa"/>
              <w:right w:w="89" w:type="dxa"/>
            </w:tcMar>
            <w:vAlign w:val="center"/>
          </w:tcPr>
          <w:p w14:paraId="1E86E11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vAlign w:val="center"/>
          </w:tcPr>
          <w:p w14:paraId="2D5D0F7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1" w:type="dxa"/>
            <w:shd w:val="clear" w:color="auto" w:fill="auto"/>
            <w:vAlign w:val="center"/>
          </w:tcPr>
          <w:p w14:paraId="266E32F7">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27A9F6D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14:paraId="159AF55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0DA551C8">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2" w:type="dxa"/>
            <w:shd w:val="clear" w:color="auto" w:fill="auto"/>
            <w:tcMar>
              <w:top w:w="89" w:type="dxa"/>
              <w:left w:w="89" w:type="dxa"/>
              <w:bottom w:w="89" w:type="dxa"/>
              <w:right w:w="89" w:type="dxa"/>
            </w:tcMar>
            <w:vAlign w:val="center"/>
          </w:tcPr>
          <w:p w14:paraId="5AE95D0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vAlign w:val="center"/>
          </w:tcPr>
          <w:p w14:paraId="29F720C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14:paraId="34EF80B4">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3715333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696859C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7" w:type="dxa"/>
            <w:shd w:val="clear" w:color="auto" w:fill="auto"/>
            <w:tcMar>
              <w:top w:w="89" w:type="dxa"/>
              <w:left w:w="89" w:type="dxa"/>
              <w:bottom w:w="89" w:type="dxa"/>
              <w:right w:w="89" w:type="dxa"/>
            </w:tcMar>
            <w:vAlign w:val="center"/>
          </w:tcPr>
          <w:p w14:paraId="6E78421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505" w:type="dxa"/>
            <w:shd w:val="clear" w:color="auto" w:fill="auto"/>
            <w:tcMar>
              <w:top w:w="89" w:type="dxa"/>
              <w:left w:w="89" w:type="dxa"/>
              <w:bottom w:w="89" w:type="dxa"/>
              <w:right w:w="89" w:type="dxa"/>
            </w:tcMar>
            <w:vAlign w:val="center"/>
          </w:tcPr>
          <w:p w14:paraId="34D004A9">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69" w:type="dxa"/>
            <w:shd w:val="clear" w:color="auto" w:fill="auto"/>
            <w:vAlign w:val="center"/>
          </w:tcPr>
          <w:p w14:paraId="1FE0BEF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8" w:type="dxa"/>
            <w:shd w:val="clear" w:color="auto" w:fill="auto"/>
            <w:vAlign w:val="center"/>
          </w:tcPr>
          <w:p w14:paraId="327D5E7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94" w:type="dxa"/>
            <w:shd w:val="clear" w:color="auto" w:fill="auto"/>
            <w:tcMar>
              <w:top w:w="89" w:type="dxa"/>
              <w:left w:w="89" w:type="dxa"/>
              <w:bottom w:w="89" w:type="dxa"/>
              <w:right w:w="89" w:type="dxa"/>
            </w:tcMar>
            <w:vAlign w:val="center"/>
          </w:tcPr>
          <w:p w14:paraId="47A665C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tcMar>
              <w:top w:w="89" w:type="dxa"/>
              <w:left w:w="89" w:type="dxa"/>
              <w:bottom w:w="89" w:type="dxa"/>
              <w:right w:w="89" w:type="dxa"/>
            </w:tcMar>
            <w:vAlign w:val="center"/>
          </w:tcPr>
          <w:p w14:paraId="5FA7B8A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3" w:type="dxa"/>
            <w:shd w:val="clear" w:color="auto" w:fill="auto"/>
            <w:tcMar>
              <w:top w:w="89" w:type="dxa"/>
              <w:left w:w="89" w:type="dxa"/>
              <w:bottom w:w="89" w:type="dxa"/>
              <w:right w:w="89" w:type="dxa"/>
            </w:tcMar>
            <w:vAlign w:val="center"/>
          </w:tcPr>
          <w:p w14:paraId="602DFB4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94" w:type="dxa"/>
            <w:shd w:val="clear" w:color="auto" w:fill="auto"/>
            <w:tcMar>
              <w:top w:w="89" w:type="dxa"/>
              <w:left w:w="89" w:type="dxa"/>
              <w:bottom w:w="89" w:type="dxa"/>
              <w:right w:w="89" w:type="dxa"/>
            </w:tcMar>
            <w:vAlign w:val="center"/>
          </w:tcPr>
          <w:p w14:paraId="013411B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0" w:type="dxa"/>
            <w:shd w:val="clear" w:color="auto" w:fill="auto"/>
            <w:vAlign w:val="center"/>
          </w:tcPr>
          <w:p w14:paraId="095240D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c>
          <w:tcPr>
            <w:tcW w:w="485" w:type="dxa"/>
            <w:shd w:val="clear" w:color="auto" w:fill="auto"/>
            <w:vAlign w:val="center"/>
          </w:tcPr>
          <w:p w14:paraId="1970CAC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w:t>
            </w:r>
          </w:p>
        </w:tc>
      </w:tr>
      <w:tr w14:paraId="7BAB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restart"/>
            <w:shd w:val="clear" w:color="auto" w:fill="auto"/>
            <w:tcMar>
              <w:top w:w="89" w:type="dxa"/>
              <w:left w:w="89" w:type="dxa"/>
              <w:bottom w:w="89" w:type="dxa"/>
              <w:right w:w="89" w:type="dxa"/>
            </w:tcMar>
            <w:vAlign w:val="center"/>
          </w:tcPr>
          <w:p w14:paraId="57DEFA02">
            <w:pPr>
              <w:pStyle w:val="210"/>
              <w:widowControl/>
              <w:adjustRightInd w:val="0"/>
              <w:snapToGrid w:val="0"/>
              <w:spacing w:line="240" w:lineRule="exact"/>
              <w:textAlignment w:val="baseline"/>
              <w:rPr>
                <w:rFonts w:ascii="宋体" w:hAnsi="宋体" w:eastAsia="仿宋_GB2312" w:cs="宋体"/>
                <w:sz w:val="24"/>
              </w:rPr>
            </w:pPr>
            <w:r>
              <w:rPr>
                <w:rFonts w:hint="eastAsia" w:ascii="宋体" w:hAnsi="宋体" w:eastAsia="仿宋_GB2312" w:cs="宋体"/>
                <w:sz w:val="24"/>
              </w:rPr>
              <w:t>一类照明区</w:t>
            </w:r>
          </w:p>
        </w:tc>
        <w:tc>
          <w:tcPr>
            <w:tcW w:w="537" w:type="dxa"/>
            <w:vMerge w:val="restart"/>
            <w:shd w:val="clear" w:color="auto" w:fill="auto"/>
            <w:tcMar>
              <w:top w:w="89" w:type="dxa"/>
              <w:left w:w="89" w:type="dxa"/>
              <w:bottom w:w="89" w:type="dxa"/>
              <w:right w:w="89" w:type="dxa"/>
            </w:tcMar>
            <w:vAlign w:val="center"/>
          </w:tcPr>
          <w:p w14:paraId="701A7A86">
            <w:pPr>
              <w:pStyle w:val="210"/>
              <w:widowControl/>
              <w:adjustRightInd w:val="0"/>
              <w:snapToGrid w:val="0"/>
              <w:spacing w:line="24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14:paraId="52A7C90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中心地区</w:t>
            </w:r>
          </w:p>
        </w:tc>
        <w:tc>
          <w:tcPr>
            <w:tcW w:w="410" w:type="dxa"/>
            <w:shd w:val="clear" w:color="auto" w:fill="auto"/>
            <w:tcMar>
              <w:top w:w="89" w:type="dxa"/>
              <w:left w:w="89" w:type="dxa"/>
              <w:bottom w:w="89" w:type="dxa"/>
              <w:right w:w="89" w:type="dxa"/>
            </w:tcMar>
            <w:vAlign w:val="center"/>
          </w:tcPr>
          <w:p w14:paraId="2233258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7F33FCF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14:paraId="59137633">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14:paraId="3C91E7A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14:paraId="6855842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419C43C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74" w:type="dxa"/>
            <w:shd w:val="clear" w:color="auto" w:fill="auto"/>
            <w:tcMar>
              <w:top w:w="89" w:type="dxa"/>
              <w:left w:w="89" w:type="dxa"/>
              <w:bottom w:w="89" w:type="dxa"/>
              <w:right w:w="89" w:type="dxa"/>
            </w:tcMar>
            <w:vAlign w:val="center"/>
          </w:tcPr>
          <w:p w14:paraId="7DF2CE8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480" w:type="dxa"/>
            <w:shd w:val="clear" w:color="auto" w:fill="auto"/>
            <w:tcMar>
              <w:top w:w="89" w:type="dxa"/>
              <w:left w:w="89" w:type="dxa"/>
              <w:bottom w:w="89" w:type="dxa"/>
              <w:right w:w="89" w:type="dxa"/>
            </w:tcMar>
            <w:vAlign w:val="center"/>
          </w:tcPr>
          <w:p w14:paraId="7ED93B3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14:paraId="38FAE6A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2" w:type="dxa"/>
            <w:gridSpan w:val="2"/>
            <w:shd w:val="clear" w:color="auto" w:fill="auto"/>
            <w:tcMar>
              <w:top w:w="89" w:type="dxa"/>
              <w:left w:w="89" w:type="dxa"/>
              <w:bottom w:w="89" w:type="dxa"/>
              <w:right w:w="89" w:type="dxa"/>
            </w:tcMar>
            <w:vAlign w:val="center"/>
          </w:tcPr>
          <w:p w14:paraId="56AC917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8" w:type="dxa"/>
            <w:shd w:val="clear" w:color="auto" w:fill="auto"/>
            <w:tcMar>
              <w:top w:w="89" w:type="dxa"/>
              <w:left w:w="89" w:type="dxa"/>
              <w:bottom w:w="89" w:type="dxa"/>
              <w:right w:w="89" w:type="dxa"/>
            </w:tcMar>
            <w:vAlign w:val="center"/>
          </w:tcPr>
          <w:p w14:paraId="17B4B3D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3" w:type="dxa"/>
            <w:shd w:val="clear" w:color="auto" w:fill="auto"/>
            <w:tcMar>
              <w:top w:w="89" w:type="dxa"/>
              <w:left w:w="89" w:type="dxa"/>
              <w:bottom w:w="89" w:type="dxa"/>
              <w:right w:w="89" w:type="dxa"/>
            </w:tcMar>
            <w:vAlign w:val="center"/>
          </w:tcPr>
          <w:p w14:paraId="4AD22A4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14:paraId="03446FA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7" w:type="dxa"/>
            <w:shd w:val="clear" w:color="auto" w:fill="auto"/>
            <w:tcMar>
              <w:top w:w="89" w:type="dxa"/>
              <w:left w:w="89" w:type="dxa"/>
              <w:bottom w:w="89" w:type="dxa"/>
              <w:right w:w="89" w:type="dxa"/>
            </w:tcMar>
            <w:vAlign w:val="center"/>
          </w:tcPr>
          <w:p w14:paraId="63CACAC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5" w:type="dxa"/>
            <w:shd w:val="clear" w:color="auto" w:fill="auto"/>
            <w:tcMar>
              <w:top w:w="89" w:type="dxa"/>
              <w:left w:w="89" w:type="dxa"/>
              <w:bottom w:w="89" w:type="dxa"/>
              <w:right w:w="89" w:type="dxa"/>
            </w:tcMar>
            <w:vAlign w:val="center"/>
          </w:tcPr>
          <w:p w14:paraId="7BE2321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69" w:type="dxa"/>
            <w:shd w:val="clear" w:color="auto" w:fill="auto"/>
            <w:tcMar>
              <w:top w:w="89" w:type="dxa"/>
              <w:left w:w="89" w:type="dxa"/>
              <w:bottom w:w="89" w:type="dxa"/>
              <w:right w:w="89" w:type="dxa"/>
            </w:tcMar>
            <w:vAlign w:val="center"/>
          </w:tcPr>
          <w:p w14:paraId="5CCF37A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14:paraId="42A2A8B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4" w:type="dxa"/>
            <w:shd w:val="clear" w:color="auto" w:fill="auto"/>
            <w:tcMar>
              <w:top w:w="89" w:type="dxa"/>
              <w:left w:w="89" w:type="dxa"/>
              <w:bottom w:w="89" w:type="dxa"/>
              <w:right w:w="89" w:type="dxa"/>
            </w:tcMar>
            <w:vAlign w:val="center"/>
          </w:tcPr>
          <w:p w14:paraId="7F2E24A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2F5854E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14:paraId="3C73561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94" w:type="dxa"/>
            <w:shd w:val="clear" w:color="auto" w:fill="auto"/>
            <w:tcMar>
              <w:top w:w="89" w:type="dxa"/>
              <w:left w:w="89" w:type="dxa"/>
              <w:bottom w:w="89" w:type="dxa"/>
              <w:right w:w="89" w:type="dxa"/>
            </w:tcMar>
            <w:vAlign w:val="center"/>
          </w:tcPr>
          <w:p w14:paraId="50CB3ED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1EFA344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5" w:type="dxa"/>
            <w:shd w:val="clear" w:color="auto" w:fill="auto"/>
            <w:tcMar>
              <w:top w:w="89" w:type="dxa"/>
              <w:left w:w="89" w:type="dxa"/>
              <w:bottom w:w="89" w:type="dxa"/>
              <w:right w:w="89" w:type="dxa"/>
            </w:tcMar>
            <w:vAlign w:val="center"/>
          </w:tcPr>
          <w:p w14:paraId="633B9BC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r>
      <w:tr w14:paraId="491C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5F1690E5">
            <w:pPr>
              <w:pStyle w:val="210"/>
              <w:widowControl/>
              <w:adjustRightInd w:val="0"/>
              <w:snapToGrid w:val="0"/>
              <w:spacing w:line="240" w:lineRule="exact"/>
              <w:textAlignment w:val="baseline"/>
              <w:rPr>
                <w:rFonts w:ascii="宋体" w:hAnsi="宋体" w:eastAsia="仿宋_GB2312" w:cs="宋体"/>
                <w:sz w:val="24"/>
              </w:rPr>
            </w:pPr>
          </w:p>
        </w:tc>
        <w:tc>
          <w:tcPr>
            <w:tcW w:w="537" w:type="dxa"/>
            <w:vMerge w:val="continue"/>
            <w:shd w:val="clear" w:color="auto" w:fill="auto"/>
            <w:tcMar>
              <w:top w:w="89" w:type="dxa"/>
              <w:left w:w="89" w:type="dxa"/>
              <w:bottom w:w="89" w:type="dxa"/>
              <w:right w:w="89" w:type="dxa"/>
            </w:tcMar>
            <w:vAlign w:val="center"/>
          </w:tcPr>
          <w:p w14:paraId="218B0F2A">
            <w:pPr>
              <w:pStyle w:val="210"/>
              <w:widowControl/>
              <w:adjustRightInd w:val="0"/>
              <w:snapToGrid w:val="0"/>
              <w:spacing w:line="24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79114B7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副中心</w:t>
            </w:r>
          </w:p>
        </w:tc>
        <w:tc>
          <w:tcPr>
            <w:tcW w:w="410" w:type="dxa"/>
            <w:shd w:val="clear" w:color="auto" w:fill="auto"/>
            <w:tcMar>
              <w:top w:w="89" w:type="dxa"/>
              <w:left w:w="89" w:type="dxa"/>
              <w:bottom w:w="89" w:type="dxa"/>
              <w:right w:w="89" w:type="dxa"/>
            </w:tcMar>
            <w:vAlign w:val="center"/>
          </w:tcPr>
          <w:p w14:paraId="06563C9E">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0283205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14:paraId="096B1421">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14:paraId="51E990A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14:paraId="301DD69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2B71BAF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0878AC5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1FD9B05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14:paraId="14B8C7E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14:paraId="041C8F2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14:paraId="6228EDA7">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14:paraId="3EDBF51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14:paraId="268FDC6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7" w:type="dxa"/>
            <w:shd w:val="clear" w:color="auto" w:fill="auto"/>
            <w:tcMar>
              <w:top w:w="89" w:type="dxa"/>
              <w:left w:w="89" w:type="dxa"/>
              <w:bottom w:w="89" w:type="dxa"/>
              <w:right w:w="89" w:type="dxa"/>
            </w:tcMar>
            <w:vAlign w:val="center"/>
          </w:tcPr>
          <w:p w14:paraId="06F52B1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5" w:type="dxa"/>
            <w:shd w:val="clear" w:color="auto" w:fill="auto"/>
            <w:tcMar>
              <w:top w:w="89" w:type="dxa"/>
              <w:left w:w="89" w:type="dxa"/>
              <w:bottom w:w="89" w:type="dxa"/>
              <w:right w:w="89" w:type="dxa"/>
            </w:tcMar>
            <w:vAlign w:val="center"/>
          </w:tcPr>
          <w:p w14:paraId="7524977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69" w:type="dxa"/>
            <w:shd w:val="clear" w:color="auto" w:fill="auto"/>
            <w:tcMar>
              <w:top w:w="89" w:type="dxa"/>
              <w:left w:w="89" w:type="dxa"/>
              <w:bottom w:w="89" w:type="dxa"/>
              <w:right w:w="89" w:type="dxa"/>
            </w:tcMar>
            <w:vAlign w:val="center"/>
          </w:tcPr>
          <w:p w14:paraId="2B2EAF78">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02E89DE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94" w:type="dxa"/>
            <w:shd w:val="clear" w:color="auto" w:fill="auto"/>
            <w:tcMar>
              <w:top w:w="89" w:type="dxa"/>
              <w:left w:w="89" w:type="dxa"/>
              <w:bottom w:w="89" w:type="dxa"/>
              <w:right w:w="89" w:type="dxa"/>
            </w:tcMar>
            <w:vAlign w:val="center"/>
          </w:tcPr>
          <w:p w14:paraId="0E80B4A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03342D7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14:paraId="1CB4096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94" w:type="dxa"/>
            <w:shd w:val="clear" w:color="auto" w:fill="auto"/>
            <w:tcMar>
              <w:top w:w="89" w:type="dxa"/>
              <w:left w:w="89" w:type="dxa"/>
              <w:bottom w:w="89" w:type="dxa"/>
              <w:right w:w="89" w:type="dxa"/>
            </w:tcMar>
            <w:vAlign w:val="center"/>
          </w:tcPr>
          <w:p w14:paraId="29B0880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04D1765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15038A9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r>
      <w:tr w14:paraId="60BC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6029133B">
            <w:pPr>
              <w:pStyle w:val="210"/>
              <w:widowControl/>
              <w:adjustRightInd w:val="0"/>
              <w:snapToGrid w:val="0"/>
              <w:spacing w:line="240" w:lineRule="exact"/>
              <w:textAlignment w:val="baseline"/>
              <w:rPr>
                <w:rFonts w:ascii="宋体" w:hAnsi="宋体" w:eastAsia="仿宋_GB2312" w:cs="宋体"/>
                <w:sz w:val="24"/>
              </w:rPr>
            </w:pPr>
          </w:p>
        </w:tc>
        <w:tc>
          <w:tcPr>
            <w:tcW w:w="537" w:type="dxa"/>
            <w:vMerge w:val="continue"/>
            <w:shd w:val="clear" w:color="auto" w:fill="auto"/>
            <w:tcMar>
              <w:top w:w="89" w:type="dxa"/>
              <w:left w:w="89" w:type="dxa"/>
              <w:bottom w:w="89" w:type="dxa"/>
              <w:right w:w="89" w:type="dxa"/>
            </w:tcMar>
            <w:vAlign w:val="center"/>
          </w:tcPr>
          <w:p w14:paraId="7D34830F">
            <w:pPr>
              <w:pStyle w:val="210"/>
              <w:widowControl/>
              <w:adjustRightInd w:val="0"/>
              <w:snapToGrid w:val="0"/>
              <w:spacing w:line="24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36A8E2D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边缘集团</w:t>
            </w:r>
          </w:p>
        </w:tc>
        <w:tc>
          <w:tcPr>
            <w:tcW w:w="410" w:type="dxa"/>
            <w:shd w:val="clear" w:color="auto" w:fill="auto"/>
            <w:tcMar>
              <w:top w:w="89" w:type="dxa"/>
              <w:left w:w="89" w:type="dxa"/>
              <w:bottom w:w="89" w:type="dxa"/>
              <w:right w:w="89" w:type="dxa"/>
            </w:tcMar>
            <w:vAlign w:val="center"/>
          </w:tcPr>
          <w:p w14:paraId="1396E4CE">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14:paraId="0F73E36C">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14:paraId="69A9E2B1">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4C92355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14:paraId="68A58C4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3963838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14:paraId="77BCAF1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7947B42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14:paraId="4A7197C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14:paraId="26295B2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38682BC9">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14:paraId="7C02AD9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1F00BDA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162E3D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5FCC3D1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1BCE2E9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0E85CB7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7D119B1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47B2080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5F74DEC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255295D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3A53A40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06A0451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6AA1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5951A14E">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14:paraId="52345B6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0244623A">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4BEB3FB3">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WP</w:t>
            </w:r>
          </w:p>
        </w:tc>
        <w:tc>
          <w:tcPr>
            <w:tcW w:w="485" w:type="dxa"/>
            <w:shd w:val="clear" w:color="auto" w:fill="auto"/>
            <w:tcMar>
              <w:top w:w="89" w:type="dxa"/>
              <w:left w:w="89" w:type="dxa"/>
              <w:bottom w:w="89" w:type="dxa"/>
              <w:right w:w="89" w:type="dxa"/>
            </w:tcMar>
            <w:vAlign w:val="center"/>
          </w:tcPr>
          <w:p w14:paraId="6A1FEE89">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WP</w:t>
            </w:r>
          </w:p>
        </w:tc>
        <w:tc>
          <w:tcPr>
            <w:tcW w:w="474" w:type="dxa"/>
            <w:shd w:val="clear" w:color="auto" w:fill="auto"/>
            <w:tcMar>
              <w:top w:w="89" w:type="dxa"/>
              <w:left w:w="89" w:type="dxa"/>
              <w:bottom w:w="89" w:type="dxa"/>
              <w:right w:w="89" w:type="dxa"/>
            </w:tcMar>
            <w:vAlign w:val="center"/>
          </w:tcPr>
          <w:p w14:paraId="7351F9E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91" w:type="dxa"/>
            <w:shd w:val="clear" w:color="auto" w:fill="auto"/>
            <w:tcMar>
              <w:top w:w="89" w:type="dxa"/>
              <w:left w:w="89" w:type="dxa"/>
              <w:bottom w:w="89" w:type="dxa"/>
              <w:right w:w="89" w:type="dxa"/>
            </w:tcMar>
            <w:vAlign w:val="center"/>
          </w:tcPr>
          <w:p w14:paraId="41C30A5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0" w:type="dxa"/>
            <w:shd w:val="clear" w:color="auto" w:fill="auto"/>
            <w:tcMar>
              <w:top w:w="89" w:type="dxa"/>
              <w:left w:w="89" w:type="dxa"/>
              <w:bottom w:w="89" w:type="dxa"/>
              <w:right w:w="89" w:type="dxa"/>
            </w:tcMar>
            <w:vAlign w:val="center"/>
          </w:tcPr>
          <w:p w14:paraId="023CA9AD">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74" w:type="dxa"/>
            <w:shd w:val="clear" w:color="auto" w:fill="auto"/>
            <w:tcMar>
              <w:top w:w="89" w:type="dxa"/>
              <w:left w:w="89" w:type="dxa"/>
              <w:bottom w:w="89" w:type="dxa"/>
              <w:right w:w="89" w:type="dxa"/>
            </w:tcMar>
            <w:vAlign w:val="center"/>
          </w:tcPr>
          <w:p w14:paraId="79567F5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WP</w:t>
            </w:r>
          </w:p>
        </w:tc>
        <w:tc>
          <w:tcPr>
            <w:tcW w:w="480" w:type="dxa"/>
            <w:shd w:val="clear" w:color="auto" w:fill="auto"/>
            <w:tcMar>
              <w:top w:w="89" w:type="dxa"/>
              <w:left w:w="89" w:type="dxa"/>
              <w:bottom w:w="89" w:type="dxa"/>
              <w:right w:w="89" w:type="dxa"/>
            </w:tcMar>
            <w:vAlign w:val="center"/>
          </w:tcPr>
          <w:p w14:paraId="5502D08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WP</w:t>
            </w:r>
          </w:p>
        </w:tc>
        <w:tc>
          <w:tcPr>
            <w:tcW w:w="502" w:type="dxa"/>
            <w:shd w:val="clear" w:color="auto" w:fill="auto"/>
            <w:tcMar>
              <w:top w:w="89" w:type="dxa"/>
              <w:left w:w="89" w:type="dxa"/>
              <w:bottom w:w="89" w:type="dxa"/>
              <w:right w:w="89" w:type="dxa"/>
            </w:tcMar>
            <w:vAlign w:val="center"/>
          </w:tcPr>
          <w:p w14:paraId="3F66948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2" w:type="dxa"/>
            <w:gridSpan w:val="2"/>
            <w:shd w:val="clear" w:color="auto" w:fill="auto"/>
            <w:tcMar>
              <w:top w:w="89" w:type="dxa"/>
              <w:left w:w="89" w:type="dxa"/>
              <w:bottom w:w="89" w:type="dxa"/>
              <w:right w:w="89" w:type="dxa"/>
            </w:tcMar>
            <w:vAlign w:val="center"/>
          </w:tcPr>
          <w:p w14:paraId="536021D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8" w:type="dxa"/>
            <w:shd w:val="clear" w:color="auto" w:fill="auto"/>
            <w:tcMar>
              <w:top w:w="89" w:type="dxa"/>
              <w:left w:w="89" w:type="dxa"/>
              <w:bottom w:w="89" w:type="dxa"/>
              <w:right w:w="89" w:type="dxa"/>
            </w:tcMar>
            <w:vAlign w:val="center"/>
          </w:tcPr>
          <w:p w14:paraId="0B96DE40">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WP</w:t>
            </w:r>
          </w:p>
        </w:tc>
        <w:tc>
          <w:tcPr>
            <w:tcW w:w="483" w:type="dxa"/>
            <w:shd w:val="clear" w:color="auto" w:fill="auto"/>
            <w:tcMar>
              <w:top w:w="89" w:type="dxa"/>
              <w:left w:w="89" w:type="dxa"/>
              <w:bottom w:w="89" w:type="dxa"/>
              <w:right w:w="89" w:type="dxa"/>
            </w:tcMar>
            <w:vAlign w:val="center"/>
          </w:tcPr>
          <w:p w14:paraId="2ACD064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14:paraId="4925DAD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7" w:type="dxa"/>
            <w:shd w:val="clear" w:color="auto" w:fill="auto"/>
            <w:tcMar>
              <w:top w:w="89" w:type="dxa"/>
              <w:left w:w="89" w:type="dxa"/>
              <w:bottom w:w="89" w:type="dxa"/>
              <w:right w:w="89" w:type="dxa"/>
            </w:tcMar>
            <w:vAlign w:val="center"/>
          </w:tcPr>
          <w:p w14:paraId="2ACC89E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WP</w:t>
            </w:r>
          </w:p>
        </w:tc>
        <w:tc>
          <w:tcPr>
            <w:tcW w:w="505" w:type="dxa"/>
            <w:shd w:val="clear" w:color="auto" w:fill="auto"/>
            <w:tcMar>
              <w:top w:w="89" w:type="dxa"/>
              <w:left w:w="89" w:type="dxa"/>
              <w:bottom w:w="89" w:type="dxa"/>
              <w:right w:w="89" w:type="dxa"/>
            </w:tcMar>
            <w:vAlign w:val="center"/>
          </w:tcPr>
          <w:p w14:paraId="09C82D5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69" w:type="dxa"/>
            <w:shd w:val="clear" w:color="auto" w:fill="auto"/>
            <w:tcMar>
              <w:top w:w="89" w:type="dxa"/>
              <w:left w:w="89" w:type="dxa"/>
              <w:bottom w:w="89" w:type="dxa"/>
              <w:right w:w="89" w:type="dxa"/>
            </w:tcMar>
            <w:vAlign w:val="center"/>
          </w:tcPr>
          <w:p w14:paraId="67C8E2E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8" w:type="dxa"/>
            <w:shd w:val="clear" w:color="auto" w:fill="auto"/>
            <w:tcMar>
              <w:top w:w="89" w:type="dxa"/>
              <w:left w:w="89" w:type="dxa"/>
              <w:bottom w:w="89" w:type="dxa"/>
              <w:right w:w="89" w:type="dxa"/>
            </w:tcMar>
            <w:vAlign w:val="center"/>
          </w:tcPr>
          <w:p w14:paraId="35B982B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94" w:type="dxa"/>
            <w:shd w:val="clear" w:color="auto" w:fill="auto"/>
            <w:tcMar>
              <w:top w:w="89" w:type="dxa"/>
              <w:left w:w="89" w:type="dxa"/>
              <w:bottom w:w="89" w:type="dxa"/>
              <w:right w:w="89" w:type="dxa"/>
            </w:tcMar>
            <w:vAlign w:val="center"/>
          </w:tcPr>
          <w:p w14:paraId="240723D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14:paraId="4635B35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14:paraId="10BCF04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94" w:type="dxa"/>
            <w:shd w:val="clear" w:color="auto" w:fill="auto"/>
            <w:tcMar>
              <w:top w:w="89" w:type="dxa"/>
              <w:left w:w="89" w:type="dxa"/>
              <w:bottom w:w="89" w:type="dxa"/>
              <w:right w:w="89" w:type="dxa"/>
            </w:tcMar>
            <w:vAlign w:val="center"/>
          </w:tcPr>
          <w:p w14:paraId="693272E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14:paraId="7C19CCE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14:paraId="49CB758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r>
      <w:tr w14:paraId="3246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22645BAC">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14:paraId="262DC33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14:paraId="512AB517">
            <w:pPr>
              <w:widowControl/>
              <w:adjustRightInd w:val="0"/>
              <w:snapToGrid w:val="0"/>
              <w:spacing w:line="240" w:lineRule="exact"/>
              <w:jc w:val="center"/>
              <w:textAlignment w:val="baseline"/>
              <w:rPr>
                <w:rFonts w:ascii="宋体" w:hAnsi="宋体" w:eastAsia="仿宋_GB2312" w:cs="宋体"/>
                <w:spacing w:val="-2"/>
                <w:sz w:val="24"/>
                <w:szCs w:val="21"/>
              </w:rPr>
            </w:pPr>
            <w:r>
              <w:rPr>
                <w:rFonts w:hint="eastAsia" w:ascii="宋体" w:hAnsi="宋体" w:eastAsia="仿宋_GB2312" w:cs="宋体"/>
                <w:spacing w:val="-2"/>
                <w:sz w:val="24"/>
                <w:szCs w:val="21"/>
              </w:rPr>
              <w:t>WH</w:t>
            </w:r>
          </w:p>
        </w:tc>
        <w:tc>
          <w:tcPr>
            <w:tcW w:w="389" w:type="dxa"/>
            <w:shd w:val="clear" w:color="auto" w:fill="auto"/>
            <w:tcMar>
              <w:top w:w="89" w:type="dxa"/>
              <w:left w:w="89" w:type="dxa"/>
              <w:bottom w:w="89" w:type="dxa"/>
              <w:right w:w="89" w:type="dxa"/>
            </w:tcMar>
            <w:vAlign w:val="center"/>
          </w:tcPr>
          <w:p w14:paraId="0E6B450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85" w:type="dxa"/>
            <w:shd w:val="clear" w:color="auto" w:fill="auto"/>
            <w:tcMar>
              <w:top w:w="89" w:type="dxa"/>
              <w:left w:w="89" w:type="dxa"/>
              <w:bottom w:w="89" w:type="dxa"/>
              <w:right w:w="89" w:type="dxa"/>
            </w:tcMar>
            <w:vAlign w:val="center"/>
          </w:tcPr>
          <w:p w14:paraId="53909C9A">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14:paraId="298ABA3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91" w:type="dxa"/>
            <w:shd w:val="clear" w:color="auto" w:fill="auto"/>
            <w:tcMar>
              <w:top w:w="89" w:type="dxa"/>
              <w:left w:w="89" w:type="dxa"/>
              <w:bottom w:w="89" w:type="dxa"/>
              <w:right w:w="89" w:type="dxa"/>
            </w:tcMar>
            <w:vAlign w:val="center"/>
          </w:tcPr>
          <w:p w14:paraId="7A866B5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WH</w:t>
            </w:r>
          </w:p>
        </w:tc>
        <w:tc>
          <w:tcPr>
            <w:tcW w:w="480" w:type="dxa"/>
            <w:shd w:val="clear" w:color="auto" w:fill="auto"/>
            <w:tcMar>
              <w:top w:w="89" w:type="dxa"/>
              <w:left w:w="89" w:type="dxa"/>
              <w:bottom w:w="89" w:type="dxa"/>
              <w:right w:w="89" w:type="dxa"/>
            </w:tcMar>
            <w:vAlign w:val="center"/>
          </w:tcPr>
          <w:p w14:paraId="1D8E969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14:paraId="421BF5E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14:paraId="1F29118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2" w:type="dxa"/>
            <w:shd w:val="clear" w:color="auto" w:fill="auto"/>
            <w:tcMar>
              <w:top w:w="89" w:type="dxa"/>
              <w:left w:w="89" w:type="dxa"/>
              <w:bottom w:w="89" w:type="dxa"/>
              <w:right w:w="89" w:type="dxa"/>
            </w:tcMar>
            <w:vAlign w:val="center"/>
          </w:tcPr>
          <w:p w14:paraId="2ADA89A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2" w:type="dxa"/>
            <w:gridSpan w:val="2"/>
            <w:shd w:val="clear" w:color="auto" w:fill="auto"/>
            <w:tcMar>
              <w:top w:w="89" w:type="dxa"/>
              <w:left w:w="89" w:type="dxa"/>
              <w:bottom w:w="89" w:type="dxa"/>
              <w:right w:w="89" w:type="dxa"/>
            </w:tcMar>
            <w:vAlign w:val="center"/>
          </w:tcPr>
          <w:p w14:paraId="67AE365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0C0731C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14:paraId="0E9FCEB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14:paraId="1C92928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7" w:type="dxa"/>
            <w:shd w:val="clear" w:color="auto" w:fill="auto"/>
            <w:tcMar>
              <w:top w:w="89" w:type="dxa"/>
              <w:left w:w="89" w:type="dxa"/>
              <w:bottom w:w="89" w:type="dxa"/>
              <w:right w:w="89" w:type="dxa"/>
            </w:tcMar>
            <w:vAlign w:val="center"/>
          </w:tcPr>
          <w:p w14:paraId="0FDE00F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5" w:type="dxa"/>
            <w:shd w:val="clear" w:color="auto" w:fill="auto"/>
            <w:tcMar>
              <w:top w:w="89" w:type="dxa"/>
              <w:left w:w="89" w:type="dxa"/>
              <w:bottom w:w="89" w:type="dxa"/>
              <w:right w:w="89" w:type="dxa"/>
            </w:tcMar>
            <w:vAlign w:val="center"/>
          </w:tcPr>
          <w:p w14:paraId="7C793D2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69" w:type="dxa"/>
            <w:shd w:val="clear" w:color="auto" w:fill="auto"/>
            <w:tcMar>
              <w:top w:w="89" w:type="dxa"/>
              <w:left w:w="89" w:type="dxa"/>
              <w:bottom w:w="89" w:type="dxa"/>
              <w:right w:w="89" w:type="dxa"/>
            </w:tcMar>
            <w:vAlign w:val="center"/>
          </w:tcPr>
          <w:p w14:paraId="392AE44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180B3FD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94" w:type="dxa"/>
            <w:shd w:val="clear" w:color="auto" w:fill="auto"/>
            <w:tcMar>
              <w:top w:w="89" w:type="dxa"/>
              <w:left w:w="89" w:type="dxa"/>
              <w:bottom w:w="89" w:type="dxa"/>
              <w:right w:w="89" w:type="dxa"/>
            </w:tcMar>
            <w:vAlign w:val="center"/>
          </w:tcPr>
          <w:p w14:paraId="79E3846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1348F24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14:paraId="512C673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94" w:type="dxa"/>
            <w:shd w:val="clear" w:color="auto" w:fill="auto"/>
            <w:tcMar>
              <w:top w:w="89" w:type="dxa"/>
              <w:left w:w="89" w:type="dxa"/>
              <w:bottom w:w="89" w:type="dxa"/>
              <w:right w:w="89" w:type="dxa"/>
            </w:tcMar>
            <w:vAlign w:val="center"/>
          </w:tcPr>
          <w:p w14:paraId="3A6A6E1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75F64B2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7622AFA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r>
      <w:tr w14:paraId="4C68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2F7DD95E">
            <w:pPr>
              <w:pStyle w:val="210"/>
              <w:widowControl/>
              <w:adjustRightInd w:val="0"/>
              <w:snapToGrid w:val="0"/>
              <w:spacing w:line="240" w:lineRule="exact"/>
              <w:textAlignment w:val="baseline"/>
              <w:rPr>
                <w:rFonts w:ascii="宋体" w:hAnsi="宋体" w:eastAsia="仿宋_GB2312" w:cs="宋体"/>
                <w:sz w:val="24"/>
              </w:rPr>
            </w:pPr>
          </w:p>
        </w:tc>
        <w:tc>
          <w:tcPr>
            <w:tcW w:w="2334" w:type="dxa"/>
            <w:gridSpan w:val="2"/>
            <w:shd w:val="clear" w:color="auto" w:fill="auto"/>
            <w:tcMar>
              <w:top w:w="89" w:type="dxa"/>
              <w:left w:w="89" w:type="dxa"/>
              <w:bottom w:w="89" w:type="dxa"/>
              <w:right w:w="89" w:type="dxa"/>
            </w:tcMar>
            <w:vAlign w:val="center"/>
          </w:tcPr>
          <w:p w14:paraId="53B2F13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14:paraId="766FB1FC">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389" w:type="dxa"/>
            <w:shd w:val="clear" w:color="auto" w:fill="auto"/>
            <w:tcMar>
              <w:top w:w="89" w:type="dxa"/>
              <w:left w:w="89" w:type="dxa"/>
              <w:bottom w:w="89" w:type="dxa"/>
              <w:right w:w="89" w:type="dxa"/>
            </w:tcMar>
            <w:vAlign w:val="center"/>
          </w:tcPr>
          <w:p w14:paraId="2908F48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485" w:type="dxa"/>
            <w:shd w:val="clear" w:color="auto" w:fill="auto"/>
            <w:tcMar>
              <w:top w:w="89" w:type="dxa"/>
              <w:left w:w="89" w:type="dxa"/>
              <w:bottom w:w="89" w:type="dxa"/>
              <w:right w:w="89" w:type="dxa"/>
            </w:tcMar>
            <w:vAlign w:val="center"/>
          </w:tcPr>
          <w:p w14:paraId="76B9DA1B">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MT</w:t>
            </w:r>
          </w:p>
        </w:tc>
        <w:tc>
          <w:tcPr>
            <w:tcW w:w="474" w:type="dxa"/>
            <w:shd w:val="clear" w:color="auto" w:fill="auto"/>
            <w:tcMar>
              <w:top w:w="89" w:type="dxa"/>
              <w:left w:w="89" w:type="dxa"/>
              <w:bottom w:w="89" w:type="dxa"/>
              <w:right w:w="89" w:type="dxa"/>
            </w:tcMar>
            <w:vAlign w:val="center"/>
          </w:tcPr>
          <w:p w14:paraId="106DF21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MX</w:t>
            </w:r>
          </w:p>
        </w:tc>
        <w:tc>
          <w:tcPr>
            <w:tcW w:w="491" w:type="dxa"/>
            <w:shd w:val="clear" w:color="auto" w:fill="auto"/>
            <w:tcMar>
              <w:top w:w="89" w:type="dxa"/>
              <w:left w:w="89" w:type="dxa"/>
              <w:bottom w:w="89" w:type="dxa"/>
              <w:right w:w="89" w:type="dxa"/>
            </w:tcMar>
            <w:vAlign w:val="center"/>
          </w:tcPr>
          <w:p w14:paraId="43B8CA2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MT</w:t>
            </w:r>
          </w:p>
        </w:tc>
        <w:tc>
          <w:tcPr>
            <w:tcW w:w="480" w:type="dxa"/>
            <w:shd w:val="clear" w:color="auto" w:fill="auto"/>
            <w:tcMar>
              <w:top w:w="89" w:type="dxa"/>
              <w:left w:w="89" w:type="dxa"/>
              <w:bottom w:w="89" w:type="dxa"/>
              <w:right w:w="89" w:type="dxa"/>
            </w:tcMar>
            <w:vAlign w:val="center"/>
          </w:tcPr>
          <w:p w14:paraId="193E0CF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74" w:type="dxa"/>
            <w:shd w:val="clear" w:color="auto" w:fill="auto"/>
            <w:tcMar>
              <w:top w:w="89" w:type="dxa"/>
              <w:left w:w="89" w:type="dxa"/>
              <w:bottom w:w="89" w:type="dxa"/>
              <w:right w:w="89" w:type="dxa"/>
            </w:tcMar>
            <w:vAlign w:val="center"/>
          </w:tcPr>
          <w:p w14:paraId="1F92200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80" w:type="dxa"/>
            <w:shd w:val="clear" w:color="auto" w:fill="auto"/>
            <w:tcMar>
              <w:top w:w="89" w:type="dxa"/>
              <w:left w:w="89" w:type="dxa"/>
              <w:bottom w:w="89" w:type="dxa"/>
              <w:right w:w="89" w:type="dxa"/>
            </w:tcMar>
            <w:vAlign w:val="center"/>
          </w:tcPr>
          <w:p w14:paraId="71CE28D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502" w:type="dxa"/>
            <w:shd w:val="clear" w:color="auto" w:fill="auto"/>
            <w:tcMar>
              <w:top w:w="89" w:type="dxa"/>
              <w:left w:w="89" w:type="dxa"/>
              <w:bottom w:w="89" w:type="dxa"/>
              <w:right w:w="89" w:type="dxa"/>
            </w:tcMar>
            <w:vAlign w:val="center"/>
          </w:tcPr>
          <w:p w14:paraId="49683EE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482" w:type="dxa"/>
            <w:gridSpan w:val="2"/>
            <w:shd w:val="clear" w:color="auto" w:fill="auto"/>
            <w:tcMar>
              <w:top w:w="89" w:type="dxa"/>
              <w:left w:w="89" w:type="dxa"/>
              <w:bottom w:w="89" w:type="dxa"/>
              <w:right w:w="89" w:type="dxa"/>
            </w:tcMar>
            <w:vAlign w:val="center"/>
          </w:tcPr>
          <w:p w14:paraId="4B5E80A3">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14:paraId="2E653E3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MT</w:t>
            </w:r>
          </w:p>
        </w:tc>
        <w:tc>
          <w:tcPr>
            <w:tcW w:w="483" w:type="dxa"/>
            <w:shd w:val="clear" w:color="auto" w:fill="auto"/>
            <w:tcMar>
              <w:top w:w="89" w:type="dxa"/>
              <w:left w:w="89" w:type="dxa"/>
              <w:bottom w:w="89" w:type="dxa"/>
              <w:right w:w="89" w:type="dxa"/>
            </w:tcMar>
            <w:vAlign w:val="center"/>
          </w:tcPr>
          <w:p w14:paraId="2A4BBD1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2D46626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7" w:type="dxa"/>
            <w:shd w:val="clear" w:color="auto" w:fill="auto"/>
            <w:tcMar>
              <w:top w:w="89" w:type="dxa"/>
              <w:left w:w="89" w:type="dxa"/>
              <w:bottom w:w="89" w:type="dxa"/>
              <w:right w:w="89" w:type="dxa"/>
            </w:tcMar>
            <w:vAlign w:val="center"/>
          </w:tcPr>
          <w:p w14:paraId="465D6C4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MT</w:t>
            </w:r>
          </w:p>
        </w:tc>
        <w:tc>
          <w:tcPr>
            <w:tcW w:w="505" w:type="dxa"/>
            <w:shd w:val="clear" w:color="auto" w:fill="auto"/>
            <w:tcMar>
              <w:top w:w="89" w:type="dxa"/>
              <w:left w:w="89" w:type="dxa"/>
              <w:bottom w:w="89" w:type="dxa"/>
              <w:right w:w="89" w:type="dxa"/>
            </w:tcMar>
            <w:vAlign w:val="center"/>
          </w:tcPr>
          <w:p w14:paraId="5A166C9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69" w:type="dxa"/>
            <w:shd w:val="clear" w:color="auto" w:fill="auto"/>
            <w:tcMar>
              <w:top w:w="89" w:type="dxa"/>
              <w:left w:w="89" w:type="dxa"/>
              <w:bottom w:w="89" w:type="dxa"/>
              <w:right w:w="89" w:type="dxa"/>
            </w:tcMar>
            <w:vAlign w:val="center"/>
          </w:tcPr>
          <w:p w14:paraId="2AC8629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14:paraId="2ED118D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14:paraId="256C29F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039C445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4308C55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14:paraId="26D1EC7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4333358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5" w:type="dxa"/>
            <w:shd w:val="clear" w:color="auto" w:fill="auto"/>
            <w:tcMar>
              <w:top w:w="89" w:type="dxa"/>
              <w:left w:w="89" w:type="dxa"/>
              <w:bottom w:w="89" w:type="dxa"/>
              <w:right w:w="89" w:type="dxa"/>
            </w:tcMar>
            <w:vAlign w:val="center"/>
          </w:tcPr>
          <w:p w14:paraId="300E9F7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r>
      <w:tr w14:paraId="753F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trPr>
        <w:tc>
          <w:tcPr>
            <w:tcW w:w="638" w:type="dxa"/>
            <w:vMerge w:val="restart"/>
            <w:shd w:val="clear" w:color="auto" w:fill="auto"/>
            <w:tcMar>
              <w:top w:w="89" w:type="dxa"/>
              <w:left w:w="89" w:type="dxa"/>
              <w:bottom w:w="89" w:type="dxa"/>
              <w:right w:w="89" w:type="dxa"/>
            </w:tcMar>
            <w:vAlign w:val="center"/>
          </w:tcPr>
          <w:p w14:paraId="3DD982D4">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37" w:type="dxa"/>
            <w:vMerge w:val="restart"/>
            <w:shd w:val="clear" w:color="auto" w:fill="auto"/>
            <w:tcMar>
              <w:top w:w="89" w:type="dxa"/>
              <w:left w:w="89" w:type="dxa"/>
              <w:bottom w:w="89" w:type="dxa"/>
              <w:right w:w="89" w:type="dxa"/>
            </w:tcMar>
            <w:vAlign w:val="center"/>
          </w:tcPr>
          <w:p w14:paraId="7380AE4D">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14:paraId="271FE14D">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57B38053">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389" w:type="dxa"/>
            <w:shd w:val="clear" w:color="auto" w:fill="auto"/>
            <w:tcMar>
              <w:top w:w="89" w:type="dxa"/>
              <w:left w:w="89" w:type="dxa"/>
              <w:bottom w:w="89" w:type="dxa"/>
              <w:right w:w="89" w:type="dxa"/>
            </w:tcMar>
            <w:vAlign w:val="center"/>
          </w:tcPr>
          <w:p w14:paraId="476C3D6F">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85" w:type="dxa"/>
            <w:shd w:val="clear" w:color="auto" w:fill="auto"/>
            <w:tcMar>
              <w:top w:w="89" w:type="dxa"/>
              <w:left w:w="89" w:type="dxa"/>
              <w:bottom w:w="89" w:type="dxa"/>
              <w:right w:w="89" w:type="dxa"/>
            </w:tcMar>
            <w:vAlign w:val="center"/>
          </w:tcPr>
          <w:p w14:paraId="114E89EF">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KP</w:t>
            </w:r>
          </w:p>
        </w:tc>
        <w:tc>
          <w:tcPr>
            <w:tcW w:w="474" w:type="dxa"/>
            <w:shd w:val="clear" w:color="auto" w:fill="auto"/>
            <w:tcMar>
              <w:top w:w="89" w:type="dxa"/>
              <w:left w:w="89" w:type="dxa"/>
              <w:bottom w:w="89" w:type="dxa"/>
              <w:right w:w="89" w:type="dxa"/>
            </w:tcMar>
            <w:vAlign w:val="center"/>
          </w:tcPr>
          <w:p w14:paraId="74806857">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14:paraId="279B3A0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w:t>
            </w:r>
            <w:r>
              <w:rPr>
                <w:rFonts w:hint="eastAsia" w:ascii="宋体" w:hAnsi="宋体" w:eastAsia="仿宋_GB2312" w:cs="宋体"/>
                <w:spacing w:val="-2"/>
                <w:sz w:val="24"/>
                <w:szCs w:val="21"/>
              </w:rPr>
              <w:t>P</w:t>
            </w:r>
          </w:p>
        </w:tc>
        <w:tc>
          <w:tcPr>
            <w:tcW w:w="480" w:type="dxa"/>
            <w:shd w:val="clear" w:color="auto" w:fill="auto"/>
            <w:tcMar>
              <w:top w:w="89" w:type="dxa"/>
              <w:left w:w="89" w:type="dxa"/>
              <w:bottom w:w="89" w:type="dxa"/>
              <w:right w:w="89" w:type="dxa"/>
            </w:tcMar>
            <w:vAlign w:val="center"/>
          </w:tcPr>
          <w:p w14:paraId="6A91893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3A3AE1E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2DDF7E2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KP</w:t>
            </w:r>
          </w:p>
        </w:tc>
        <w:tc>
          <w:tcPr>
            <w:tcW w:w="502" w:type="dxa"/>
            <w:shd w:val="clear" w:color="auto" w:fill="auto"/>
            <w:tcMar>
              <w:top w:w="89" w:type="dxa"/>
              <w:left w:w="89" w:type="dxa"/>
              <w:bottom w:w="89" w:type="dxa"/>
              <w:right w:w="89" w:type="dxa"/>
            </w:tcMar>
            <w:vAlign w:val="center"/>
          </w:tcPr>
          <w:p w14:paraId="7898BFB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14:paraId="1687BC1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88" w:type="dxa"/>
            <w:shd w:val="clear" w:color="auto" w:fill="auto"/>
            <w:tcMar>
              <w:top w:w="89" w:type="dxa"/>
              <w:left w:w="89" w:type="dxa"/>
              <w:bottom w:w="89" w:type="dxa"/>
              <w:right w:w="89" w:type="dxa"/>
            </w:tcMar>
            <w:vAlign w:val="center"/>
          </w:tcPr>
          <w:p w14:paraId="7ABAC2B9">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3" w:type="dxa"/>
            <w:shd w:val="clear" w:color="auto" w:fill="auto"/>
            <w:tcMar>
              <w:top w:w="89" w:type="dxa"/>
              <w:left w:w="89" w:type="dxa"/>
              <w:bottom w:w="89" w:type="dxa"/>
              <w:right w:w="89" w:type="dxa"/>
            </w:tcMar>
            <w:vAlign w:val="center"/>
          </w:tcPr>
          <w:p w14:paraId="78C9090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14:paraId="252440B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7" w:type="dxa"/>
            <w:shd w:val="clear" w:color="auto" w:fill="auto"/>
            <w:tcMar>
              <w:top w:w="89" w:type="dxa"/>
              <w:left w:w="89" w:type="dxa"/>
              <w:bottom w:w="89" w:type="dxa"/>
              <w:right w:w="89" w:type="dxa"/>
            </w:tcMar>
            <w:vAlign w:val="center"/>
          </w:tcPr>
          <w:p w14:paraId="5AE0E1C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5" w:type="dxa"/>
            <w:shd w:val="clear" w:color="auto" w:fill="auto"/>
            <w:tcMar>
              <w:top w:w="89" w:type="dxa"/>
              <w:left w:w="89" w:type="dxa"/>
              <w:bottom w:w="89" w:type="dxa"/>
              <w:right w:w="89" w:type="dxa"/>
            </w:tcMar>
            <w:vAlign w:val="center"/>
          </w:tcPr>
          <w:p w14:paraId="60E2B44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69" w:type="dxa"/>
            <w:shd w:val="clear" w:color="auto" w:fill="auto"/>
            <w:tcMar>
              <w:top w:w="89" w:type="dxa"/>
              <w:left w:w="89" w:type="dxa"/>
              <w:bottom w:w="89" w:type="dxa"/>
              <w:right w:w="89" w:type="dxa"/>
            </w:tcMar>
            <w:vAlign w:val="center"/>
          </w:tcPr>
          <w:p w14:paraId="1B0741F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3ED1E36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94" w:type="dxa"/>
            <w:shd w:val="clear" w:color="auto" w:fill="auto"/>
            <w:tcMar>
              <w:top w:w="89" w:type="dxa"/>
              <w:left w:w="89" w:type="dxa"/>
              <w:bottom w:w="89" w:type="dxa"/>
              <w:right w:w="89" w:type="dxa"/>
            </w:tcMar>
            <w:vAlign w:val="center"/>
          </w:tcPr>
          <w:p w14:paraId="5205159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5E3B20A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3" w:type="dxa"/>
            <w:shd w:val="clear" w:color="auto" w:fill="auto"/>
            <w:tcMar>
              <w:top w:w="89" w:type="dxa"/>
              <w:left w:w="89" w:type="dxa"/>
              <w:bottom w:w="89" w:type="dxa"/>
              <w:right w:w="89" w:type="dxa"/>
            </w:tcMar>
            <w:vAlign w:val="center"/>
          </w:tcPr>
          <w:p w14:paraId="3CD29B9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94" w:type="dxa"/>
            <w:shd w:val="clear" w:color="auto" w:fill="auto"/>
            <w:tcMar>
              <w:top w:w="89" w:type="dxa"/>
              <w:left w:w="89" w:type="dxa"/>
              <w:bottom w:w="89" w:type="dxa"/>
              <w:right w:w="89" w:type="dxa"/>
            </w:tcMar>
            <w:vAlign w:val="center"/>
          </w:tcPr>
          <w:p w14:paraId="5EDE320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5FEDCD33">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2D995713">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r>
      <w:tr w14:paraId="44C7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0D0CEC01">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14:paraId="4AE1B360">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63928D08">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10" w:type="dxa"/>
            <w:shd w:val="clear" w:color="auto" w:fill="auto"/>
            <w:tcMar>
              <w:top w:w="89" w:type="dxa"/>
              <w:left w:w="89" w:type="dxa"/>
              <w:bottom w:w="89" w:type="dxa"/>
              <w:right w:w="89" w:type="dxa"/>
            </w:tcMar>
            <w:vAlign w:val="center"/>
          </w:tcPr>
          <w:p w14:paraId="37B8B1F8">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14:paraId="16B3D71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14:paraId="33872259">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53CAFA26">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14:paraId="575A3F6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69E8D06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14:paraId="1C205B3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5755AF4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14:paraId="02C2548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14:paraId="4C330492">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7332CD8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14:paraId="71BF76A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4E63DD5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233B683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2A88F07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460D2CB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1FD74AC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1D9AF6A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3D702BA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1F5E701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17438AE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6116A83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46E7B1F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4D88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638" w:type="dxa"/>
            <w:vMerge w:val="continue"/>
            <w:shd w:val="clear" w:color="auto" w:fill="auto"/>
            <w:tcMar>
              <w:top w:w="89" w:type="dxa"/>
              <w:left w:w="89" w:type="dxa"/>
              <w:bottom w:w="89" w:type="dxa"/>
              <w:right w:w="89" w:type="dxa"/>
            </w:tcMar>
            <w:vAlign w:val="center"/>
          </w:tcPr>
          <w:p w14:paraId="3128970E">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14:paraId="03C9FF94">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29D6EC69">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10" w:type="dxa"/>
            <w:shd w:val="clear" w:color="auto" w:fill="auto"/>
            <w:tcMar>
              <w:top w:w="89" w:type="dxa"/>
              <w:left w:w="89" w:type="dxa"/>
              <w:bottom w:w="89" w:type="dxa"/>
              <w:right w:w="89" w:type="dxa"/>
            </w:tcMar>
            <w:vAlign w:val="center"/>
          </w:tcPr>
          <w:p w14:paraId="6C160C11">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389" w:type="dxa"/>
            <w:shd w:val="clear" w:color="auto" w:fill="auto"/>
            <w:tcMar>
              <w:top w:w="89" w:type="dxa"/>
              <w:left w:w="89" w:type="dxa"/>
              <w:bottom w:w="89" w:type="dxa"/>
              <w:right w:w="89" w:type="dxa"/>
            </w:tcMar>
            <w:vAlign w:val="center"/>
          </w:tcPr>
          <w:p w14:paraId="25117BAB">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485" w:type="dxa"/>
            <w:shd w:val="clear" w:color="auto" w:fill="auto"/>
            <w:tcMar>
              <w:top w:w="89" w:type="dxa"/>
              <w:left w:w="89" w:type="dxa"/>
              <w:bottom w:w="89" w:type="dxa"/>
              <w:right w:w="89" w:type="dxa"/>
            </w:tcMar>
            <w:vAlign w:val="center"/>
          </w:tcPr>
          <w:p w14:paraId="34DC7F82">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KT</w:t>
            </w:r>
          </w:p>
        </w:tc>
        <w:tc>
          <w:tcPr>
            <w:tcW w:w="474" w:type="dxa"/>
            <w:shd w:val="clear" w:color="auto" w:fill="auto"/>
            <w:tcMar>
              <w:top w:w="89" w:type="dxa"/>
              <w:left w:w="89" w:type="dxa"/>
              <w:bottom w:w="89" w:type="dxa"/>
              <w:right w:w="89" w:type="dxa"/>
            </w:tcMar>
            <w:vAlign w:val="center"/>
          </w:tcPr>
          <w:p w14:paraId="1BA8DC4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1" w:type="dxa"/>
            <w:shd w:val="clear" w:color="auto" w:fill="auto"/>
            <w:tcMar>
              <w:top w:w="89" w:type="dxa"/>
              <w:left w:w="89" w:type="dxa"/>
              <w:bottom w:w="89" w:type="dxa"/>
              <w:right w:w="89" w:type="dxa"/>
            </w:tcMar>
            <w:vAlign w:val="center"/>
          </w:tcPr>
          <w:p w14:paraId="6CC2AF8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KT</w:t>
            </w:r>
          </w:p>
        </w:tc>
        <w:tc>
          <w:tcPr>
            <w:tcW w:w="480" w:type="dxa"/>
            <w:shd w:val="clear" w:color="auto" w:fill="auto"/>
            <w:tcMar>
              <w:top w:w="89" w:type="dxa"/>
              <w:left w:w="89" w:type="dxa"/>
              <w:bottom w:w="89" w:type="dxa"/>
              <w:right w:w="89" w:type="dxa"/>
            </w:tcMar>
            <w:vAlign w:val="center"/>
          </w:tcPr>
          <w:p w14:paraId="090ED62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4" w:type="dxa"/>
            <w:shd w:val="clear" w:color="auto" w:fill="auto"/>
            <w:tcMar>
              <w:top w:w="89" w:type="dxa"/>
              <w:left w:w="89" w:type="dxa"/>
              <w:bottom w:w="89" w:type="dxa"/>
              <w:right w:w="89" w:type="dxa"/>
            </w:tcMar>
            <w:vAlign w:val="center"/>
          </w:tcPr>
          <w:p w14:paraId="107DA99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033834C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502" w:type="dxa"/>
            <w:shd w:val="clear" w:color="auto" w:fill="auto"/>
            <w:tcMar>
              <w:top w:w="89" w:type="dxa"/>
              <w:left w:w="89" w:type="dxa"/>
              <w:bottom w:w="89" w:type="dxa"/>
              <w:right w:w="89" w:type="dxa"/>
            </w:tcMar>
            <w:vAlign w:val="center"/>
          </w:tcPr>
          <w:p w14:paraId="3510A2F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2" w:type="dxa"/>
            <w:gridSpan w:val="2"/>
            <w:shd w:val="clear" w:color="auto" w:fill="auto"/>
            <w:tcMar>
              <w:top w:w="89" w:type="dxa"/>
              <w:left w:w="89" w:type="dxa"/>
              <w:bottom w:w="89" w:type="dxa"/>
              <w:right w:w="89" w:type="dxa"/>
            </w:tcMar>
            <w:vAlign w:val="center"/>
          </w:tcPr>
          <w:p w14:paraId="3A1B414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0989D7A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76666BA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5AB1546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6317528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1F89531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1C697AE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574FF56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511DA26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6A7F222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324C96E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41D7714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6C7BC0E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70BBA5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5A21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3FECB807">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446EE804">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590AD5C3">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pacing w:val="-2"/>
                <w:sz w:val="24"/>
                <w:szCs w:val="21"/>
              </w:rPr>
              <w:t>WH</w:t>
            </w:r>
          </w:p>
        </w:tc>
        <w:tc>
          <w:tcPr>
            <w:tcW w:w="389" w:type="dxa"/>
            <w:shd w:val="clear" w:color="auto" w:fill="auto"/>
            <w:tcMar>
              <w:top w:w="89" w:type="dxa"/>
              <w:left w:w="89" w:type="dxa"/>
              <w:bottom w:w="89" w:type="dxa"/>
              <w:right w:w="89" w:type="dxa"/>
            </w:tcMar>
            <w:vAlign w:val="center"/>
          </w:tcPr>
          <w:p w14:paraId="15308D66">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85" w:type="dxa"/>
            <w:shd w:val="clear" w:color="auto" w:fill="auto"/>
            <w:tcMar>
              <w:top w:w="89" w:type="dxa"/>
              <w:left w:w="89" w:type="dxa"/>
              <w:bottom w:w="89" w:type="dxa"/>
              <w:right w:w="89" w:type="dxa"/>
            </w:tcMar>
            <w:vAlign w:val="center"/>
          </w:tcPr>
          <w:p w14:paraId="2B3E5CAE">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14:paraId="064B007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91" w:type="dxa"/>
            <w:shd w:val="clear" w:color="auto" w:fill="auto"/>
            <w:tcMar>
              <w:top w:w="89" w:type="dxa"/>
              <w:left w:w="89" w:type="dxa"/>
              <w:bottom w:w="89" w:type="dxa"/>
              <w:right w:w="89" w:type="dxa"/>
            </w:tcMar>
            <w:vAlign w:val="center"/>
          </w:tcPr>
          <w:p w14:paraId="326B0EB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WH</w:t>
            </w:r>
          </w:p>
        </w:tc>
        <w:tc>
          <w:tcPr>
            <w:tcW w:w="480" w:type="dxa"/>
            <w:shd w:val="clear" w:color="auto" w:fill="auto"/>
            <w:tcMar>
              <w:top w:w="89" w:type="dxa"/>
              <w:left w:w="89" w:type="dxa"/>
              <w:bottom w:w="89" w:type="dxa"/>
              <w:right w:w="89" w:type="dxa"/>
            </w:tcMar>
            <w:vAlign w:val="center"/>
          </w:tcPr>
          <w:p w14:paraId="2B77EAE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74" w:type="dxa"/>
            <w:shd w:val="clear" w:color="auto" w:fill="auto"/>
            <w:tcMar>
              <w:top w:w="89" w:type="dxa"/>
              <w:left w:w="89" w:type="dxa"/>
              <w:bottom w:w="89" w:type="dxa"/>
              <w:right w:w="89" w:type="dxa"/>
            </w:tcMar>
            <w:vAlign w:val="center"/>
          </w:tcPr>
          <w:p w14:paraId="1A00348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0" w:type="dxa"/>
            <w:shd w:val="clear" w:color="auto" w:fill="auto"/>
            <w:tcMar>
              <w:top w:w="89" w:type="dxa"/>
              <w:left w:w="89" w:type="dxa"/>
              <w:bottom w:w="89" w:type="dxa"/>
              <w:right w:w="89" w:type="dxa"/>
            </w:tcMar>
            <w:vAlign w:val="center"/>
          </w:tcPr>
          <w:p w14:paraId="3BD9F23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2" w:type="dxa"/>
            <w:shd w:val="clear" w:color="auto" w:fill="auto"/>
            <w:tcMar>
              <w:top w:w="89" w:type="dxa"/>
              <w:left w:w="89" w:type="dxa"/>
              <w:bottom w:w="89" w:type="dxa"/>
              <w:right w:w="89" w:type="dxa"/>
            </w:tcMar>
            <w:vAlign w:val="center"/>
          </w:tcPr>
          <w:p w14:paraId="6C240C6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482" w:type="dxa"/>
            <w:gridSpan w:val="2"/>
            <w:shd w:val="clear" w:color="auto" w:fill="auto"/>
            <w:tcMar>
              <w:top w:w="89" w:type="dxa"/>
              <w:left w:w="89" w:type="dxa"/>
              <w:bottom w:w="89" w:type="dxa"/>
              <w:right w:w="89" w:type="dxa"/>
            </w:tcMar>
            <w:vAlign w:val="center"/>
          </w:tcPr>
          <w:p w14:paraId="200F1D6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6B797964">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WH</w:t>
            </w:r>
          </w:p>
        </w:tc>
        <w:tc>
          <w:tcPr>
            <w:tcW w:w="483" w:type="dxa"/>
            <w:shd w:val="clear" w:color="auto" w:fill="auto"/>
            <w:tcMar>
              <w:top w:w="89" w:type="dxa"/>
              <w:left w:w="89" w:type="dxa"/>
              <w:bottom w:w="89" w:type="dxa"/>
              <w:right w:w="89" w:type="dxa"/>
            </w:tcMar>
            <w:vAlign w:val="center"/>
          </w:tcPr>
          <w:p w14:paraId="3F1B4B4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14:paraId="58F1D42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7" w:type="dxa"/>
            <w:shd w:val="clear" w:color="auto" w:fill="auto"/>
            <w:tcMar>
              <w:top w:w="89" w:type="dxa"/>
              <w:left w:w="89" w:type="dxa"/>
              <w:bottom w:w="89" w:type="dxa"/>
              <w:right w:w="89" w:type="dxa"/>
            </w:tcMar>
            <w:vAlign w:val="center"/>
          </w:tcPr>
          <w:p w14:paraId="4F63AFF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WH</w:t>
            </w:r>
          </w:p>
        </w:tc>
        <w:tc>
          <w:tcPr>
            <w:tcW w:w="505" w:type="dxa"/>
            <w:shd w:val="clear" w:color="auto" w:fill="auto"/>
            <w:tcMar>
              <w:top w:w="89" w:type="dxa"/>
              <w:left w:w="89" w:type="dxa"/>
              <w:bottom w:w="89" w:type="dxa"/>
              <w:right w:w="89" w:type="dxa"/>
            </w:tcMar>
            <w:vAlign w:val="center"/>
          </w:tcPr>
          <w:p w14:paraId="2CAC9EB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69" w:type="dxa"/>
            <w:shd w:val="clear" w:color="auto" w:fill="auto"/>
            <w:tcMar>
              <w:top w:w="89" w:type="dxa"/>
              <w:left w:w="89" w:type="dxa"/>
              <w:bottom w:w="89" w:type="dxa"/>
              <w:right w:w="89" w:type="dxa"/>
            </w:tcMar>
            <w:vAlign w:val="center"/>
          </w:tcPr>
          <w:p w14:paraId="4A18A5C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69A3875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94" w:type="dxa"/>
            <w:shd w:val="clear" w:color="auto" w:fill="auto"/>
            <w:tcMar>
              <w:top w:w="89" w:type="dxa"/>
              <w:left w:w="89" w:type="dxa"/>
              <w:bottom w:w="89" w:type="dxa"/>
              <w:right w:w="89" w:type="dxa"/>
            </w:tcMar>
            <w:vAlign w:val="center"/>
          </w:tcPr>
          <w:p w14:paraId="4303069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1C829C6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3" w:type="dxa"/>
            <w:shd w:val="clear" w:color="auto" w:fill="auto"/>
            <w:tcMar>
              <w:top w:w="89" w:type="dxa"/>
              <w:left w:w="89" w:type="dxa"/>
              <w:bottom w:w="89" w:type="dxa"/>
              <w:right w:w="89" w:type="dxa"/>
            </w:tcMar>
            <w:vAlign w:val="center"/>
          </w:tcPr>
          <w:p w14:paraId="47751BB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94" w:type="dxa"/>
            <w:shd w:val="clear" w:color="auto" w:fill="auto"/>
            <w:tcMar>
              <w:top w:w="89" w:type="dxa"/>
              <w:left w:w="89" w:type="dxa"/>
              <w:bottom w:w="89" w:type="dxa"/>
              <w:right w:w="89" w:type="dxa"/>
            </w:tcMar>
            <w:vAlign w:val="center"/>
          </w:tcPr>
          <w:p w14:paraId="6ADB538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345D916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5D0911A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r>
      <w:tr w14:paraId="6E36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326D1C80">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20482B86">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14:paraId="0590FA6E">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389" w:type="dxa"/>
            <w:shd w:val="clear" w:color="auto" w:fill="auto"/>
            <w:tcMar>
              <w:top w:w="89" w:type="dxa"/>
              <w:left w:w="89" w:type="dxa"/>
              <w:bottom w:w="89" w:type="dxa"/>
              <w:right w:w="89" w:type="dxa"/>
            </w:tcMar>
            <w:vAlign w:val="center"/>
          </w:tcPr>
          <w:p w14:paraId="57F9A975">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14:paraId="21685F63">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14:paraId="58A90C9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14:paraId="4F2389AF">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51D337D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14:paraId="40391D1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31ED3B8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2" w:type="dxa"/>
            <w:shd w:val="clear" w:color="auto" w:fill="auto"/>
            <w:tcMar>
              <w:top w:w="89" w:type="dxa"/>
              <w:left w:w="89" w:type="dxa"/>
              <w:bottom w:w="89" w:type="dxa"/>
              <w:right w:w="89" w:type="dxa"/>
            </w:tcMar>
            <w:vAlign w:val="center"/>
          </w:tcPr>
          <w:p w14:paraId="0B2FAA8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2" w:type="dxa"/>
            <w:gridSpan w:val="2"/>
            <w:shd w:val="clear" w:color="auto" w:fill="auto"/>
            <w:tcMar>
              <w:top w:w="89" w:type="dxa"/>
              <w:left w:w="89" w:type="dxa"/>
              <w:bottom w:w="89" w:type="dxa"/>
              <w:right w:w="89" w:type="dxa"/>
            </w:tcMar>
            <w:vAlign w:val="center"/>
          </w:tcPr>
          <w:p w14:paraId="2552D23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7539011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83" w:type="dxa"/>
            <w:shd w:val="clear" w:color="auto" w:fill="auto"/>
            <w:tcMar>
              <w:top w:w="89" w:type="dxa"/>
              <w:left w:w="89" w:type="dxa"/>
              <w:bottom w:w="89" w:type="dxa"/>
              <w:right w:w="89" w:type="dxa"/>
            </w:tcMar>
            <w:vAlign w:val="center"/>
          </w:tcPr>
          <w:p w14:paraId="64829FB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0A886C5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14:paraId="212896C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5" w:type="dxa"/>
            <w:shd w:val="clear" w:color="auto" w:fill="auto"/>
            <w:tcMar>
              <w:top w:w="89" w:type="dxa"/>
              <w:left w:w="89" w:type="dxa"/>
              <w:bottom w:w="89" w:type="dxa"/>
              <w:right w:w="89" w:type="dxa"/>
            </w:tcMar>
            <w:vAlign w:val="center"/>
          </w:tcPr>
          <w:p w14:paraId="6248464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14:paraId="20F7CE2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685B850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18663F8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0A3209F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7128A92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4B2373D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1B2446E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0E2F087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14:paraId="512C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6D541981">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5C263B91">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14:paraId="11D7C986">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389" w:type="dxa"/>
            <w:shd w:val="clear" w:color="auto" w:fill="auto"/>
            <w:tcMar>
              <w:top w:w="89" w:type="dxa"/>
              <w:left w:w="89" w:type="dxa"/>
              <w:bottom w:w="89" w:type="dxa"/>
              <w:right w:w="89" w:type="dxa"/>
            </w:tcMar>
            <w:vAlign w:val="center"/>
          </w:tcPr>
          <w:p w14:paraId="3840C3BF">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14:paraId="5FCEC48B">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14:paraId="0BBDC7C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1" w:type="dxa"/>
            <w:shd w:val="clear" w:color="auto" w:fill="auto"/>
            <w:tcMar>
              <w:top w:w="89" w:type="dxa"/>
              <w:left w:w="89" w:type="dxa"/>
              <w:bottom w:w="89" w:type="dxa"/>
              <w:right w:w="89" w:type="dxa"/>
            </w:tcMar>
            <w:vAlign w:val="center"/>
          </w:tcPr>
          <w:p w14:paraId="3A84180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49D438C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4" w:type="dxa"/>
            <w:shd w:val="clear" w:color="auto" w:fill="auto"/>
            <w:tcMar>
              <w:top w:w="89" w:type="dxa"/>
              <w:left w:w="89" w:type="dxa"/>
              <w:bottom w:w="89" w:type="dxa"/>
              <w:right w:w="89" w:type="dxa"/>
            </w:tcMar>
            <w:vAlign w:val="center"/>
          </w:tcPr>
          <w:p w14:paraId="4615732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68B6A84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502" w:type="dxa"/>
            <w:shd w:val="clear" w:color="auto" w:fill="auto"/>
            <w:tcMar>
              <w:top w:w="89" w:type="dxa"/>
              <w:left w:w="89" w:type="dxa"/>
              <w:bottom w:w="89" w:type="dxa"/>
              <w:right w:w="89" w:type="dxa"/>
            </w:tcMar>
            <w:vAlign w:val="center"/>
          </w:tcPr>
          <w:p w14:paraId="106C9D0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2" w:type="dxa"/>
            <w:gridSpan w:val="2"/>
            <w:shd w:val="clear" w:color="auto" w:fill="auto"/>
            <w:tcMar>
              <w:top w:w="89" w:type="dxa"/>
              <w:left w:w="89" w:type="dxa"/>
              <w:bottom w:w="89" w:type="dxa"/>
              <w:right w:w="89" w:type="dxa"/>
            </w:tcMar>
            <w:vAlign w:val="center"/>
          </w:tcPr>
          <w:p w14:paraId="279C512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14:paraId="2E93A83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4C9CF0F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040087C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77" w:type="dxa"/>
            <w:shd w:val="clear" w:color="auto" w:fill="auto"/>
            <w:tcMar>
              <w:top w:w="89" w:type="dxa"/>
              <w:left w:w="89" w:type="dxa"/>
              <w:bottom w:w="89" w:type="dxa"/>
              <w:right w:w="89" w:type="dxa"/>
            </w:tcMar>
            <w:vAlign w:val="center"/>
          </w:tcPr>
          <w:p w14:paraId="59ABF61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505" w:type="dxa"/>
            <w:shd w:val="clear" w:color="auto" w:fill="auto"/>
            <w:tcMar>
              <w:top w:w="89" w:type="dxa"/>
              <w:left w:w="89" w:type="dxa"/>
              <w:bottom w:w="89" w:type="dxa"/>
              <w:right w:w="89" w:type="dxa"/>
            </w:tcMar>
            <w:vAlign w:val="center"/>
          </w:tcPr>
          <w:p w14:paraId="33B3546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69" w:type="dxa"/>
            <w:shd w:val="clear" w:color="auto" w:fill="auto"/>
            <w:tcMar>
              <w:top w:w="89" w:type="dxa"/>
              <w:left w:w="89" w:type="dxa"/>
              <w:bottom w:w="89" w:type="dxa"/>
              <w:right w:w="89" w:type="dxa"/>
            </w:tcMar>
            <w:vAlign w:val="center"/>
          </w:tcPr>
          <w:p w14:paraId="4C90655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8" w:type="dxa"/>
            <w:shd w:val="clear" w:color="auto" w:fill="auto"/>
            <w:tcMar>
              <w:top w:w="89" w:type="dxa"/>
              <w:left w:w="89" w:type="dxa"/>
              <w:bottom w:w="89" w:type="dxa"/>
              <w:right w:w="89" w:type="dxa"/>
            </w:tcMar>
            <w:vAlign w:val="center"/>
          </w:tcPr>
          <w:p w14:paraId="38C61A5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14:paraId="25E9586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51580F7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3" w:type="dxa"/>
            <w:shd w:val="clear" w:color="auto" w:fill="auto"/>
            <w:tcMar>
              <w:top w:w="89" w:type="dxa"/>
              <w:left w:w="89" w:type="dxa"/>
              <w:bottom w:w="89" w:type="dxa"/>
              <w:right w:w="89" w:type="dxa"/>
            </w:tcMar>
            <w:vAlign w:val="center"/>
          </w:tcPr>
          <w:p w14:paraId="42AC3E2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94" w:type="dxa"/>
            <w:shd w:val="clear" w:color="auto" w:fill="auto"/>
            <w:tcMar>
              <w:top w:w="89" w:type="dxa"/>
              <w:left w:w="89" w:type="dxa"/>
              <w:bottom w:w="89" w:type="dxa"/>
              <w:right w:w="89" w:type="dxa"/>
            </w:tcMar>
            <w:vAlign w:val="center"/>
          </w:tcPr>
          <w:p w14:paraId="2C9B1F6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0" w:type="dxa"/>
            <w:shd w:val="clear" w:color="auto" w:fill="auto"/>
            <w:tcMar>
              <w:top w:w="89" w:type="dxa"/>
              <w:left w:w="89" w:type="dxa"/>
              <w:bottom w:w="89" w:type="dxa"/>
              <w:right w:w="89" w:type="dxa"/>
            </w:tcMar>
            <w:vAlign w:val="center"/>
          </w:tcPr>
          <w:p w14:paraId="564091D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c>
          <w:tcPr>
            <w:tcW w:w="485" w:type="dxa"/>
            <w:shd w:val="clear" w:color="auto" w:fill="auto"/>
            <w:tcMar>
              <w:top w:w="89" w:type="dxa"/>
              <w:left w:w="89" w:type="dxa"/>
              <w:bottom w:w="89" w:type="dxa"/>
              <w:right w:w="89" w:type="dxa"/>
            </w:tcMar>
            <w:vAlign w:val="center"/>
          </w:tcPr>
          <w:p w14:paraId="2B20227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MX</w:t>
            </w:r>
          </w:p>
        </w:tc>
      </w:tr>
      <w:tr w14:paraId="0486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restart"/>
            <w:shd w:val="clear" w:color="auto" w:fill="auto"/>
            <w:tcMar>
              <w:top w:w="89" w:type="dxa"/>
              <w:left w:w="89" w:type="dxa"/>
              <w:bottom w:w="89" w:type="dxa"/>
              <w:right w:w="89" w:type="dxa"/>
            </w:tcMar>
            <w:vAlign w:val="center"/>
          </w:tcPr>
          <w:p w14:paraId="691CACD5">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37" w:type="dxa"/>
            <w:vMerge w:val="restart"/>
            <w:shd w:val="clear" w:color="auto" w:fill="auto"/>
            <w:tcMar>
              <w:top w:w="89" w:type="dxa"/>
              <w:left w:w="89" w:type="dxa"/>
              <w:bottom w:w="89" w:type="dxa"/>
              <w:right w:w="89" w:type="dxa"/>
            </w:tcMar>
            <w:vAlign w:val="center"/>
          </w:tcPr>
          <w:p w14:paraId="54C177DC">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公共中心</w:t>
            </w:r>
          </w:p>
        </w:tc>
        <w:tc>
          <w:tcPr>
            <w:tcW w:w="1797" w:type="dxa"/>
            <w:shd w:val="clear" w:color="auto" w:fill="auto"/>
            <w:tcMar>
              <w:top w:w="89" w:type="dxa"/>
              <w:left w:w="89" w:type="dxa"/>
              <w:bottom w:w="89" w:type="dxa"/>
              <w:right w:w="89" w:type="dxa"/>
            </w:tcMar>
            <w:vAlign w:val="center"/>
          </w:tcPr>
          <w:p w14:paraId="18151360">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26E5C997">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389" w:type="dxa"/>
            <w:shd w:val="clear" w:color="auto" w:fill="auto"/>
            <w:tcMar>
              <w:top w:w="89" w:type="dxa"/>
              <w:left w:w="89" w:type="dxa"/>
              <w:bottom w:w="89" w:type="dxa"/>
              <w:right w:w="89" w:type="dxa"/>
            </w:tcMar>
            <w:vAlign w:val="center"/>
          </w:tcPr>
          <w:p w14:paraId="3E91D78A">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85" w:type="dxa"/>
            <w:shd w:val="clear" w:color="auto" w:fill="auto"/>
            <w:tcMar>
              <w:top w:w="89" w:type="dxa"/>
              <w:left w:w="89" w:type="dxa"/>
              <w:bottom w:w="89" w:type="dxa"/>
              <w:right w:w="89" w:type="dxa"/>
            </w:tcMar>
            <w:vAlign w:val="center"/>
          </w:tcPr>
          <w:p w14:paraId="064C887C">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0AF2068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KT</w:t>
            </w:r>
          </w:p>
        </w:tc>
        <w:tc>
          <w:tcPr>
            <w:tcW w:w="491" w:type="dxa"/>
            <w:shd w:val="clear" w:color="auto" w:fill="auto"/>
            <w:tcMar>
              <w:top w:w="89" w:type="dxa"/>
              <w:left w:w="89" w:type="dxa"/>
              <w:bottom w:w="89" w:type="dxa"/>
              <w:right w:w="89" w:type="dxa"/>
            </w:tcMar>
            <w:vAlign w:val="center"/>
          </w:tcPr>
          <w:p w14:paraId="49A28B91">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1334858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74" w:type="dxa"/>
            <w:shd w:val="clear" w:color="auto" w:fill="auto"/>
            <w:tcMar>
              <w:top w:w="89" w:type="dxa"/>
              <w:left w:w="89" w:type="dxa"/>
              <w:bottom w:w="89" w:type="dxa"/>
              <w:right w:w="89" w:type="dxa"/>
            </w:tcMar>
            <w:vAlign w:val="center"/>
          </w:tcPr>
          <w:p w14:paraId="272B00A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0" w:type="dxa"/>
            <w:shd w:val="clear" w:color="auto" w:fill="auto"/>
            <w:tcMar>
              <w:top w:w="89" w:type="dxa"/>
              <w:left w:w="89" w:type="dxa"/>
              <w:bottom w:w="89" w:type="dxa"/>
              <w:right w:w="89" w:type="dxa"/>
            </w:tcMar>
            <w:vAlign w:val="center"/>
          </w:tcPr>
          <w:p w14:paraId="54EC3A3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502" w:type="dxa"/>
            <w:shd w:val="clear" w:color="auto" w:fill="auto"/>
            <w:tcMar>
              <w:top w:w="89" w:type="dxa"/>
              <w:left w:w="89" w:type="dxa"/>
              <w:bottom w:w="89" w:type="dxa"/>
              <w:right w:w="89" w:type="dxa"/>
            </w:tcMar>
            <w:vAlign w:val="center"/>
          </w:tcPr>
          <w:p w14:paraId="52ED97D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KT</w:t>
            </w:r>
          </w:p>
        </w:tc>
        <w:tc>
          <w:tcPr>
            <w:tcW w:w="482" w:type="dxa"/>
            <w:gridSpan w:val="2"/>
            <w:shd w:val="clear" w:color="auto" w:fill="auto"/>
            <w:tcMar>
              <w:top w:w="89" w:type="dxa"/>
              <w:left w:w="89" w:type="dxa"/>
              <w:bottom w:w="89" w:type="dxa"/>
              <w:right w:w="89" w:type="dxa"/>
            </w:tcMar>
            <w:vAlign w:val="center"/>
          </w:tcPr>
          <w:p w14:paraId="181A7095">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5FC581BC">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KT</w:t>
            </w:r>
          </w:p>
        </w:tc>
        <w:tc>
          <w:tcPr>
            <w:tcW w:w="483" w:type="dxa"/>
            <w:shd w:val="clear" w:color="auto" w:fill="auto"/>
            <w:tcMar>
              <w:top w:w="89" w:type="dxa"/>
              <w:left w:w="89" w:type="dxa"/>
              <w:bottom w:w="89" w:type="dxa"/>
              <w:right w:w="89" w:type="dxa"/>
            </w:tcMar>
            <w:vAlign w:val="center"/>
          </w:tcPr>
          <w:p w14:paraId="7E8A21C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63869F1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7D41BF4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60635F5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4B97DA9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1F5BE15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1437DB8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496F2C2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08FD889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7F2A7C2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1BE84CA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5CA21D5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5F2B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3A6038CA">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14:paraId="02170B31">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0D0498E6">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w:t>
            </w:r>
          </w:p>
        </w:tc>
        <w:tc>
          <w:tcPr>
            <w:tcW w:w="410" w:type="dxa"/>
            <w:shd w:val="clear" w:color="auto" w:fill="auto"/>
            <w:tcMar>
              <w:top w:w="89" w:type="dxa"/>
              <w:left w:w="89" w:type="dxa"/>
              <w:bottom w:w="89" w:type="dxa"/>
              <w:right w:w="89" w:type="dxa"/>
            </w:tcMar>
            <w:vAlign w:val="center"/>
          </w:tcPr>
          <w:p w14:paraId="04B33E71">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389" w:type="dxa"/>
            <w:shd w:val="clear" w:color="auto" w:fill="auto"/>
            <w:tcMar>
              <w:top w:w="89" w:type="dxa"/>
              <w:left w:w="89" w:type="dxa"/>
              <w:bottom w:w="89" w:type="dxa"/>
              <w:right w:w="89" w:type="dxa"/>
            </w:tcMar>
            <w:vAlign w:val="center"/>
          </w:tcPr>
          <w:p w14:paraId="18883789">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14:paraId="50DBA635">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14:paraId="530DB8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91" w:type="dxa"/>
            <w:shd w:val="clear" w:color="auto" w:fill="auto"/>
            <w:tcMar>
              <w:top w:w="89" w:type="dxa"/>
              <w:left w:w="89" w:type="dxa"/>
              <w:bottom w:w="89" w:type="dxa"/>
              <w:right w:w="89" w:type="dxa"/>
            </w:tcMar>
            <w:vAlign w:val="center"/>
          </w:tcPr>
          <w:p w14:paraId="5C115EC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6C210B5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74" w:type="dxa"/>
            <w:shd w:val="clear" w:color="auto" w:fill="auto"/>
            <w:tcMar>
              <w:top w:w="89" w:type="dxa"/>
              <w:left w:w="89" w:type="dxa"/>
              <w:bottom w:w="89" w:type="dxa"/>
              <w:right w:w="89" w:type="dxa"/>
            </w:tcMar>
            <w:vAlign w:val="center"/>
          </w:tcPr>
          <w:p w14:paraId="4D4F848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0" w:type="dxa"/>
            <w:shd w:val="clear" w:color="auto" w:fill="auto"/>
            <w:tcMar>
              <w:top w:w="89" w:type="dxa"/>
              <w:left w:w="89" w:type="dxa"/>
              <w:bottom w:w="89" w:type="dxa"/>
              <w:right w:w="89" w:type="dxa"/>
            </w:tcMar>
            <w:vAlign w:val="center"/>
          </w:tcPr>
          <w:p w14:paraId="2048B68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2" w:type="dxa"/>
            <w:shd w:val="clear" w:color="auto" w:fill="auto"/>
            <w:tcMar>
              <w:top w:w="89" w:type="dxa"/>
              <w:left w:w="89" w:type="dxa"/>
              <w:bottom w:w="89" w:type="dxa"/>
              <w:right w:w="89" w:type="dxa"/>
            </w:tcMar>
            <w:vAlign w:val="center"/>
          </w:tcPr>
          <w:p w14:paraId="7AA5F75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KH</w:t>
            </w:r>
          </w:p>
        </w:tc>
        <w:tc>
          <w:tcPr>
            <w:tcW w:w="482" w:type="dxa"/>
            <w:gridSpan w:val="2"/>
            <w:shd w:val="clear" w:color="auto" w:fill="auto"/>
            <w:tcMar>
              <w:top w:w="89" w:type="dxa"/>
              <w:left w:w="89" w:type="dxa"/>
              <w:bottom w:w="89" w:type="dxa"/>
              <w:right w:w="89" w:type="dxa"/>
            </w:tcMar>
            <w:vAlign w:val="center"/>
          </w:tcPr>
          <w:p w14:paraId="5E0B7B1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7353256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1AE7D8B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6786CB4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77" w:type="dxa"/>
            <w:shd w:val="clear" w:color="auto" w:fill="auto"/>
            <w:tcMar>
              <w:top w:w="89" w:type="dxa"/>
              <w:left w:w="89" w:type="dxa"/>
              <w:bottom w:w="89" w:type="dxa"/>
              <w:right w:w="89" w:type="dxa"/>
            </w:tcMar>
            <w:vAlign w:val="center"/>
          </w:tcPr>
          <w:p w14:paraId="13735BD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505" w:type="dxa"/>
            <w:shd w:val="clear" w:color="auto" w:fill="auto"/>
            <w:tcMar>
              <w:top w:w="89" w:type="dxa"/>
              <w:left w:w="89" w:type="dxa"/>
              <w:bottom w:w="89" w:type="dxa"/>
              <w:right w:w="89" w:type="dxa"/>
            </w:tcMar>
            <w:vAlign w:val="center"/>
          </w:tcPr>
          <w:p w14:paraId="0F847BC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69" w:type="dxa"/>
            <w:shd w:val="clear" w:color="auto" w:fill="auto"/>
            <w:tcMar>
              <w:top w:w="89" w:type="dxa"/>
              <w:left w:w="89" w:type="dxa"/>
              <w:bottom w:w="89" w:type="dxa"/>
              <w:right w:w="89" w:type="dxa"/>
            </w:tcMar>
            <w:vAlign w:val="center"/>
          </w:tcPr>
          <w:p w14:paraId="04E3FB5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8" w:type="dxa"/>
            <w:shd w:val="clear" w:color="auto" w:fill="auto"/>
            <w:tcMar>
              <w:top w:w="89" w:type="dxa"/>
              <w:left w:w="89" w:type="dxa"/>
              <w:bottom w:w="89" w:type="dxa"/>
              <w:right w:w="89" w:type="dxa"/>
            </w:tcMar>
            <w:vAlign w:val="center"/>
          </w:tcPr>
          <w:p w14:paraId="4404D8B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350EC94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01F6947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3" w:type="dxa"/>
            <w:shd w:val="clear" w:color="auto" w:fill="auto"/>
            <w:tcMar>
              <w:top w:w="89" w:type="dxa"/>
              <w:left w:w="89" w:type="dxa"/>
              <w:bottom w:w="89" w:type="dxa"/>
              <w:right w:w="89" w:type="dxa"/>
            </w:tcMar>
            <w:vAlign w:val="center"/>
          </w:tcPr>
          <w:p w14:paraId="7A688CB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94" w:type="dxa"/>
            <w:shd w:val="clear" w:color="auto" w:fill="auto"/>
            <w:tcMar>
              <w:top w:w="89" w:type="dxa"/>
              <w:left w:w="89" w:type="dxa"/>
              <w:bottom w:w="89" w:type="dxa"/>
              <w:right w:w="89" w:type="dxa"/>
            </w:tcMar>
            <w:vAlign w:val="center"/>
          </w:tcPr>
          <w:p w14:paraId="21BCF28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0" w:type="dxa"/>
            <w:shd w:val="clear" w:color="auto" w:fill="auto"/>
            <w:tcMar>
              <w:top w:w="89" w:type="dxa"/>
              <w:left w:w="89" w:type="dxa"/>
              <w:bottom w:w="89" w:type="dxa"/>
              <w:right w:w="89" w:type="dxa"/>
            </w:tcMar>
            <w:vAlign w:val="center"/>
          </w:tcPr>
          <w:p w14:paraId="6B7A8E9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c>
          <w:tcPr>
            <w:tcW w:w="485" w:type="dxa"/>
            <w:shd w:val="clear" w:color="auto" w:fill="auto"/>
            <w:tcMar>
              <w:top w:w="89" w:type="dxa"/>
              <w:left w:w="89" w:type="dxa"/>
              <w:bottom w:w="89" w:type="dxa"/>
              <w:right w:w="89" w:type="dxa"/>
            </w:tcMar>
            <w:vAlign w:val="center"/>
          </w:tcPr>
          <w:p w14:paraId="5A85F1F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KX</w:t>
            </w:r>
          </w:p>
        </w:tc>
      </w:tr>
      <w:tr w14:paraId="60DD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000B5C33">
            <w:pPr>
              <w:pStyle w:val="210"/>
              <w:widowControl/>
              <w:adjustRightInd w:val="0"/>
              <w:snapToGrid w:val="0"/>
              <w:spacing w:line="260" w:lineRule="exact"/>
              <w:textAlignment w:val="baseline"/>
              <w:rPr>
                <w:rFonts w:ascii="宋体" w:hAnsi="宋体" w:eastAsia="仿宋_GB2312" w:cs="仿宋"/>
                <w:sz w:val="24"/>
                <w:szCs w:val="21"/>
              </w:rPr>
            </w:pPr>
          </w:p>
        </w:tc>
        <w:tc>
          <w:tcPr>
            <w:tcW w:w="537" w:type="dxa"/>
            <w:vMerge w:val="continue"/>
            <w:shd w:val="clear" w:color="auto" w:fill="auto"/>
            <w:tcMar>
              <w:top w:w="89" w:type="dxa"/>
              <w:left w:w="89" w:type="dxa"/>
              <w:bottom w:w="89" w:type="dxa"/>
              <w:right w:w="89" w:type="dxa"/>
            </w:tcMar>
            <w:vAlign w:val="center"/>
          </w:tcPr>
          <w:p w14:paraId="797872DF">
            <w:pPr>
              <w:pStyle w:val="210"/>
              <w:widowControl/>
              <w:adjustRightInd w:val="0"/>
              <w:snapToGrid w:val="0"/>
              <w:spacing w:line="260" w:lineRule="exact"/>
              <w:textAlignment w:val="baseline"/>
              <w:rPr>
                <w:rFonts w:ascii="宋体" w:hAnsi="宋体" w:eastAsia="仿宋_GB2312" w:cs="仿宋"/>
                <w:sz w:val="24"/>
                <w:szCs w:val="21"/>
              </w:rPr>
            </w:pPr>
          </w:p>
        </w:tc>
        <w:tc>
          <w:tcPr>
            <w:tcW w:w="1797" w:type="dxa"/>
            <w:shd w:val="clear" w:color="auto" w:fill="auto"/>
            <w:tcMar>
              <w:top w:w="89" w:type="dxa"/>
              <w:left w:w="89" w:type="dxa"/>
              <w:bottom w:w="89" w:type="dxa"/>
              <w:right w:w="89" w:type="dxa"/>
            </w:tcMar>
            <w:vAlign w:val="center"/>
          </w:tcPr>
          <w:p w14:paraId="2D16326D">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边缘集团</w:t>
            </w:r>
          </w:p>
        </w:tc>
        <w:tc>
          <w:tcPr>
            <w:tcW w:w="410" w:type="dxa"/>
            <w:shd w:val="clear" w:color="auto" w:fill="auto"/>
            <w:tcMar>
              <w:top w:w="89" w:type="dxa"/>
              <w:left w:w="89" w:type="dxa"/>
              <w:bottom w:w="89" w:type="dxa"/>
              <w:right w:w="89" w:type="dxa"/>
            </w:tcMar>
            <w:vAlign w:val="center"/>
          </w:tcPr>
          <w:p w14:paraId="1CFE6D86">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389" w:type="dxa"/>
            <w:shd w:val="clear" w:color="auto" w:fill="auto"/>
            <w:tcMar>
              <w:top w:w="89" w:type="dxa"/>
              <w:left w:w="89" w:type="dxa"/>
              <w:bottom w:w="89" w:type="dxa"/>
              <w:right w:w="89" w:type="dxa"/>
            </w:tcMar>
            <w:vAlign w:val="center"/>
          </w:tcPr>
          <w:p w14:paraId="7C8D7FF8">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14:paraId="079E9346">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14:paraId="4191E9A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1" w:type="dxa"/>
            <w:shd w:val="clear" w:color="auto" w:fill="auto"/>
            <w:tcMar>
              <w:top w:w="89" w:type="dxa"/>
              <w:left w:w="89" w:type="dxa"/>
              <w:bottom w:w="89" w:type="dxa"/>
              <w:right w:w="89" w:type="dxa"/>
            </w:tcMar>
            <w:vAlign w:val="center"/>
          </w:tcPr>
          <w:p w14:paraId="6D1252A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7F2CD46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74" w:type="dxa"/>
            <w:shd w:val="clear" w:color="auto" w:fill="auto"/>
            <w:tcMar>
              <w:top w:w="89" w:type="dxa"/>
              <w:left w:w="89" w:type="dxa"/>
              <w:bottom w:w="89" w:type="dxa"/>
              <w:right w:w="89" w:type="dxa"/>
            </w:tcMar>
            <w:vAlign w:val="center"/>
          </w:tcPr>
          <w:p w14:paraId="48B1064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52C8626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502" w:type="dxa"/>
            <w:shd w:val="clear" w:color="auto" w:fill="auto"/>
            <w:tcMar>
              <w:top w:w="89" w:type="dxa"/>
              <w:left w:w="89" w:type="dxa"/>
              <w:bottom w:w="89" w:type="dxa"/>
              <w:right w:w="89" w:type="dxa"/>
            </w:tcMar>
            <w:vAlign w:val="center"/>
          </w:tcPr>
          <w:p w14:paraId="6F8DA0D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2" w:type="dxa"/>
            <w:gridSpan w:val="2"/>
            <w:shd w:val="clear" w:color="auto" w:fill="auto"/>
            <w:tcMar>
              <w:top w:w="89" w:type="dxa"/>
              <w:left w:w="89" w:type="dxa"/>
              <w:bottom w:w="89" w:type="dxa"/>
              <w:right w:w="89" w:type="dxa"/>
            </w:tcMar>
            <w:vAlign w:val="center"/>
          </w:tcPr>
          <w:p w14:paraId="24F3D1B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8" w:type="dxa"/>
            <w:shd w:val="clear" w:color="auto" w:fill="auto"/>
            <w:tcMar>
              <w:top w:w="89" w:type="dxa"/>
              <w:left w:w="89" w:type="dxa"/>
              <w:bottom w:w="89" w:type="dxa"/>
              <w:right w:w="89" w:type="dxa"/>
            </w:tcMar>
            <w:vAlign w:val="center"/>
          </w:tcPr>
          <w:p w14:paraId="12DC1C9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14:paraId="1A24249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14:paraId="6BECACB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77" w:type="dxa"/>
            <w:shd w:val="clear" w:color="auto" w:fill="auto"/>
            <w:tcMar>
              <w:top w:w="89" w:type="dxa"/>
              <w:left w:w="89" w:type="dxa"/>
              <w:bottom w:w="89" w:type="dxa"/>
              <w:right w:w="89" w:type="dxa"/>
            </w:tcMar>
            <w:vAlign w:val="center"/>
          </w:tcPr>
          <w:p w14:paraId="63214A6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505" w:type="dxa"/>
            <w:shd w:val="clear" w:color="auto" w:fill="auto"/>
            <w:tcMar>
              <w:top w:w="89" w:type="dxa"/>
              <w:left w:w="89" w:type="dxa"/>
              <w:bottom w:w="89" w:type="dxa"/>
              <w:right w:w="89" w:type="dxa"/>
            </w:tcMar>
            <w:vAlign w:val="center"/>
          </w:tcPr>
          <w:p w14:paraId="72E5F41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69" w:type="dxa"/>
            <w:shd w:val="clear" w:color="auto" w:fill="auto"/>
            <w:tcMar>
              <w:top w:w="89" w:type="dxa"/>
              <w:left w:w="89" w:type="dxa"/>
              <w:bottom w:w="89" w:type="dxa"/>
              <w:right w:w="89" w:type="dxa"/>
            </w:tcMar>
            <w:vAlign w:val="center"/>
          </w:tcPr>
          <w:p w14:paraId="09C225E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8" w:type="dxa"/>
            <w:shd w:val="clear" w:color="auto" w:fill="auto"/>
            <w:tcMar>
              <w:top w:w="89" w:type="dxa"/>
              <w:left w:w="89" w:type="dxa"/>
              <w:bottom w:w="89" w:type="dxa"/>
              <w:right w:w="89" w:type="dxa"/>
            </w:tcMar>
            <w:vAlign w:val="center"/>
          </w:tcPr>
          <w:p w14:paraId="1CFE986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4" w:type="dxa"/>
            <w:shd w:val="clear" w:color="auto" w:fill="auto"/>
            <w:tcMar>
              <w:top w:w="89" w:type="dxa"/>
              <w:left w:w="89" w:type="dxa"/>
              <w:bottom w:w="89" w:type="dxa"/>
              <w:right w:w="89" w:type="dxa"/>
            </w:tcMar>
            <w:vAlign w:val="center"/>
          </w:tcPr>
          <w:p w14:paraId="7B5E553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7AED118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3" w:type="dxa"/>
            <w:shd w:val="clear" w:color="auto" w:fill="auto"/>
            <w:tcMar>
              <w:top w:w="89" w:type="dxa"/>
              <w:left w:w="89" w:type="dxa"/>
              <w:bottom w:w="89" w:type="dxa"/>
              <w:right w:w="89" w:type="dxa"/>
            </w:tcMar>
            <w:vAlign w:val="center"/>
          </w:tcPr>
          <w:p w14:paraId="395DACB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94" w:type="dxa"/>
            <w:shd w:val="clear" w:color="auto" w:fill="auto"/>
            <w:tcMar>
              <w:top w:w="89" w:type="dxa"/>
              <w:left w:w="89" w:type="dxa"/>
              <w:bottom w:w="89" w:type="dxa"/>
              <w:right w:w="89" w:type="dxa"/>
            </w:tcMar>
            <w:vAlign w:val="center"/>
          </w:tcPr>
          <w:p w14:paraId="37DE30A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0" w:type="dxa"/>
            <w:shd w:val="clear" w:color="auto" w:fill="auto"/>
            <w:tcMar>
              <w:top w:w="89" w:type="dxa"/>
              <w:left w:w="89" w:type="dxa"/>
              <w:bottom w:w="89" w:type="dxa"/>
              <w:right w:w="89" w:type="dxa"/>
            </w:tcMar>
            <w:vAlign w:val="center"/>
          </w:tcPr>
          <w:p w14:paraId="7A08900F">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c>
          <w:tcPr>
            <w:tcW w:w="485" w:type="dxa"/>
            <w:shd w:val="clear" w:color="auto" w:fill="auto"/>
            <w:tcMar>
              <w:top w:w="89" w:type="dxa"/>
              <w:left w:w="89" w:type="dxa"/>
              <w:bottom w:w="89" w:type="dxa"/>
              <w:right w:w="89" w:type="dxa"/>
            </w:tcMar>
            <w:vAlign w:val="center"/>
          </w:tcPr>
          <w:p w14:paraId="244E3E3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KX</w:t>
            </w:r>
          </w:p>
        </w:tc>
      </w:tr>
      <w:tr w14:paraId="0189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556673CC">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631F667A">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中心地区</w:t>
            </w:r>
          </w:p>
        </w:tc>
        <w:tc>
          <w:tcPr>
            <w:tcW w:w="410" w:type="dxa"/>
            <w:shd w:val="clear" w:color="auto" w:fill="auto"/>
            <w:tcMar>
              <w:top w:w="89" w:type="dxa"/>
              <w:left w:w="89" w:type="dxa"/>
              <w:bottom w:w="89" w:type="dxa"/>
              <w:right w:w="89" w:type="dxa"/>
            </w:tcMar>
            <w:vAlign w:val="center"/>
          </w:tcPr>
          <w:p w14:paraId="439D925B">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389" w:type="dxa"/>
            <w:shd w:val="clear" w:color="auto" w:fill="auto"/>
            <w:tcMar>
              <w:top w:w="89" w:type="dxa"/>
              <w:left w:w="89" w:type="dxa"/>
              <w:bottom w:w="89" w:type="dxa"/>
              <w:right w:w="89" w:type="dxa"/>
            </w:tcMar>
            <w:vAlign w:val="center"/>
          </w:tcPr>
          <w:p w14:paraId="791FE04D">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85" w:type="dxa"/>
            <w:shd w:val="clear" w:color="auto" w:fill="auto"/>
            <w:tcMar>
              <w:top w:w="89" w:type="dxa"/>
              <w:left w:w="89" w:type="dxa"/>
              <w:bottom w:w="89" w:type="dxa"/>
              <w:right w:w="89" w:type="dxa"/>
            </w:tcMar>
            <w:vAlign w:val="center"/>
          </w:tcPr>
          <w:p w14:paraId="6AF0215F">
            <w:pPr>
              <w:widowControl/>
              <w:adjustRightInd w:val="0"/>
              <w:snapToGrid w:val="0"/>
              <w:spacing w:line="240" w:lineRule="exact"/>
              <w:jc w:val="center"/>
              <w:textAlignment w:val="baseline"/>
              <w:rPr>
                <w:rFonts w:ascii="宋体" w:hAnsi="宋体" w:eastAsia="仿宋_GB2312" w:cs="宋体"/>
                <w:kern w:val="0"/>
                <w:sz w:val="24"/>
                <w:szCs w:val="21"/>
                <w:lang w:bidi="ar"/>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14:paraId="74EE579E">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14:paraId="5380751A">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6E88EFE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74" w:type="dxa"/>
            <w:shd w:val="clear" w:color="auto" w:fill="auto"/>
            <w:tcMar>
              <w:top w:w="89" w:type="dxa"/>
              <w:left w:w="89" w:type="dxa"/>
              <w:bottom w:w="89" w:type="dxa"/>
              <w:right w:w="89" w:type="dxa"/>
            </w:tcMar>
            <w:vAlign w:val="center"/>
          </w:tcPr>
          <w:p w14:paraId="6EB1BD5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0" w:type="dxa"/>
            <w:shd w:val="clear" w:color="auto" w:fill="auto"/>
            <w:tcMar>
              <w:top w:w="89" w:type="dxa"/>
              <w:left w:w="89" w:type="dxa"/>
              <w:bottom w:w="89" w:type="dxa"/>
              <w:right w:w="89" w:type="dxa"/>
            </w:tcMar>
            <w:vAlign w:val="center"/>
          </w:tcPr>
          <w:p w14:paraId="4E2D53D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2" w:type="dxa"/>
            <w:shd w:val="clear" w:color="auto" w:fill="auto"/>
            <w:tcMar>
              <w:top w:w="89" w:type="dxa"/>
              <w:left w:w="89" w:type="dxa"/>
              <w:bottom w:w="89" w:type="dxa"/>
              <w:right w:w="89" w:type="dxa"/>
            </w:tcMar>
            <w:vAlign w:val="center"/>
          </w:tcPr>
          <w:p w14:paraId="31AF479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482" w:type="dxa"/>
            <w:gridSpan w:val="2"/>
            <w:shd w:val="clear" w:color="auto" w:fill="auto"/>
            <w:tcMar>
              <w:top w:w="89" w:type="dxa"/>
              <w:left w:w="89" w:type="dxa"/>
              <w:bottom w:w="89" w:type="dxa"/>
              <w:right w:w="89" w:type="dxa"/>
            </w:tcMar>
            <w:vAlign w:val="center"/>
          </w:tcPr>
          <w:p w14:paraId="4478600B">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08C38008">
            <w:pPr>
              <w:widowControl/>
              <w:adjustRightInd w:val="0"/>
              <w:snapToGrid w:val="0"/>
              <w:spacing w:line="240" w:lineRule="exact"/>
              <w:jc w:val="center"/>
              <w:textAlignment w:val="baseline"/>
              <w:rPr>
                <w:rFonts w:ascii="宋体" w:hAnsi="宋体" w:eastAsia="仿宋_GB2312" w:cs="宋体"/>
                <w:sz w:val="24"/>
                <w:szCs w:val="21"/>
              </w:rPr>
            </w:pPr>
            <w:r>
              <w:rPr>
                <w:rFonts w:hint="eastAsia" w:ascii="宋体" w:hAnsi="宋体" w:eastAsia="仿宋_GB2312" w:cs="宋体"/>
                <w:spacing w:val="-2"/>
                <w:sz w:val="24"/>
                <w:szCs w:val="21"/>
              </w:rPr>
              <w:t>WT</w:t>
            </w:r>
          </w:p>
        </w:tc>
        <w:tc>
          <w:tcPr>
            <w:tcW w:w="483" w:type="dxa"/>
            <w:shd w:val="clear" w:color="auto" w:fill="auto"/>
            <w:tcMar>
              <w:top w:w="89" w:type="dxa"/>
              <w:left w:w="89" w:type="dxa"/>
              <w:bottom w:w="89" w:type="dxa"/>
              <w:right w:w="89" w:type="dxa"/>
            </w:tcMar>
            <w:vAlign w:val="center"/>
          </w:tcPr>
          <w:p w14:paraId="7C1200F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0823348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14:paraId="6B3D628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WT</w:t>
            </w:r>
          </w:p>
        </w:tc>
        <w:tc>
          <w:tcPr>
            <w:tcW w:w="505" w:type="dxa"/>
            <w:shd w:val="clear" w:color="auto" w:fill="auto"/>
            <w:tcMar>
              <w:top w:w="89" w:type="dxa"/>
              <w:left w:w="89" w:type="dxa"/>
              <w:bottom w:w="89" w:type="dxa"/>
              <w:right w:w="89" w:type="dxa"/>
            </w:tcMar>
            <w:vAlign w:val="center"/>
          </w:tcPr>
          <w:p w14:paraId="521095D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14:paraId="6F96CFC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7277007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5AFACBA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5346F76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2CA13A1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5710A4D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766EA8C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1072DFA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14:paraId="5087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8" w:type="dxa"/>
            <w:vMerge w:val="continue"/>
            <w:shd w:val="clear" w:color="auto" w:fill="auto"/>
            <w:tcMar>
              <w:top w:w="89" w:type="dxa"/>
              <w:left w:w="89" w:type="dxa"/>
              <w:bottom w:w="89" w:type="dxa"/>
              <w:right w:w="89" w:type="dxa"/>
            </w:tcMar>
            <w:vAlign w:val="center"/>
          </w:tcPr>
          <w:p w14:paraId="371E8CFA">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254060BB">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副中心/边缘集团</w:t>
            </w:r>
          </w:p>
        </w:tc>
        <w:tc>
          <w:tcPr>
            <w:tcW w:w="410" w:type="dxa"/>
            <w:shd w:val="clear" w:color="auto" w:fill="auto"/>
            <w:tcMar>
              <w:top w:w="89" w:type="dxa"/>
              <w:left w:w="89" w:type="dxa"/>
              <w:bottom w:w="89" w:type="dxa"/>
              <w:right w:w="89" w:type="dxa"/>
            </w:tcMar>
            <w:vAlign w:val="center"/>
          </w:tcPr>
          <w:p w14:paraId="03ED6AB0">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389" w:type="dxa"/>
            <w:shd w:val="clear" w:color="auto" w:fill="auto"/>
            <w:tcMar>
              <w:top w:w="89" w:type="dxa"/>
              <w:left w:w="89" w:type="dxa"/>
              <w:bottom w:w="89" w:type="dxa"/>
              <w:right w:w="89" w:type="dxa"/>
            </w:tcMar>
            <w:vAlign w:val="center"/>
          </w:tcPr>
          <w:p w14:paraId="393329A7">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6044ED05">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sz w:val="24"/>
                <w:szCs w:val="21"/>
              </w:rPr>
              <w:t>WX</w:t>
            </w:r>
          </w:p>
        </w:tc>
        <w:tc>
          <w:tcPr>
            <w:tcW w:w="474" w:type="dxa"/>
            <w:shd w:val="clear" w:color="auto" w:fill="auto"/>
            <w:tcMar>
              <w:top w:w="89" w:type="dxa"/>
              <w:left w:w="89" w:type="dxa"/>
              <w:bottom w:w="89" w:type="dxa"/>
              <w:right w:w="89" w:type="dxa"/>
            </w:tcMar>
            <w:vAlign w:val="center"/>
          </w:tcPr>
          <w:p w14:paraId="5A9F300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1" w:type="dxa"/>
            <w:shd w:val="clear" w:color="auto" w:fill="auto"/>
            <w:tcMar>
              <w:top w:w="89" w:type="dxa"/>
              <w:left w:w="89" w:type="dxa"/>
              <w:bottom w:w="89" w:type="dxa"/>
              <w:right w:w="89" w:type="dxa"/>
            </w:tcMar>
            <w:vAlign w:val="center"/>
          </w:tcPr>
          <w:p w14:paraId="5C4774A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4E23193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4" w:type="dxa"/>
            <w:shd w:val="clear" w:color="auto" w:fill="auto"/>
            <w:tcMar>
              <w:top w:w="89" w:type="dxa"/>
              <w:left w:w="89" w:type="dxa"/>
              <w:bottom w:w="89" w:type="dxa"/>
              <w:right w:w="89" w:type="dxa"/>
            </w:tcMar>
            <w:vAlign w:val="center"/>
          </w:tcPr>
          <w:p w14:paraId="7E3A80F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7F7EFB4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502" w:type="dxa"/>
            <w:shd w:val="clear" w:color="auto" w:fill="auto"/>
            <w:tcMar>
              <w:top w:w="89" w:type="dxa"/>
              <w:left w:w="89" w:type="dxa"/>
              <w:bottom w:w="89" w:type="dxa"/>
              <w:right w:w="89" w:type="dxa"/>
            </w:tcMar>
            <w:vAlign w:val="center"/>
          </w:tcPr>
          <w:p w14:paraId="651AD86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2" w:type="dxa"/>
            <w:gridSpan w:val="2"/>
            <w:shd w:val="clear" w:color="auto" w:fill="auto"/>
            <w:tcMar>
              <w:top w:w="89" w:type="dxa"/>
              <w:left w:w="89" w:type="dxa"/>
              <w:bottom w:w="89" w:type="dxa"/>
              <w:right w:w="89" w:type="dxa"/>
            </w:tcMar>
            <w:vAlign w:val="center"/>
          </w:tcPr>
          <w:p w14:paraId="036C128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7ADA998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17A9D09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313E858B">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77" w:type="dxa"/>
            <w:shd w:val="clear" w:color="auto" w:fill="auto"/>
            <w:tcMar>
              <w:top w:w="89" w:type="dxa"/>
              <w:left w:w="89" w:type="dxa"/>
              <w:bottom w:w="89" w:type="dxa"/>
              <w:right w:w="89" w:type="dxa"/>
            </w:tcMar>
            <w:vAlign w:val="center"/>
          </w:tcPr>
          <w:p w14:paraId="7BBA05F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505" w:type="dxa"/>
            <w:shd w:val="clear" w:color="auto" w:fill="auto"/>
            <w:tcMar>
              <w:top w:w="89" w:type="dxa"/>
              <w:left w:w="89" w:type="dxa"/>
              <w:bottom w:w="89" w:type="dxa"/>
              <w:right w:w="89" w:type="dxa"/>
            </w:tcMar>
            <w:vAlign w:val="center"/>
          </w:tcPr>
          <w:p w14:paraId="0A4E3E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69" w:type="dxa"/>
            <w:shd w:val="clear" w:color="auto" w:fill="auto"/>
            <w:tcMar>
              <w:top w:w="89" w:type="dxa"/>
              <w:left w:w="89" w:type="dxa"/>
              <w:bottom w:w="89" w:type="dxa"/>
              <w:right w:w="89" w:type="dxa"/>
            </w:tcMar>
            <w:vAlign w:val="center"/>
          </w:tcPr>
          <w:p w14:paraId="46A0458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8" w:type="dxa"/>
            <w:shd w:val="clear" w:color="auto" w:fill="auto"/>
            <w:tcMar>
              <w:top w:w="89" w:type="dxa"/>
              <w:left w:w="89" w:type="dxa"/>
              <w:bottom w:w="89" w:type="dxa"/>
              <w:right w:w="89" w:type="dxa"/>
            </w:tcMar>
            <w:vAlign w:val="center"/>
          </w:tcPr>
          <w:p w14:paraId="5D61C7D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4EB7135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36298E2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3" w:type="dxa"/>
            <w:shd w:val="clear" w:color="auto" w:fill="auto"/>
            <w:tcMar>
              <w:top w:w="89" w:type="dxa"/>
              <w:left w:w="89" w:type="dxa"/>
              <w:bottom w:w="89" w:type="dxa"/>
              <w:right w:w="89" w:type="dxa"/>
            </w:tcMar>
            <w:vAlign w:val="center"/>
          </w:tcPr>
          <w:p w14:paraId="0054F02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94" w:type="dxa"/>
            <w:shd w:val="clear" w:color="auto" w:fill="auto"/>
            <w:tcMar>
              <w:top w:w="89" w:type="dxa"/>
              <w:left w:w="89" w:type="dxa"/>
              <w:bottom w:w="89" w:type="dxa"/>
              <w:right w:w="89" w:type="dxa"/>
            </w:tcMar>
            <w:vAlign w:val="center"/>
          </w:tcPr>
          <w:p w14:paraId="7D53375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0" w:type="dxa"/>
            <w:shd w:val="clear" w:color="auto" w:fill="auto"/>
            <w:tcMar>
              <w:top w:w="89" w:type="dxa"/>
              <w:left w:w="89" w:type="dxa"/>
              <w:bottom w:w="89" w:type="dxa"/>
              <w:right w:w="89" w:type="dxa"/>
            </w:tcMar>
            <w:vAlign w:val="center"/>
          </w:tcPr>
          <w:p w14:paraId="53FCDF8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c>
          <w:tcPr>
            <w:tcW w:w="485" w:type="dxa"/>
            <w:shd w:val="clear" w:color="auto" w:fill="auto"/>
            <w:tcMar>
              <w:top w:w="89" w:type="dxa"/>
              <w:left w:w="89" w:type="dxa"/>
              <w:bottom w:w="89" w:type="dxa"/>
              <w:right w:w="89" w:type="dxa"/>
            </w:tcMar>
            <w:vAlign w:val="center"/>
          </w:tcPr>
          <w:p w14:paraId="7B9C3E8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sz w:val="24"/>
                <w:szCs w:val="21"/>
              </w:rPr>
              <w:t>WX</w:t>
            </w:r>
          </w:p>
        </w:tc>
      </w:tr>
      <w:tr w14:paraId="34C3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638" w:type="dxa"/>
            <w:vMerge w:val="continue"/>
            <w:shd w:val="clear" w:color="auto" w:fill="auto"/>
            <w:tcMar>
              <w:top w:w="89" w:type="dxa"/>
              <w:left w:w="89" w:type="dxa"/>
              <w:bottom w:w="89" w:type="dxa"/>
              <w:right w:w="89" w:type="dxa"/>
            </w:tcMar>
            <w:vAlign w:val="center"/>
          </w:tcPr>
          <w:p w14:paraId="5BE2783F">
            <w:pPr>
              <w:pStyle w:val="210"/>
              <w:widowControl/>
              <w:adjustRightInd w:val="0"/>
              <w:snapToGrid w:val="0"/>
              <w:spacing w:line="260" w:lineRule="exact"/>
              <w:textAlignment w:val="baseline"/>
              <w:rPr>
                <w:rFonts w:ascii="宋体" w:hAnsi="宋体" w:eastAsia="仿宋_GB2312" w:cs="仿宋"/>
                <w:sz w:val="24"/>
                <w:szCs w:val="21"/>
              </w:rPr>
            </w:pPr>
          </w:p>
        </w:tc>
        <w:tc>
          <w:tcPr>
            <w:tcW w:w="2334" w:type="dxa"/>
            <w:gridSpan w:val="2"/>
            <w:shd w:val="clear" w:color="auto" w:fill="auto"/>
            <w:tcMar>
              <w:top w:w="89" w:type="dxa"/>
              <w:left w:w="89" w:type="dxa"/>
              <w:bottom w:w="89" w:type="dxa"/>
              <w:right w:w="89" w:type="dxa"/>
            </w:tcMar>
            <w:vAlign w:val="center"/>
          </w:tcPr>
          <w:p w14:paraId="7B1946B8">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新城/镇</w:t>
            </w:r>
          </w:p>
        </w:tc>
        <w:tc>
          <w:tcPr>
            <w:tcW w:w="410" w:type="dxa"/>
            <w:shd w:val="clear" w:color="auto" w:fill="auto"/>
            <w:tcMar>
              <w:top w:w="89" w:type="dxa"/>
              <w:left w:w="89" w:type="dxa"/>
              <w:bottom w:w="89" w:type="dxa"/>
              <w:right w:w="89" w:type="dxa"/>
            </w:tcMar>
            <w:vAlign w:val="center"/>
          </w:tcPr>
          <w:p w14:paraId="7E7FA8EE">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389" w:type="dxa"/>
            <w:shd w:val="clear" w:color="auto" w:fill="auto"/>
            <w:tcMar>
              <w:top w:w="89" w:type="dxa"/>
              <w:left w:w="89" w:type="dxa"/>
              <w:bottom w:w="89" w:type="dxa"/>
              <w:right w:w="89" w:type="dxa"/>
            </w:tcMar>
            <w:vAlign w:val="center"/>
          </w:tcPr>
          <w:p w14:paraId="3A42445E">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14:paraId="3DB94C55">
            <w:pPr>
              <w:widowControl/>
              <w:spacing w:line="240" w:lineRule="exact"/>
              <w:jc w:val="center"/>
              <w:textAlignment w:val="center"/>
              <w:rPr>
                <w:rFonts w:ascii="宋体" w:hAnsi="宋体" w:eastAsia="仿宋_GB2312" w:cs="宋体"/>
                <w:kern w:val="0"/>
                <w:sz w:val="24"/>
                <w:szCs w:val="21"/>
                <w:lang w:bidi="ar"/>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14:paraId="7B91462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1" w:type="dxa"/>
            <w:shd w:val="clear" w:color="auto" w:fill="auto"/>
            <w:tcMar>
              <w:top w:w="89" w:type="dxa"/>
              <w:left w:w="89" w:type="dxa"/>
              <w:bottom w:w="89" w:type="dxa"/>
              <w:right w:w="89" w:type="dxa"/>
            </w:tcMar>
            <w:vAlign w:val="center"/>
          </w:tcPr>
          <w:p w14:paraId="3DFD769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14:paraId="742ABFE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74" w:type="dxa"/>
            <w:shd w:val="clear" w:color="auto" w:fill="auto"/>
            <w:tcMar>
              <w:top w:w="89" w:type="dxa"/>
              <w:left w:w="89" w:type="dxa"/>
              <w:bottom w:w="89" w:type="dxa"/>
              <w:right w:w="89" w:type="dxa"/>
            </w:tcMar>
            <w:vAlign w:val="center"/>
          </w:tcPr>
          <w:p w14:paraId="1052E96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14:paraId="4619825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502" w:type="dxa"/>
            <w:shd w:val="clear" w:color="auto" w:fill="auto"/>
            <w:tcMar>
              <w:top w:w="89" w:type="dxa"/>
              <w:left w:w="89" w:type="dxa"/>
              <w:bottom w:w="89" w:type="dxa"/>
              <w:right w:w="89" w:type="dxa"/>
            </w:tcMar>
            <w:vAlign w:val="center"/>
          </w:tcPr>
          <w:p w14:paraId="309A229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2" w:type="dxa"/>
            <w:gridSpan w:val="2"/>
            <w:shd w:val="clear" w:color="auto" w:fill="auto"/>
            <w:tcMar>
              <w:top w:w="89" w:type="dxa"/>
              <w:left w:w="89" w:type="dxa"/>
              <w:bottom w:w="89" w:type="dxa"/>
              <w:right w:w="89" w:type="dxa"/>
            </w:tcMar>
            <w:vAlign w:val="center"/>
          </w:tcPr>
          <w:p w14:paraId="3FBB47A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8" w:type="dxa"/>
            <w:shd w:val="clear" w:color="auto" w:fill="auto"/>
            <w:tcMar>
              <w:top w:w="89" w:type="dxa"/>
              <w:left w:w="89" w:type="dxa"/>
              <w:bottom w:w="89" w:type="dxa"/>
              <w:right w:w="89" w:type="dxa"/>
            </w:tcMar>
            <w:vAlign w:val="center"/>
          </w:tcPr>
          <w:p w14:paraId="4C5E9EF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14:paraId="057C4AA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14:paraId="60687ED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77" w:type="dxa"/>
            <w:shd w:val="clear" w:color="auto" w:fill="auto"/>
            <w:tcMar>
              <w:top w:w="89" w:type="dxa"/>
              <w:left w:w="89" w:type="dxa"/>
              <w:bottom w:w="89" w:type="dxa"/>
              <w:right w:w="89" w:type="dxa"/>
            </w:tcMar>
            <w:vAlign w:val="center"/>
          </w:tcPr>
          <w:p w14:paraId="2CBAB39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505" w:type="dxa"/>
            <w:shd w:val="clear" w:color="auto" w:fill="auto"/>
            <w:tcMar>
              <w:top w:w="89" w:type="dxa"/>
              <w:left w:w="89" w:type="dxa"/>
              <w:bottom w:w="89" w:type="dxa"/>
              <w:right w:w="89" w:type="dxa"/>
            </w:tcMar>
            <w:vAlign w:val="center"/>
          </w:tcPr>
          <w:p w14:paraId="32C5C5A3">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69" w:type="dxa"/>
            <w:shd w:val="clear" w:color="auto" w:fill="auto"/>
            <w:tcMar>
              <w:top w:w="89" w:type="dxa"/>
              <w:left w:w="89" w:type="dxa"/>
              <w:bottom w:w="89" w:type="dxa"/>
              <w:right w:w="89" w:type="dxa"/>
            </w:tcMar>
            <w:vAlign w:val="center"/>
          </w:tcPr>
          <w:p w14:paraId="6464C614">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8" w:type="dxa"/>
            <w:shd w:val="clear" w:color="auto" w:fill="auto"/>
            <w:tcMar>
              <w:top w:w="89" w:type="dxa"/>
              <w:left w:w="89" w:type="dxa"/>
              <w:bottom w:w="89" w:type="dxa"/>
              <w:right w:w="89" w:type="dxa"/>
            </w:tcMar>
            <w:vAlign w:val="center"/>
          </w:tcPr>
          <w:p w14:paraId="6EE863CD">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4" w:type="dxa"/>
            <w:shd w:val="clear" w:color="auto" w:fill="auto"/>
            <w:tcMar>
              <w:top w:w="89" w:type="dxa"/>
              <w:left w:w="89" w:type="dxa"/>
              <w:bottom w:w="89" w:type="dxa"/>
              <w:right w:w="89" w:type="dxa"/>
            </w:tcMar>
            <w:vAlign w:val="center"/>
          </w:tcPr>
          <w:p w14:paraId="580553F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14:paraId="5148682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3" w:type="dxa"/>
            <w:shd w:val="clear" w:color="auto" w:fill="auto"/>
            <w:tcMar>
              <w:top w:w="89" w:type="dxa"/>
              <w:left w:w="89" w:type="dxa"/>
              <w:bottom w:w="89" w:type="dxa"/>
              <w:right w:w="89" w:type="dxa"/>
            </w:tcMar>
            <w:vAlign w:val="center"/>
          </w:tcPr>
          <w:p w14:paraId="3DD3902C">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94" w:type="dxa"/>
            <w:shd w:val="clear" w:color="auto" w:fill="auto"/>
            <w:tcMar>
              <w:top w:w="89" w:type="dxa"/>
              <w:left w:w="89" w:type="dxa"/>
              <w:bottom w:w="89" w:type="dxa"/>
              <w:right w:w="89" w:type="dxa"/>
            </w:tcMar>
            <w:vAlign w:val="center"/>
          </w:tcPr>
          <w:p w14:paraId="53D276D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0" w:type="dxa"/>
            <w:shd w:val="clear" w:color="auto" w:fill="auto"/>
            <w:tcMar>
              <w:top w:w="89" w:type="dxa"/>
              <w:left w:w="89" w:type="dxa"/>
              <w:bottom w:w="89" w:type="dxa"/>
              <w:right w:w="89" w:type="dxa"/>
            </w:tcMar>
            <w:vAlign w:val="center"/>
          </w:tcPr>
          <w:p w14:paraId="4A21131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c>
          <w:tcPr>
            <w:tcW w:w="485" w:type="dxa"/>
            <w:shd w:val="clear" w:color="auto" w:fill="auto"/>
            <w:tcMar>
              <w:top w:w="89" w:type="dxa"/>
              <w:left w:w="89" w:type="dxa"/>
              <w:bottom w:w="89" w:type="dxa"/>
              <w:right w:w="89" w:type="dxa"/>
            </w:tcMar>
            <w:vAlign w:val="center"/>
          </w:tcPr>
          <w:p w14:paraId="0459A62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MX</w:t>
            </w:r>
          </w:p>
        </w:tc>
      </w:tr>
      <w:tr w14:paraId="1053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972" w:type="dxa"/>
            <w:gridSpan w:val="3"/>
            <w:tcBorders>
              <w:bottom w:val="single" w:color="auto" w:sz="4" w:space="0"/>
            </w:tcBorders>
            <w:shd w:val="clear" w:color="auto" w:fill="FFFFFF" w:themeFill="background1"/>
            <w:tcMar>
              <w:top w:w="89" w:type="dxa"/>
              <w:left w:w="89" w:type="dxa"/>
              <w:bottom w:w="89" w:type="dxa"/>
              <w:right w:w="89" w:type="dxa"/>
            </w:tcMar>
            <w:vAlign w:val="center"/>
          </w:tcPr>
          <w:p w14:paraId="6B5EAA53">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410" w:type="dxa"/>
            <w:tcBorders>
              <w:bottom w:val="single" w:color="auto" w:sz="4" w:space="0"/>
            </w:tcBorders>
            <w:shd w:val="clear" w:color="auto" w:fill="FFFFFF" w:themeFill="background1"/>
            <w:tcMar>
              <w:top w:w="89" w:type="dxa"/>
              <w:left w:w="89" w:type="dxa"/>
              <w:bottom w:w="89" w:type="dxa"/>
              <w:right w:w="89" w:type="dxa"/>
            </w:tcMar>
            <w:vAlign w:val="center"/>
          </w:tcPr>
          <w:p w14:paraId="57FD12A0">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389" w:type="dxa"/>
            <w:tcBorders>
              <w:bottom w:val="single" w:color="auto" w:sz="4" w:space="0"/>
            </w:tcBorders>
            <w:shd w:val="clear" w:color="auto" w:fill="FFFFFF" w:themeFill="background1"/>
            <w:tcMar>
              <w:top w:w="89" w:type="dxa"/>
              <w:left w:w="89" w:type="dxa"/>
              <w:bottom w:w="89" w:type="dxa"/>
              <w:right w:w="89" w:type="dxa"/>
            </w:tcMar>
            <w:vAlign w:val="center"/>
          </w:tcPr>
          <w:p w14:paraId="0C9F0FCF">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485" w:type="dxa"/>
            <w:tcBorders>
              <w:bottom w:val="single" w:color="auto" w:sz="4" w:space="0"/>
            </w:tcBorders>
            <w:shd w:val="clear" w:color="auto" w:fill="FFFFFF" w:themeFill="background1"/>
            <w:tcMar>
              <w:top w:w="89" w:type="dxa"/>
              <w:left w:w="89" w:type="dxa"/>
              <w:bottom w:w="89" w:type="dxa"/>
              <w:right w:w="89" w:type="dxa"/>
            </w:tcMar>
            <w:vAlign w:val="center"/>
          </w:tcPr>
          <w:p w14:paraId="64119BFA">
            <w:pPr>
              <w:widowControl/>
              <w:spacing w:line="240" w:lineRule="exact"/>
              <w:jc w:val="center"/>
              <w:textAlignment w:val="center"/>
              <w:rPr>
                <w:rFonts w:ascii="宋体" w:hAnsi="宋体" w:eastAsia="仿宋_GB2312" w:cs="宋体"/>
                <w:kern w:val="0"/>
                <w:sz w:val="24"/>
                <w:szCs w:val="21"/>
                <w:highlight w:val="yellow"/>
                <w:lang w:bidi="ar"/>
              </w:rPr>
            </w:pPr>
            <w:r>
              <w:rPr>
                <w:rFonts w:hint="eastAsia" w:ascii="宋体" w:hAnsi="宋体" w:eastAsia="仿宋_GB2312" w:cs="宋体"/>
                <w:kern w:val="0"/>
                <w:sz w:val="24"/>
                <w:szCs w:val="21"/>
                <w:lang w:bidi="ar"/>
              </w:rPr>
              <w:t>LX</w:t>
            </w:r>
          </w:p>
        </w:tc>
        <w:tc>
          <w:tcPr>
            <w:tcW w:w="474" w:type="dxa"/>
            <w:tcBorders>
              <w:bottom w:val="single" w:color="auto" w:sz="4" w:space="0"/>
            </w:tcBorders>
            <w:shd w:val="clear" w:color="auto" w:fill="FFFFFF" w:themeFill="background1"/>
            <w:tcMar>
              <w:top w:w="89" w:type="dxa"/>
              <w:left w:w="89" w:type="dxa"/>
              <w:bottom w:w="89" w:type="dxa"/>
              <w:right w:w="89" w:type="dxa"/>
            </w:tcMar>
            <w:vAlign w:val="center"/>
          </w:tcPr>
          <w:p w14:paraId="521259B0">
            <w:pPr>
              <w:widowControl/>
              <w:spacing w:line="240" w:lineRule="exact"/>
              <w:jc w:val="center"/>
              <w:textAlignment w:val="center"/>
              <w:rPr>
                <w:rFonts w:ascii="宋体" w:hAnsi="宋体" w:eastAsia="仿宋_GB2312" w:cs="宋体"/>
                <w:sz w:val="24"/>
                <w:szCs w:val="20"/>
                <w:highlight w:val="yellow"/>
              </w:rPr>
            </w:pPr>
            <w:r>
              <w:rPr>
                <w:rFonts w:hint="eastAsia" w:ascii="宋体" w:hAnsi="宋体" w:eastAsia="仿宋_GB2312" w:cs="宋体"/>
                <w:kern w:val="0"/>
                <w:sz w:val="24"/>
                <w:szCs w:val="21"/>
                <w:lang w:bidi="ar"/>
              </w:rPr>
              <w:t>LX</w:t>
            </w:r>
          </w:p>
        </w:tc>
        <w:tc>
          <w:tcPr>
            <w:tcW w:w="491" w:type="dxa"/>
            <w:tcBorders>
              <w:bottom w:val="single" w:color="auto" w:sz="4" w:space="0"/>
            </w:tcBorders>
            <w:shd w:val="clear" w:color="auto" w:fill="FFFFFF" w:themeFill="background1"/>
            <w:tcMar>
              <w:top w:w="89" w:type="dxa"/>
              <w:left w:w="89" w:type="dxa"/>
              <w:bottom w:w="89" w:type="dxa"/>
              <w:right w:w="89" w:type="dxa"/>
            </w:tcMar>
            <w:vAlign w:val="center"/>
          </w:tcPr>
          <w:p w14:paraId="1915C431">
            <w:pPr>
              <w:widowControl/>
              <w:spacing w:line="240" w:lineRule="exact"/>
              <w:jc w:val="center"/>
              <w:textAlignment w:val="center"/>
              <w:rPr>
                <w:rFonts w:ascii="宋体" w:hAnsi="宋体" w:eastAsia="仿宋_GB2312" w:cs="宋体"/>
                <w:sz w:val="24"/>
                <w:szCs w:val="20"/>
                <w:highlight w:val="yellow"/>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14:paraId="7BAA1F69">
            <w:pPr>
              <w:widowControl/>
              <w:spacing w:line="240" w:lineRule="exact"/>
              <w:jc w:val="center"/>
              <w:textAlignment w:val="center"/>
              <w:rPr>
                <w:rFonts w:ascii="宋体" w:hAnsi="宋体" w:eastAsia="仿宋_GB2312" w:cs="宋体"/>
                <w:sz w:val="24"/>
                <w:szCs w:val="20"/>
              </w:rPr>
            </w:pPr>
            <w:r>
              <w:rPr>
                <w:rFonts w:hint="eastAsia" w:ascii="宋体" w:hAnsi="宋体" w:eastAsia="仿宋_GB2312" w:cs="宋体"/>
                <w:kern w:val="0"/>
                <w:sz w:val="24"/>
                <w:szCs w:val="21"/>
                <w:lang w:bidi="ar"/>
              </w:rPr>
              <w:t>LX</w:t>
            </w:r>
          </w:p>
        </w:tc>
        <w:tc>
          <w:tcPr>
            <w:tcW w:w="474" w:type="dxa"/>
            <w:tcBorders>
              <w:bottom w:val="single" w:color="auto" w:sz="4" w:space="0"/>
            </w:tcBorders>
            <w:shd w:val="clear" w:color="auto" w:fill="auto"/>
            <w:tcMar>
              <w:top w:w="89" w:type="dxa"/>
              <w:left w:w="89" w:type="dxa"/>
              <w:bottom w:w="89" w:type="dxa"/>
              <w:right w:w="89" w:type="dxa"/>
            </w:tcMar>
            <w:vAlign w:val="center"/>
          </w:tcPr>
          <w:p w14:paraId="72A10D02">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14:paraId="2BFBDD71">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502" w:type="dxa"/>
            <w:tcBorders>
              <w:bottom w:val="single" w:color="auto" w:sz="4" w:space="0"/>
            </w:tcBorders>
            <w:shd w:val="clear" w:color="auto" w:fill="auto"/>
            <w:tcMar>
              <w:top w:w="89" w:type="dxa"/>
              <w:left w:w="89" w:type="dxa"/>
              <w:bottom w:w="89" w:type="dxa"/>
              <w:right w:w="89" w:type="dxa"/>
            </w:tcMar>
            <w:vAlign w:val="center"/>
          </w:tcPr>
          <w:p w14:paraId="3230BDB7">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2" w:type="dxa"/>
            <w:gridSpan w:val="2"/>
            <w:tcBorders>
              <w:bottom w:val="single" w:color="auto" w:sz="4" w:space="0"/>
            </w:tcBorders>
            <w:shd w:val="clear" w:color="auto" w:fill="auto"/>
            <w:tcMar>
              <w:top w:w="89" w:type="dxa"/>
              <w:left w:w="89" w:type="dxa"/>
              <w:bottom w:w="89" w:type="dxa"/>
              <w:right w:w="89" w:type="dxa"/>
            </w:tcMar>
            <w:vAlign w:val="center"/>
          </w:tcPr>
          <w:p w14:paraId="4FEA5DC9">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8" w:type="dxa"/>
            <w:tcBorders>
              <w:bottom w:val="single" w:color="auto" w:sz="4" w:space="0"/>
            </w:tcBorders>
            <w:shd w:val="clear" w:color="auto" w:fill="auto"/>
            <w:tcMar>
              <w:top w:w="89" w:type="dxa"/>
              <w:left w:w="89" w:type="dxa"/>
              <w:bottom w:w="89" w:type="dxa"/>
              <w:right w:w="89" w:type="dxa"/>
            </w:tcMar>
            <w:vAlign w:val="center"/>
          </w:tcPr>
          <w:p w14:paraId="0DB1D09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14:paraId="4AEB5CD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14:paraId="4A18A2B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77" w:type="dxa"/>
            <w:tcBorders>
              <w:bottom w:val="single" w:color="auto" w:sz="4" w:space="0"/>
            </w:tcBorders>
            <w:shd w:val="clear" w:color="auto" w:fill="auto"/>
            <w:tcMar>
              <w:top w:w="89" w:type="dxa"/>
              <w:left w:w="89" w:type="dxa"/>
              <w:bottom w:w="89" w:type="dxa"/>
              <w:right w:w="89" w:type="dxa"/>
            </w:tcMar>
            <w:vAlign w:val="center"/>
          </w:tcPr>
          <w:p w14:paraId="0984295A">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505" w:type="dxa"/>
            <w:tcBorders>
              <w:bottom w:val="single" w:color="auto" w:sz="4" w:space="0"/>
            </w:tcBorders>
            <w:shd w:val="clear" w:color="auto" w:fill="auto"/>
            <w:tcMar>
              <w:top w:w="89" w:type="dxa"/>
              <w:left w:w="89" w:type="dxa"/>
              <w:bottom w:w="89" w:type="dxa"/>
              <w:right w:w="89" w:type="dxa"/>
            </w:tcMar>
            <w:vAlign w:val="center"/>
          </w:tcPr>
          <w:p w14:paraId="3B3A5D2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69" w:type="dxa"/>
            <w:tcBorders>
              <w:bottom w:val="single" w:color="auto" w:sz="4" w:space="0"/>
            </w:tcBorders>
            <w:shd w:val="clear" w:color="auto" w:fill="auto"/>
            <w:tcMar>
              <w:top w:w="89" w:type="dxa"/>
              <w:left w:w="89" w:type="dxa"/>
              <w:bottom w:w="89" w:type="dxa"/>
              <w:right w:w="89" w:type="dxa"/>
            </w:tcMar>
            <w:vAlign w:val="center"/>
          </w:tcPr>
          <w:p w14:paraId="18C5EF6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8" w:type="dxa"/>
            <w:tcBorders>
              <w:bottom w:val="single" w:color="auto" w:sz="4" w:space="0"/>
            </w:tcBorders>
            <w:shd w:val="clear" w:color="auto" w:fill="auto"/>
            <w:tcMar>
              <w:top w:w="89" w:type="dxa"/>
              <w:left w:w="89" w:type="dxa"/>
              <w:bottom w:w="89" w:type="dxa"/>
              <w:right w:w="89" w:type="dxa"/>
            </w:tcMar>
            <w:vAlign w:val="center"/>
          </w:tcPr>
          <w:p w14:paraId="1F23B486">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94" w:type="dxa"/>
            <w:tcBorders>
              <w:bottom w:val="single" w:color="auto" w:sz="4" w:space="0"/>
            </w:tcBorders>
            <w:shd w:val="clear" w:color="auto" w:fill="auto"/>
            <w:tcMar>
              <w:top w:w="89" w:type="dxa"/>
              <w:left w:w="89" w:type="dxa"/>
              <w:bottom w:w="89" w:type="dxa"/>
              <w:right w:w="89" w:type="dxa"/>
            </w:tcMar>
            <w:vAlign w:val="center"/>
          </w:tcPr>
          <w:p w14:paraId="713E823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14:paraId="06AF62F0">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3" w:type="dxa"/>
            <w:tcBorders>
              <w:bottom w:val="single" w:color="auto" w:sz="4" w:space="0"/>
            </w:tcBorders>
            <w:shd w:val="clear" w:color="auto" w:fill="auto"/>
            <w:tcMar>
              <w:top w:w="89" w:type="dxa"/>
              <w:left w:w="89" w:type="dxa"/>
              <w:bottom w:w="89" w:type="dxa"/>
              <w:right w:w="89" w:type="dxa"/>
            </w:tcMar>
            <w:vAlign w:val="center"/>
          </w:tcPr>
          <w:p w14:paraId="4E3736D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94" w:type="dxa"/>
            <w:tcBorders>
              <w:bottom w:val="single" w:color="auto" w:sz="4" w:space="0"/>
            </w:tcBorders>
            <w:shd w:val="clear" w:color="auto" w:fill="auto"/>
            <w:tcMar>
              <w:top w:w="89" w:type="dxa"/>
              <w:left w:w="89" w:type="dxa"/>
              <w:bottom w:w="89" w:type="dxa"/>
              <w:right w:w="89" w:type="dxa"/>
            </w:tcMar>
            <w:vAlign w:val="center"/>
          </w:tcPr>
          <w:p w14:paraId="0A7FA9E5">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0" w:type="dxa"/>
            <w:tcBorders>
              <w:bottom w:val="single" w:color="auto" w:sz="4" w:space="0"/>
            </w:tcBorders>
            <w:shd w:val="clear" w:color="auto" w:fill="auto"/>
            <w:tcMar>
              <w:top w:w="89" w:type="dxa"/>
              <w:left w:w="89" w:type="dxa"/>
              <w:bottom w:w="89" w:type="dxa"/>
              <w:right w:w="89" w:type="dxa"/>
            </w:tcMar>
            <w:vAlign w:val="center"/>
          </w:tcPr>
          <w:p w14:paraId="6EC2F0AE">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c>
          <w:tcPr>
            <w:tcW w:w="485" w:type="dxa"/>
            <w:tcBorders>
              <w:bottom w:val="single" w:color="auto" w:sz="4" w:space="0"/>
            </w:tcBorders>
            <w:shd w:val="clear" w:color="auto" w:fill="auto"/>
            <w:tcMar>
              <w:top w:w="89" w:type="dxa"/>
              <w:left w:w="89" w:type="dxa"/>
              <w:bottom w:w="89" w:type="dxa"/>
              <w:right w:w="89" w:type="dxa"/>
            </w:tcMar>
            <w:vAlign w:val="center"/>
          </w:tcPr>
          <w:p w14:paraId="0C5BFD58">
            <w:pPr>
              <w:widowControl/>
              <w:spacing w:line="240" w:lineRule="exact"/>
              <w:jc w:val="center"/>
              <w:textAlignment w:val="center"/>
              <w:rPr>
                <w:rFonts w:ascii="宋体" w:hAnsi="宋体" w:eastAsia="仿宋_GB2312" w:cs="宋体"/>
                <w:sz w:val="24"/>
                <w:szCs w:val="21"/>
              </w:rPr>
            </w:pPr>
            <w:r>
              <w:rPr>
                <w:rFonts w:hint="eastAsia" w:ascii="宋体" w:hAnsi="宋体" w:eastAsia="仿宋_GB2312" w:cs="宋体"/>
                <w:kern w:val="0"/>
                <w:sz w:val="24"/>
                <w:szCs w:val="21"/>
                <w:lang w:bidi="ar"/>
              </w:rPr>
              <w:t>LX</w:t>
            </w:r>
          </w:p>
        </w:tc>
      </w:tr>
      <w:tr w14:paraId="1E53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948" w:type="dxa"/>
            <w:gridSpan w:val="27"/>
            <w:tcBorders>
              <w:top w:val="single" w:color="auto" w:sz="4" w:space="0"/>
              <w:left w:val="single" w:color="auto" w:sz="4" w:space="0"/>
              <w:bottom w:val="nil"/>
              <w:right w:val="single" w:color="auto" w:sz="4" w:space="0"/>
            </w:tcBorders>
            <w:shd w:val="clear" w:color="auto" w:fill="auto"/>
            <w:tcMar>
              <w:top w:w="89" w:type="dxa"/>
              <w:left w:w="89" w:type="dxa"/>
              <w:bottom w:w="89" w:type="dxa"/>
              <w:right w:w="89" w:type="dxa"/>
            </w:tcMar>
            <w:vAlign w:val="center"/>
          </w:tcPr>
          <w:p w14:paraId="37706245">
            <w:pPr>
              <w:pStyle w:val="190"/>
              <w:kinsoku w:val="0"/>
              <w:overflowPunct w:val="0"/>
              <w:snapToGrid w:val="0"/>
              <w:spacing w:line="260" w:lineRule="exact"/>
              <w:jc w:val="both"/>
              <w:rPr>
                <w:rFonts w:ascii="宋体" w:hAnsi="宋体" w:eastAsia="仿宋_GB2312" w:cs="仿宋"/>
                <w:kern w:val="2"/>
                <w:szCs w:val="21"/>
              </w:rPr>
            </w:pPr>
            <w:r>
              <w:rPr>
                <w:rFonts w:hint="eastAsia" w:ascii="宋体" w:hAnsi="宋体" w:eastAsia="仿宋_GB2312" w:cs="仿宋"/>
                <w:kern w:val="2"/>
                <w:szCs w:val="21"/>
              </w:rPr>
              <w:t>注：字母中第一个代表照明基础光色，第二个代表照明彩光比例。</w:t>
            </w:r>
          </w:p>
        </w:tc>
      </w:tr>
      <w:tr w14:paraId="540E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391" w:type="dxa"/>
            <w:gridSpan w:val="13"/>
            <w:tcBorders>
              <w:top w:val="nil"/>
              <w:left w:val="single" w:color="auto" w:sz="4" w:space="0"/>
              <w:bottom w:val="single" w:color="auto" w:sz="4" w:space="0"/>
              <w:right w:val="nil"/>
            </w:tcBorders>
            <w:shd w:val="clear" w:color="auto" w:fill="auto"/>
            <w:tcMar>
              <w:top w:w="89" w:type="dxa"/>
              <w:left w:w="89" w:type="dxa"/>
              <w:bottom w:w="89" w:type="dxa"/>
              <w:right w:w="89" w:type="dxa"/>
            </w:tcMar>
            <w:vAlign w:val="center"/>
          </w:tcPr>
          <w:p w14:paraId="414D13FA">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 xml:space="preserve">基础光色：   </w:t>
            </w:r>
          </w:p>
          <w:tbl>
            <w:tblPr>
              <w:tblStyle w:val="89"/>
              <w:tblW w:w="3664" w:type="dxa"/>
              <w:jc w:val="center"/>
              <w:tblLayout w:type="fixed"/>
              <w:tblCellMar>
                <w:top w:w="0" w:type="dxa"/>
                <w:left w:w="0" w:type="dxa"/>
                <w:bottom w:w="0" w:type="dxa"/>
                <w:right w:w="0" w:type="dxa"/>
              </w:tblCellMar>
            </w:tblPr>
            <w:tblGrid>
              <w:gridCol w:w="1066"/>
              <w:gridCol w:w="1269"/>
              <w:gridCol w:w="707"/>
              <w:gridCol w:w="622"/>
            </w:tblGrid>
            <w:tr w14:paraId="4AF05FDD">
              <w:tblPrEx>
                <w:tblCellMar>
                  <w:top w:w="0" w:type="dxa"/>
                  <w:left w:w="0" w:type="dxa"/>
                  <w:bottom w:w="0" w:type="dxa"/>
                  <w:right w:w="0" w:type="dxa"/>
                </w:tblCellMar>
              </w:tblPrEx>
              <w:trPr>
                <w:trHeight w:val="603"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14:paraId="717812D4">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暖色表</w:t>
                  </w:r>
                </w:p>
              </w:tc>
              <w:tc>
                <w:tcPr>
                  <w:tcW w:w="1269" w:type="dxa"/>
                  <w:tcBorders>
                    <w:top w:val="single" w:color="000000" w:sz="4" w:space="0"/>
                    <w:left w:val="single" w:color="000000" w:sz="4" w:space="0"/>
                    <w:bottom w:val="single" w:color="000000" w:sz="4" w:space="0"/>
                    <w:right w:val="single" w:color="000000" w:sz="4" w:space="0"/>
                  </w:tcBorders>
                  <w:vAlign w:val="center"/>
                </w:tcPr>
                <w:p w14:paraId="49DD7942">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2200</w:t>
                  </w:r>
                  <w:r>
                    <w:rPr>
                      <w:rFonts w:hint="eastAsia" w:ascii="宋体" w:hAnsi="宋体" w:eastAsia="仿宋_GB2312" w:cs="仿宋"/>
                      <w:kern w:val="2"/>
                      <w:szCs w:val="21"/>
                    </w:rPr>
                    <w:t>～</w:t>
                  </w:r>
                  <w:r>
                    <w:rPr>
                      <w:rFonts w:ascii="宋体" w:hAnsi="宋体" w:eastAsia="仿宋_GB2312" w:cs="仿宋"/>
                      <w:kern w:val="2"/>
                      <w:szCs w:val="21"/>
                    </w:rPr>
                    <w:t>3300K</w:t>
                  </w:r>
                </w:p>
              </w:tc>
              <w:tc>
                <w:tcPr>
                  <w:tcW w:w="707" w:type="dxa"/>
                  <w:tcBorders>
                    <w:top w:val="single" w:color="000000" w:sz="4" w:space="0"/>
                    <w:left w:val="single" w:color="000000" w:sz="4" w:space="0"/>
                    <w:bottom w:val="single" w:color="000000" w:sz="4" w:space="0"/>
                    <w:right w:val="single" w:color="000000" w:sz="4" w:space="0"/>
                  </w:tcBorders>
                  <w:vAlign w:val="center"/>
                </w:tcPr>
                <w:p w14:paraId="12A7AA20">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W</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14:paraId="2698476C">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K</w:t>
                  </w:r>
                </w:p>
              </w:tc>
            </w:tr>
            <w:tr w14:paraId="5D554071">
              <w:tblPrEx>
                <w:tblCellMar>
                  <w:top w:w="0" w:type="dxa"/>
                  <w:left w:w="0" w:type="dxa"/>
                  <w:bottom w:w="0" w:type="dxa"/>
                  <w:right w:w="0" w:type="dxa"/>
                </w:tblCellMar>
              </w:tblPrEx>
              <w:trPr>
                <w:trHeight w:val="605"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14:paraId="278A018B">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中间色表</w:t>
                  </w:r>
                </w:p>
              </w:tc>
              <w:tc>
                <w:tcPr>
                  <w:tcW w:w="1269" w:type="dxa"/>
                  <w:tcBorders>
                    <w:top w:val="single" w:color="000000" w:sz="4" w:space="0"/>
                    <w:left w:val="single" w:color="000000" w:sz="4" w:space="0"/>
                    <w:bottom w:val="single" w:color="000000" w:sz="4" w:space="0"/>
                    <w:right w:val="single" w:color="000000" w:sz="4" w:space="0"/>
                  </w:tcBorders>
                  <w:vAlign w:val="center"/>
                </w:tcPr>
                <w:p w14:paraId="1034119D">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3300</w:t>
                  </w:r>
                  <w:r>
                    <w:rPr>
                      <w:rFonts w:hint="eastAsia" w:ascii="宋体" w:hAnsi="宋体" w:eastAsia="仿宋_GB2312" w:cs="仿宋"/>
                      <w:kern w:val="2"/>
                      <w:szCs w:val="21"/>
                    </w:rPr>
                    <w:t>～</w:t>
                  </w:r>
                  <w:r>
                    <w:rPr>
                      <w:rFonts w:ascii="宋体" w:hAnsi="宋体" w:eastAsia="仿宋_GB2312" w:cs="仿宋"/>
                      <w:kern w:val="2"/>
                      <w:szCs w:val="21"/>
                    </w:rPr>
                    <w:t>4200K</w:t>
                  </w:r>
                </w:p>
              </w:tc>
              <w:tc>
                <w:tcPr>
                  <w:tcW w:w="707" w:type="dxa"/>
                  <w:tcBorders>
                    <w:top w:val="single" w:color="000000" w:sz="4" w:space="0"/>
                    <w:left w:val="single" w:color="000000" w:sz="4" w:space="0"/>
                    <w:bottom w:val="single" w:color="000000" w:sz="4" w:space="0"/>
                    <w:right w:val="single" w:color="000000" w:sz="4" w:space="0"/>
                  </w:tcBorders>
                  <w:vAlign w:val="center"/>
                </w:tcPr>
                <w:p w14:paraId="72351214">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M</w:t>
                  </w: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14:paraId="2A109FDA">
                  <w:pPr>
                    <w:pStyle w:val="190"/>
                    <w:kinsoku w:val="0"/>
                    <w:overflowPunct w:val="0"/>
                    <w:snapToGrid w:val="0"/>
                    <w:spacing w:line="260" w:lineRule="exact"/>
                    <w:jc w:val="center"/>
                    <w:rPr>
                      <w:rFonts w:ascii="宋体" w:hAnsi="宋体" w:eastAsia="仿宋_GB2312" w:cs="仿宋"/>
                      <w:kern w:val="2"/>
                      <w:szCs w:val="21"/>
                    </w:rPr>
                  </w:pPr>
                </w:p>
              </w:tc>
            </w:tr>
            <w:tr w14:paraId="3E0FF3B9">
              <w:tblPrEx>
                <w:tblCellMar>
                  <w:top w:w="0" w:type="dxa"/>
                  <w:left w:w="0" w:type="dxa"/>
                  <w:bottom w:w="0" w:type="dxa"/>
                  <w:right w:w="0" w:type="dxa"/>
                </w:tblCellMar>
              </w:tblPrEx>
              <w:trPr>
                <w:trHeight w:val="633" w:hRule="exact"/>
                <w:jc w:val="center"/>
              </w:trPr>
              <w:tc>
                <w:tcPr>
                  <w:tcW w:w="1066" w:type="dxa"/>
                  <w:tcBorders>
                    <w:top w:val="single" w:color="000000" w:sz="4" w:space="0"/>
                    <w:left w:val="single" w:color="000000" w:sz="4" w:space="0"/>
                    <w:bottom w:val="single" w:color="000000" w:sz="4" w:space="0"/>
                    <w:right w:val="single" w:color="000000" w:sz="4" w:space="0"/>
                  </w:tcBorders>
                  <w:vAlign w:val="center"/>
                </w:tcPr>
                <w:p w14:paraId="78C03C41">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特殊色表</w:t>
                  </w:r>
                </w:p>
              </w:tc>
              <w:tc>
                <w:tcPr>
                  <w:tcW w:w="1269" w:type="dxa"/>
                  <w:tcBorders>
                    <w:top w:val="single" w:color="000000" w:sz="4" w:space="0"/>
                    <w:left w:val="single" w:color="000000" w:sz="4" w:space="0"/>
                    <w:bottom w:val="single" w:color="000000" w:sz="4" w:space="0"/>
                    <w:right w:val="single" w:color="000000" w:sz="4" w:space="0"/>
                  </w:tcBorders>
                  <w:vAlign w:val="center"/>
                </w:tcPr>
                <w:p w14:paraId="686DBAC3">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w:t>
                  </w:r>
                  <w:r>
                    <w:rPr>
                      <w:rFonts w:ascii="宋体" w:hAnsi="宋体" w:eastAsia="仿宋_GB2312" w:cs="仿宋"/>
                      <w:kern w:val="2"/>
                      <w:szCs w:val="21"/>
                    </w:rPr>
                    <w:t>5500</w:t>
                  </w:r>
                </w:p>
              </w:tc>
              <w:tc>
                <w:tcPr>
                  <w:tcW w:w="1329" w:type="dxa"/>
                  <w:gridSpan w:val="2"/>
                  <w:tcBorders>
                    <w:top w:val="single" w:color="000000" w:sz="4" w:space="0"/>
                    <w:left w:val="single" w:color="000000" w:sz="4" w:space="0"/>
                    <w:bottom w:val="single" w:color="000000" w:sz="4" w:space="0"/>
                    <w:right w:val="single" w:color="000000" w:sz="4" w:space="0"/>
                  </w:tcBorders>
                  <w:vAlign w:val="center"/>
                </w:tcPr>
                <w:p w14:paraId="16492BBE">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L</w:t>
                  </w:r>
                </w:p>
              </w:tc>
            </w:tr>
          </w:tbl>
          <w:p w14:paraId="00F3C4BE">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 xml:space="preserve">                                      </w:t>
            </w:r>
          </w:p>
          <w:p w14:paraId="756F2351">
            <w:pPr>
              <w:pStyle w:val="210"/>
              <w:widowControl/>
              <w:adjustRightInd w:val="0"/>
              <w:snapToGrid w:val="0"/>
              <w:spacing w:line="260" w:lineRule="exact"/>
              <w:jc w:val="both"/>
              <w:rPr>
                <w:rFonts w:ascii="宋体" w:hAnsi="宋体" w:eastAsia="仿宋_GB2312" w:cs="仿宋"/>
                <w:sz w:val="24"/>
                <w:szCs w:val="21"/>
              </w:rPr>
            </w:pPr>
          </w:p>
        </w:tc>
        <w:tc>
          <w:tcPr>
            <w:tcW w:w="6557" w:type="dxa"/>
            <w:gridSpan w:val="14"/>
            <w:tcBorders>
              <w:top w:val="nil"/>
              <w:left w:val="nil"/>
              <w:bottom w:val="single" w:color="auto" w:sz="4" w:space="0"/>
              <w:right w:val="single" w:color="auto" w:sz="4" w:space="0"/>
            </w:tcBorders>
            <w:shd w:val="clear" w:color="auto" w:fill="auto"/>
            <w:tcMar>
              <w:top w:w="89" w:type="dxa"/>
              <w:left w:w="89" w:type="dxa"/>
              <w:bottom w:w="89" w:type="dxa"/>
              <w:right w:w="89" w:type="dxa"/>
            </w:tcMar>
          </w:tcPr>
          <w:p w14:paraId="5C617385">
            <w:pPr>
              <w:pStyle w:val="210"/>
              <w:widowControl/>
              <w:adjustRightInd w:val="0"/>
              <w:snapToGrid w:val="0"/>
              <w:spacing w:line="260" w:lineRule="exact"/>
              <w:jc w:val="both"/>
              <w:rPr>
                <w:rFonts w:ascii="宋体" w:hAnsi="宋体" w:eastAsia="仿宋_GB2312" w:cs="仿宋"/>
                <w:sz w:val="24"/>
                <w:szCs w:val="21"/>
              </w:rPr>
            </w:pPr>
            <w:r>
              <w:rPr>
                <w:rFonts w:hint="eastAsia" w:ascii="宋体" w:hAnsi="宋体" w:eastAsia="仿宋_GB2312" w:cs="仿宋"/>
                <w:sz w:val="24"/>
                <w:szCs w:val="21"/>
              </w:rPr>
              <w:t>彩色光比例：</w:t>
            </w:r>
          </w:p>
          <w:tbl>
            <w:tblPr>
              <w:tblStyle w:val="90"/>
              <w:tblW w:w="3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425"/>
            </w:tblGrid>
            <w:tr w14:paraId="34AE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14:paraId="61CCA0AA">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光色不限</w:t>
                  </w:r>
                </w:p>
              </w:tc>
              <w:tc>
                <w:tcPr>
                  <w:tcW w:w="1425" w:type="dxa"/>
                  <w:vAlign w:val="center"/>
                </w:tcPr>
                <w:p w14:paraId="18410C9A">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P</w:t>
                  </w:r>
                </w:p>
              </w:tc>
            </w:tr>
            <w:tr w14:paraId="043D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14:paraId="045B18CF">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50%</w:t>
                  </w:r>
                  <w:r>
                    <w:rPr>
                      <w:rFonts w:hint="eastAsia" w:ascii="宋体" w:hAnsi="宋体" w:eastAsia="仿宋_GB2312" w:cs="仿宋"/>
                      <w:kern w:val="2"/>
                      <w:szCs w:val="21"/>
                    </w:rPr>
                    <w:t>局部彩光</w:t>
                  </w:r>
                </w:p>
              </w:tc>
              <w:tc>
                <w:tcPr>
                  <w:tcW w:w="1425" w:type="dxa"/>
                  <w:vAlign w:val="center"/>
                </w:tcPr>
                <w:p w14:paraId="02969102">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H</w:t>
                  </w:r>
                </w:p>
              </w:tc>
            </w:tr>
            <w:tr w14:paraId="4247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14:paraId="751B1FBA">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30%</w:t>
                  </w:r>
                  <w:r>
                    <w:rPr>
                      <w:rFonts w:hint="eastAsia" w:ascii="宋体" w:hAnsi="宋体" w:eastAsia="仿宋_GB2312" w:cs="仿宋"/>
                      <w:kern w:val="2"/>
                      <w:szCs w:val="21"/>
                    </w:rPr>
                    <w:t>局部彩光</w:t>
                  </w:r>
                </w:p>
              </w:tc>
              <w:tc>
                <w:tcPr>
                  <w:tcW w:w="1425" w:type="dxa"/>
                  <w:vAlign w:val="center"/>
                </w:tcPr>
                <w:p w14:paraId="3C288F74">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T</w:t>
                  </w:r>
                </w:p>
              </w:tc>
            </w:tr>
            <w:tr w14:paraId="30B2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591" w:type="dxa"/>
                  <w:vAlign w:val="center"/>
                </w:tcPr>
                <w:p w14:paraId="0D8C96D6">
                  <w:pPr>
                    <w:pStyle w:val="190"/>
                    <w:kinsoku w:val="0"/>
                    <w:overflowPunct w:val="0"/>
                    <w:snapToGrid w:val="0"/>
                    <w:spacing w:line="260" w:lineRule="exact"/>
                    <w:jc w:val="center"/>
                    <w:rPr>
                      <w:rFonts w:ascii="宋体" w:hAnsi="宋体" w:eastAsia="仿宋_GB2312" w:cs="仿宋"/>
                      <w:kern w:val="2"/>
                      <w:szCs w:val="21"/>
                    </w:rPr>
                  </w:pPr>
                  <w:r>
                    <w:rPr>
                      <w:rFonts w:hint="eastAsia" w:ascii="宋体" w:hAnsi="宋体" w:eastAsia="仿宋_GB2312" w:cs="仿宋"/>
                      <w:kern w:val="2"/>
                      <w:szCs w:val="21"/>
                    </w:rPr>
                    <w:t>禁止彩光</w:t>
                  </w:r>
                </w:p>
              </w:tc>
              <w:tc>
                <w:tcPr>
                  <w:tcW w:w="1425" w:type="dxa"/>
                  <w:vAlign w:val="center"/>
                </w:tcPr>
                <w:p w14:paraId="6131A71E">
                  <w:pPr>
                    <w:pStyle w:val="190"/>
                    <w:kinsoku w:val="0"/>
                    <w:overflowPunct w:val="0"/>
                    <w:snapToGrid w:val="0"/>
                    <w:spacing w:line="260" w:lineRule="exact"/>
                    <w:jc w:val="center"/>
                    <w:rPr>
                      <w:rFonts w:ascii="宋体" w:hAnsi="宋体" w:eastAsia="仿宋_GB2312" w:cs="仿宋"/>
                      <w:kern w:val="2"/>
                      <w:szCs w:val="21"/>
                    </w:rPr>
                  </w:pPr>
                  <w:r>
                    <w:rPr>
                      <w:rFonts w:ascii="宋体" w:hAnsi="宋体" w:eastAsia="仿宋_GB2312" w:cs="仿宋"/>
                      <w:kern w:val="2"/>
                      <w:szCs w:val="21"/>
                    </w:rPr>
                    <w:t>X</w:t>
                  </w:r>
                </w:p>
              </w:tc>
            </w:tr>
          </w:tbl>
          <w:p w14:paraId="164B6BF4">
            <w:pPr>
              <w:pStyle w:val="210"/>
              <w:widowControl/>
              <w:adjustRightInd w:val="0"/>
              <w:snapToGrid w:val="0"/>
              <w:spacing w:line="260" w:lineRule="exact"/>
              <w:jc w:val="both"/>
              <w:rPr>
                <w:rFonts w:ascii="宋体" w:hAnsi="宋体" w:eastAsia="仿宋_GB2312" w:cs="仿宋"/>
                <w:sz w:val="24"/>
                <w:szCs w:val="21"/>
              </w:rPr>
            </w:pPr>
          </w:p>
        </w:tc>
      </w:tr>
      <w:bookmarkEnd w:id="684"/>
    </w:tbl>
    <w:p w14:paraId="40911CC7">
      <w:pPr>
        <w:rPr>
          <w:rFonts w:ascii="宋体" w:hAnsi="宋体" w:eastAsia="仿宋_GB2312"/>
          <w:sz w:val="24"/>
        </w:rPr>
        <w:sectPr>
          <w:pgSz w:w="16838" w:h="11906" w:orient="landscape"/>
          <w:pgMar w:top="1800" w:right="1440" w:bottom="1800" w:left="1440" w:header="850" w:footer="1587" w:gutter="0"/>
          <w:cols w:space="425" w:num="1"/>
          <w:titlePg/>
          <w:docGrid w:type="lines" w:linePitch="312" w:charSpace="0"/>
        </w:sectPr>
      </w:pPr>
    </w:p>
    <w:bookmarkEnd w:id="683"/>
    <w:p w14:paraId="5C3C364D">
      <w:pPr>
        <w:pStyle w:val="205"/>
        <w:spacing w:before="0" w:beforeLines="0" w:after="0" w:afterLines="0"/>
        <w:rPr>
          <w:rFonts w:ascii="宋体" w:hAnsi="宋体"/>
          <w:bCs w:val="0"/>
          <w:sz w:val="24"/>
        </w:rPr>
      </w:pPr>
      <w:bookmarkStart w:id="685" w:name="_Hlk87456970"/>
      <w:r>
        <w:rPr>
          <w:rFonts w:hint="eastAsia" w:ascii="宋体" w:hAnsi="宋体"/>
          <w:bCs w:val="0"/>
          <w:sz w:val="24"/>
        </w:rPr>
        <w:t>表13—10建（构）筑物景观照明动态效果控制指引</w:t>
      </w:r>
    </w:p>
    <w:tbl>
      <w:tblPr>
        <w:tblStyle w:val="89"/>
        <w:tblpPr w:leftFromText="181" w:rightFromText="181" w:vertAnchor="text" w:horzAnchor="page" w:tblpX="1486" w:tblpY="114"/>
        <w:tblOverlap w:val="never"/>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2"/>
        <w:gridCol w:w="487"/>
        <w:gridCol w:w="488"/>
        <w:gridCol w:w="488"/>
        <w:gridCol w:w="480"/>
        <w:gridCol w:w="494"/>
        <w:gridCol w:w="483"/>
        <w:gridCol w:w="477"/>
        <w:gridCol w:w="483"/>
        <w:gridCol w:w="505"/>
        <w:gridCol w:w="485"/>
        <w:gridCol w:w="494"/>
        <w:gridCol w:w="485"/>
        <w:gridCol w:w="485"/>
        <w:gridCol w:w="480"/>
        <w:gridCol w:w="508"/>
        <w:gridCol w:w="471"/>
        <w:gridCol w:w="491"/>
        <w:gridCol w:w="497"/>
        <w:gridCol w:w="483"/>
        <w:gridCol w:w="485"/>
        <w:gridCol w:w="497"/>
        <w:gridCol w:w="483"/>
        <w:gridCol w:w="497"/>
      </w:tblGrid>
      <w:tr w14:paraId="4EE3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vMerge w:val="restart"/>
            <w:shd w:val="clear" w:color="auto" w:fill="auto"/>
            <w:tcMar>
              <w:top w:w="89" w:type="dxa"/>
              <w:left w:w="89" w:type="dxa"/>
              <w:bottom w:w="89" w:type="dxa"/>
              <w:right w:w="89" w:type="dxa"/>
            </w:tcMar>
            <w:vAlign w:val="center"/>
          </w:tcPr>
          <w:p w14:paraId="7D6D7C15">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照明分区</w:t>
            </w:r>
          </w:p>
        </w:tc>
        <w:tc>
          <w:tcPr>
            <w:tcW w:w="2437" w:type="dxa"/>
            <w:gridSpan w:val="5"/>
            <w:shd w:val="clear" w:color="auto" w:fill="auto"/>
            <w:tcMar>
              <w:top w:w="89" w:type="dxa"/>
              <w:left w:w="89" w:type="dxa"/>
              <w:bottom w:w="89" w:type="dxa"/>
              <w:right w:w="89" w:type="dxa"/>
            </w:tcMar>
            <w:vAlign w:val="center"/>
          </w:tcPr>
          <w:p w14:paraId="7584BA59">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特殊重要性标志性建筑</w:t>
            </w:r>
          </w:p>
        </w:tc>
        <w:tc>
          <w:tcPr>
            <w:tcW w:w="2927" w:type="dxa"/>
            <w:gridSpan w:val="6"/>
            <w:shd w:val="clear" w:color="auto" w:fill="auto"/>
            <w:tcMar>
              <w:top w:w="89" w:type="dxa"/>
              <w:left w:w="89" w:type="dxa"/>
              <w:bottom w:w="89" w:type="dxa"/>
              <w:right w:w="89" w:type="dxa"/>
            </w:tcMar>
            <w:vAlign w:val="center"/>
          </w:tcPr>
          <w:p w14:paraId="4093F1EE">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高度较高、体量较大、形成天际轮廓线</w:t>
            </w:r>
          </w:p>
        </w:tc>
        <w:tc>
          <w:tcPr>
            <w:tcW w:w="2920" w:type="dxa"/>
            <w:gridSpan w:val="6"/>
            <w:shd w:val="clear" w:color="auto" w:fill="auto"/>
            <w:tcMar>
              <w:top w:w="89" w:type="dxa"/>
              <w:left w:w="89" w:type="dxa"/>
              <w:bottom w:w="89" w:type="dxa"/>
              <w:right w:w="89" w:type="dxa"/>
            </w:tcMar>
            <w:vAlign w:val="center"/>
          </w:tcPr>
          <w:p w14:paraId="06BC91D7">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体量较大、形成城市空间连续界面</w:t>
            </w:r>
          </w:p>
        </w:tc>
        <w:tc>
          <w:tcPr>
            <w:tcW w:w="2942" w:type="dxa"/>
            <w:gridSpan w:val="6"/>
            <w:shd w:val="clear" w:color="auto" w:fill="auto"/>
            <w:tcMar>
              <w:top w:w="89" w:type="dxa"/>
              <w:left w:w="89" w:type="dxa"/>
              <w:bottom w:w="89" w:type="dxa"/>
              <w:right w:w="89" w:type="dxa"/>
            </w:tcMar>
            <w:vAlign w:val="center"/>
          </w:tcPr>
          <w:p w14:paraId="40F990D0">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体量不突出</w:t>
            </w:r>
          </w:p>
        </w:tc>
      </w:tr>
      <w:tr w14:paraId="58F7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vMerge w:val="continue"/>
            <w:shd w:val="clear" w:color="auto" w:fill="auto"/>
            <w:vAlign w:val="center"/>
          </w:tcPr>
          <w:p w14:paraId="35AEB3A4">
            <w:pPr>
              <w:pStyle w:val="190"/>
              <w:kinsoku w:val="0"/>
              <w:overflowPunct w:val="0"/>
              <w:spacing w:line="260" w:lineRule="exact"/>
              <w:jc w:val="center"/>
              <w:rPr>
                <w:rFonts w:ascii="宋体" w:hAnsi="宋体" w:eastAsia="仿宋_GB2312" w:cs="仿宋"/>
                <w:szCs w:val="21"/>
              </w:rPr>
            </w:pPr>
          </w:p>
        </w:tc>
        <w:tc>
          <w:tcPr>
            <w:tcW w:w="1463" w:type="dxa"/>
            <w:gridSpan w:val="3"/>
            <w:shd w:val="clear" w:color="auto" w:fill="auto"/>
            <w:tcMar>
              <w:top w:w="89" w:type="dxa"/>
              <w:left w:w="89" w:type="dxa"/>
              <w:bottom w:w="89" w:type="dxa"/>
              <w:right w:w="89" w:type="dxa"/>
            </w:tcMar>
            <w:vAlign w:val="center"/>
          </w:tcPr>
          <w:p w14:paraId="70B44BDF">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0" w:type="dxa"/>
            <w:vMerge w:val="restart"/>
            <w:shd w:val="clear" w:color="auto" w:fill="auto"/>
            <w:tcMar>
              <w:top w:w="89" w:type="dxa"/>
              <w:left w:w="89" w:type="dxa"/>
              <w:bottom w:w="89" w:type="dxa"/>
              <w:right w:w="89" w:type="dxa"/>
            </w:tcMar>
            <w:vAlign w:val="center"/>
          </w:tcPr>
          <w:p w14:paraId="4420ED15">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4" w:type="dxa"/>
            <w:vMerge w:val="restart"/>
            <w:shd w:val="clear" w:color="auto" w:fill="auto"/>
            <w:tcMar>
              <w:top w:w="89" w:type="dxa"/>
              <w:left w:w="89" w:type="dxa"/>
              <w:bottom w:w="89" w:type="dxa"/>
              <w:right w:w="89" w:type="dxa"/>
            </w:tcMar>
            <w:vAlign w:val="center"/>
          </w:tcPr>
          <w:p w14:paraId="4BAA0D89">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48" w:type="dxa"/>
            <w:gridSpan w:val="4"/>
            <w:shd w:val="clear" w:color="auto" w:fill="auto"/>
            <w:tcMar>
              <w:top w:w="89" w:type="dxa"/>
              <w:left w:w="89" w:type="dxa"/>
              <w:bottom w:w="89" w:type="dxa"/>
              <w:right w:w="89" w:type="dxa"/>
            </w:tcMar>
            <w:vAlign w:val="center"/>
          </w:tcPr>
          <w:p w14:paraId="47DC1C16">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5" w:type="dxa"/>
            <w:vMerge w:val="restart"/>
            <w:shd w:val="clear" w:color="auto" w:fill="auto"/>
            <w:tcMar>
              <w:top w:w="89" w:type="dxa"/>
              <w:left w:w="89" w:type="dxa"/>
              <w:bottom w:w="89" w:type="dxa"/>
              <w:right w:w="89" w:type="dxa"/>
            </w:tcMar>
            <w:vAlign w:val="center"/>
          </w:tcPr>
          <w:p w14:paraId="047253BF">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4" w:type="dxa"/>
            <w:vMerge w:val="restart"/>
            <w:shd w:val="clear" w:color="auto" w:fill="auto"/>
            <w:tcMar>
              <w:top w:w="89" w:type="dxa"/>
              <w:left w:w="89" w:type="dxa"/>
              <w:bottom w:w="89" w:type="dxa"/>
              <w:right w:w="89" w:type="dxa"/>
            </w:tcMar>
            <w:vAlign w:val="center"/>
          </w:tcPr>
          <w:p w14:paraId="46E57B71">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58" w:type="dxa"/>
            <w:gridSpan w:val="4"/>
            <w:shd w:val="clear" w:color="auto" w:fill="auto"/>
            <w:tcMar>
              <w:top w:w="89" w:type="dxa"/>
              <w:left w:w="89" w:type="dxa"/>
              <w:bottom w:w="89" w:type="dxa"/>
              <w:right w:w="89" w:type="dxa"/>
            </w:tcMar>
            <w:vAlign w:val="center"/>
          </w:tcPr>
          <w:p w14:paraId="32389CAF">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71" w:type="dxa"/>
            <w:vMerge w:val="restart"/>
            <w:shd w:val="clear" w:color="auto" w:fill="auto"/>
            <w:tcMar>
              <w:top w:w="89" w:type="dxa"/>
              <w:left w:w="89" w:type="dxa"/>
              <w:bottom w:w="89" w:type="dxa"/>
              <w:right w:w="89" w:type="dxa"/>
            </w:tcMar>
            <w:vAlign w:val="center"/>
          </w:tcPr>
          <w:p w14:paraId="1156B152">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1" w:type="dxa"/>
            <w:vMerge w:val="restart"/>
            <w:shd w:val="clear" w:color="auto" w:fill="auto"/>
            <w:tcMar>
              <w:top w:w="89" w:type="dxa"/>
              <w:left w:w="89" w:type="dxa"/>
              <w:bottom w:w="89" w:type="dxa"/>
              <w:right w:w="89" w:type="dxa"/>
            </w:tcMar>
            <w:vAlign w:val="center"/>
          </w:tcPr>
          <w:p w14:paraId="1B9109B5">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c>
          <w:tcPr>
            <w:tcW w:w="1962" w:type="dxa"/>
            <w:gridSpan w:val="4"/>
            <w:shd w:val="clear" w:color="auto" w:fill="auto"/>
            <w:tcMar>
              <w:top w:w="89" w:type="dxa"/>
              <w:left w:w="89" w:type="dxa"/>
              <w:bottom w:w="89" w:type="dxa"/>
              <w:right w:w="89" w:type="dxa"/>
            </w:tcMar>
            <w:vAlign w:val="center"/>
          </w:tcPr>
          <w:p w14:paraId="1BDEC1A8">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公建</w:t>
            </w:r>
          </w:p>
        </w:tc>
        <w:tc>
          <w:tcPr>
            <w:tcW w:w="483" w:type="dxa"/>
            <w:vMerge w:val="restart"/>
            <w:shd w:val="clear" w:color="auto" w:fill="auto"/>
            <w:tcMar>
              <w:top w:w="89" w:type="dxa"/>
              <w:left w:w="89" w:type="dxa"/>
              <w:bottom w:w="89" w:type="dxa"/>
              <w:right w:w="89" w:type="dxa"/>
            </w:tcMar>
            <w:vAlign w:val="center"/>
          </w:tcPr>
          <w:p w14:paraId="7A5585E4">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居住</w:t>
            </w:r>
          </w:p>
        </w:tc>
        <w:tc>
          <w:tcPr>
            <w:tcW w:w="497" w:type="dxa"/>
            <w:vMerge w:val="restart"/>
            <w:shd w:val="clear" w:color="auto" w:fill="auto"/>
            <w:tcMar>
              <w:top w:w="89" w:type="dxa"/>
              <w:left w:w="89" w:type="dxa"/>
              <w:bottom w:w="89" w:type="dxa"/>
              <w:right w:w="89" w:type="dxa"/>
            </w:tcMar>
            <w:vAlign w:val="center"/>
          </w:tcPr>
          <w:p w14:paraId="601CF721">
            <w:pPr>
              <w:pStyle w:val="190"/>
              <w:kinsoku w:val="0"/>
              <w:overflowPunct w:val="0"/>
              <w:spacing w:line="260" w:lineRule="exact"/>
              <w:jc w:val="center"/>
              <w:rPr>
                <w:rFonts w:ascii="宋体" w:hAnsi="宋体" w:eastAsia="仿宋_GB2312" w:cs="仿宋"/>
                <w:szCs w:val="21"/>
              </w:rPr>
            </w:pPr>
            <w:r>
              <w:rPr>
                <w:rFonts w:hint="eastAsia" w:ascii="宋体" w:hAnsi="宋体" w:eastAsia="仿宋_GB2312" w:cs="仿宋"/>
                <w:szCs w:val="21"/>
              </w:rPr>
              <w:t>其他</w:t>
            </w:r>
          </w:p>
        </w:tc>
      </w:tr>
      <w:tr w14:paraId="621B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2722" w:type="dxa"/>
            <w:vMerge w:val="continue"/>
            <w:shd w:val="clear" w:color="auto" w:fill="auto"/>
            <w:vAlign w:val="center"/>
          </w:tcPr>
          <w:p w14:paraId="14C8DFFD">
            <w:pPr>
              <w:pStyle w:val="210"/>
              <w:widowControl/>
              <w:adjustRightInd w:val="0"/>
              <w:snapToGrid w:val="0"/>
              <w:spacing w:line="300" w:lineRule="exact"/>
              <w:textAlignment w:val="baseline"/>
              <w:rPr>
                <w:rFonts w:ascii="宋体" w:hAnsi="宋体" w:eastAsia="仿宋_GB2312"/>
                <w:sz w:val="24"/>
              </w:rPr>
            </w:pPr>
          </w:p>
        </w:tc>
        <w:tc>
          <w:tcPr>
            <w:tcW w:w="487" w:type="dxa"/>
            <w:shd w:val="clear" w:color="auto" w:fill="auto"/>
            <w:tcMar>
              <w:top w:w="89" w:type="dxa"/>
              <w:left w:w="89" w:type="dxa"/>
              <w:bottom w:w="89" w:type="dxa"/>
              <w:right w:w="89" w:type="dxa"/>
            </w:tcMar>
            <w:vAlign w:val="center"/>
          </w:tcPr>
          <w:p w14:paraId="6A875438">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低层</w:t>
            </w:r>
          </w:p>
        </w:tc>
        <w:tc>
          <w:tcPr>
            <w:tcW w:w="488" w:type="dxa"/>
            <w:shd w:val="clear" w:color="auto" w:fill="auto"/>
            <w:tcMar>
              <w:top w:w="89" w:type="dxa"/>
              <w:left w:w="89" w:type="dxa"/>
              <w:bottom w:w="89" w:type="dxa"/>
              <w:right w:w="89" w:type="dxa"/>
            </w:tcMar>
            <w:vAlign w:val="center"/>
          </w:tcPr>
          <w:p w14:paraId="3EB416AD">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中层</w:t>
            </w:r>
          </w:p>
        </w:tc>
        <w:tc>
          <w:tcPr>
            <w:tcW w:w="488" w:type="dxa"/>
            <w:shd w:val="clear" w:color="auto" w:fill="auto"/>
            <w:tcMar>
              <w:top w:w="89" w:type="dxa"/>
              <w:left w:w="89" w:type="dxa"/>
              <w:bottom w:w="89" w:type="dxa"/>
              <w:right w:w="89" w:type="dxa"/>
            </w:tcMar>
            <w:vAlign w:val="center"/>
          </w:tcPr>
          <w:p w14:paraId="34F6946E">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高层</w:t>
            </w:r>
          </w:p>
        </w:tc>
        <w:tc>
          <w:tcPr>
            <w:tcW w:w="480" w:type="dxa"/>
            <w:vMerge w:val="continue"/>
            <w:shd w:val="clear" w:color="auto" w:fill="auto"/>
            <w:vAlign w:val="center"/>
          </w:tcPr>
          <w:p w14:paraId="282B2590">
            <w:pPr>
              <w:pStyle w:val="190"/>
              <w:kinsoku w:val="0"/>
              <w:overflowPunct w:val="0"/>
              <w:spacing w:line="300" w:lineRule="exact"/>
              <w:jc w:val="center"/>
              <w:rPr>
                <w:rFonts w:ascii="宋体" w:hAnsi="宋体" w:eastAsia="仿宋_GB2312" w:cs="仿宋"/>
                <w:szCs w:val="21"/>
              </w:rPr>
            </w:pPr>
          </w:p>
        </w:tc>
        <w:tc>
          <w:tcPr>
            <w:tcW w:w="494" w:type="dxa"/>
            <w:vMerge w:val="continue"/>
            <w:shd w:val="clear" w:color="auto" w:fill="auto"/>
            <w:vAlign w:val="center"/>
          </w:tcPr>
          <w:p w14:paraId="6AF9A7FE">
            <w:pPr>
              <w:pStyle w:val="190"/>
              <w:kinsoku w:val="0"/>
              <w:overflowPunct w:val="0"/>
              <w:spacing w:line="300" w:lineRule="exact"/>
              <w:jc w:val="center"/>
              <w:rPr>
                <w:rFonts w:ascii="宋体" w:hAnsi="宋体" w:eastAsia="仿宋_GB2312" w:cs="仿宋"/>
                <w:szCs w:val="21"/>
              </w:rPr>
            </w:pPr>
          </w:p>
        </w:tc>
        <w:tc>
          <w:tcPr>
            <w:tcW w:w="483" w:type="dxa"/>
            <w:shd w:val="clear" w:color="auto" w:fill="auto"/>
            <w:tcMar>
              <w:top w:w="89" w:type="dxa"/>
              <w:left w:w="89" w:type="dxa"/>
              <w:bottom w:w="89" w:type="dxa"/>
              <w:right w:w="89" w:type="dxa"/>
            </w:tcMar>
            <w:vAlign w:val="center"/>
          </w:tcPr>
          <w:p w14:paraId="45DC7D56">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77" w:type="dxa"/>
            <w:shd w:val="clear" w:color="auto" w:fill="auto"/>
            <w:tcMar>
              <w:top w:w="89" w:type="dxa"/>
              <w:left w:w="89" w:type="dxa"/>
              <w:bottom w:w="89" w:type="dxa"/>
              <w:right w:w="89" w:type="dxa"/>
            </w:tcMar>
            <w:vAlign w:val="center"/>
          </w:tcPr>
          <w:p w14:paraId="1397B645">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3" w:type="dxa"/>
            <w:shd w:val="clear" w:color="auto" w:fill="auto"/>
            <w:tcMar>
              <w:top w:w="89" w:type="dxa"/>
              <w:left w:w="89" w:type="dxa"/>
              <w:bottom w:w="89" w:type="dxa"/>
              <w:right w:w="89" w:type="dxa"/>
            </w:tcMar>
            <w:vAlign w:val="center"/>
          </w:tcPr>
          <w:p w14:paraId="57025E53">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505" w:type="dxa"/>
            <w:shd w:val="clear" w:color="auto" w:fill="auto"/>
            <w:tcMar>
              <w:top w:w="89" w:type="dxa"/>
              <w:left w:w="89" w:type="dxa"/>
              <w:bottom w:w="89" w:type="dxa"/>
              <w:right w:w="89" w:type="dxa"/>
            </w:tcMar>
            <w:vAlign w:val="center"/>
          </w:tcPr>
          <w:p w14:paraId="4F27AE74">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85" w:type="dxa"/>
            <w:vMerge w:val="continue"/>
            <w:shd w:val="clear" w:color="auto" w:fill="auto"/>
            <w:vAlign w:val="center"/>
          </w:tcPr>
          <w:p w14:paraId="12246BE6">
            <w:pPr>
              <w:pStyle w:val="190"/>
              <w:kinsoku w:val="0"/>
              <w:overflowPunct w:val="0"/>
              <w:spacing w:line="300" w:lineRule="exact"/>
              <w:jc w:val="center"/>
              <w:rPr>
                <w:rFonts w:ascii="宋体" w:hAnsi="宋体" w:eastAsia="仿宋_GB2312" w:cs="仿宋"/>
                <w:szCs w:val="21"/>
              </w:rPr>
            </w:pPr>
          </w:p>
        </w:tc>
        <w:tc>
          <w:tcPr>
            <w:tcW w:w="494" w:type="dxa"/>
            <w:vMerge w:val="continue"/>
            <w:shd w:val="clear" w:color="auto" w:fill="auto"/>
            <w:vAlign w:val="center"/>
          </w:tcPr>
          <w:p w14:paraId="039C8718">
            <w:pPr>
              <w:pStyle w:val="190"/>
              <w:kinsoku w:val="0"/>
              <w:overflowPunct w:val="0"/>
              <w:spacing w:line="300" w:lineRule="exact"/>
              <w:jc w:val="center"/>
              <w:rPr>
                <w:rFonts w:ascii="宋体" w:hAnsi="宋体" w:eastAsia="仿宋_GB2312" w:cs="仿宋"/>
                <w:szCs w:val="21"/>
              </w:rPr>
            </w:pPr>
          </w:p>
        </w:tc>
        <w:tc>
          <w:tcPr>
            <w:tcW w:w="485" w:type="dxa"/>
            <w:shd w:val="clear" w:color="auto" w:fill="auto"/>
            <w:tcMar>
              <w:top w:w="89" w:type="dxa"/>
              <w:left w:w="89" w:type="dxa"/>
              <w:bottom w:w="89" w:type="dxa"/>
              <w:right w:w="89" w:type="dxa"/>
            </w:tcMar>
            <w:vAlign w:val="center"/>
          </w:tcPr>
          <w:p w14:paraId="328F904A">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85" w:type="dxa"/>
            <w:shd w:val="clear" w:color="auto" w:fill="auto"/>
            <w:tcMar>
              <w:top w:w="89" w:type="dxa"/>
              <w:left w:w="89" w:type="dxa"/>
              <w:bottom w:w="89" w:type="dxa"/>
              <w:right w:w="89" w:type="dxa"/>
            </w:tcMar>
            <w:vAlign w:val="center"/>
          </w:tcPr>
          <w:p w14:paraId="0B3E05F5">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0" w:type="dxa"/>
            <w:shd w:val="clear" w:color="auto" w:fill="auto"/>
            <w:tcMar>
              <w:top w:w="89" w:type="dxa"/>
              <w:left w:w="89" w:type="dxa"/>
              <w:bottom w:w="89" w:type="dxa"/>
              <w:right w:w="89" w:type="dxa"/>
            </w:tcMar>
            <w:vAlign w:val="center"/>
          </w:tcPr>
          <w:p w14:paraId="35BF3F27">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508" w:type="dxa"/>
            <w:shd w:val="clear" w:color="auto" w:fill="auto"/>
            <w:tcMar>
              <w:top w:w="89" w:type="dxa"/>
              <w:left w:w="89" w:type="dxa"/>
              <w:bottom w:w="89" w:type="dxa"/>
              <w:right w:w="89" w:type="dxa"/>
            </w:tcMar>
            <w:vAlign w:val="center"/>
          </w:tcPr>
          <w:p w14:paraId="71B8FF44">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71" w:type="dxa"/>
            <w:vMerge w:val="continue"/>
            <w:shd w:val="clear" w:color="auto" w:fill="auto"/>
            <w:vAlign w:val="center"/>
          </w:tcPr>
          <w:p w14:paraId="7A6749FD">
            <w:pPr>
              <w:pStyle w:val="190"/>
              <w:kinsoku w:val="0"/>
              <w:overflowPunct w:val="0"/>
              <w:spacing w:line="300" w:lineRule="exact"/>
              <w:jc w:val="center"/>
              <w:rPr>
                <w:rFonts w:ascii="宋体" w:hAnsi="宋体" w:eastAsia="仿宋_GB2312" w:cs="仿宋"/>
                <w:szCs w:val="21"/>
              </w:rPr>
            </w:pPr>
          </w:p>
        </w:tc>
        <w:tc>
          <w:tcPr>
            <w:tcW w:w="491" w:type="dxa"/>
            <w:vMerge w:val="continue"/>
            <w:shd w:val="clear" w:color="auto" w:fill="auto"/>
            <w:vAlign w:val="center"/>
          </w:tcPr>
          <w:p w14:paraId="5C7C842F">
            <w:pPr>
              <w:pStyle w:val="190"/>
              <w:kinsoku w:val="0"/>
              <w:overflowPunct w:val="0"/>
              <w:spacing w:line="300" w:lineRule="exact"/>
              <w:jc w:val="center"/>
              <w:rPr>
                <w:rFonts w:ascii="宋体" w:hAnsi="宋体" w:eastAsia="仿宋_GB2312" w:cs="仿宋"/>
                <w:szCs w:val="21"/>
              </w:rPr>
            </w:pPr>
          </w:p>
        </w:tc>
        <w:tc>
          <w:tcPr>
            <w:tcW w:w="497" w:type="dxa"/>
            <w:shd w:val="clear" w:color="auto" w:fill="auto"/>
            <w:tcMar>
              <w:top w:w="89" w:type="dxa"/>
              <w:left w:w="89" w:type="dxa"/>
              <w:bottom w:w="89" w:type="dxa"/>
              <w:right w:w="89" w:type="dxa"/>
            </w:tcMar>
            <w:vAlign w:val="center"/>
          </w:tcPr>
          <w:p w14:paraId="1AE1D851">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政务</w:t>
            </w:r>
          </w:p>
        </w:tc>
        <w:tc>
          <w:tcPr>
            <w:tcW w:w="483" w:type="dxa"/>
            <w:shd w:val="clear" w:color="auto" w:fill="auto"/>
            <w:tcMar>
              <w:top w:w="89" w:type="dxa"/>
              <w:left w:w="89" w:type="dxa"/>
              <w:bottom w:w="89" w:type="dxa"/>
              <w:right w:w="89" w:type="dxa"/>
            </w:tcMar>
            <w:vAlign w:val="center"/>
          </w:tcPr>
          <w:p w14:paraId="4C860E79">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文化</w:t>
            </w:r>
          </w:p>
        </w:tc>
        <w:tc>
          <w:tcPr>
            <w:tcW w:w="485" w:type="dxa"/>
            <w:shd w:val="clear" w:color="auto" w:fill="auto"/>
            <w:tcMar>
              <w:top w:w="89" w:type="dxa"/>
              <w:left w:w="89" w:type="dxa"/>
              <w:bottom w:w="89" w:type="dxa"/>
              <w:right w:w="89" w:type="dxa"/>
            </w:tcMar>
            <w:vAlign w:val="center"/>
          </w:tcPr>
          <w:p w14:paraId="5C1F914A">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商业</w:t>
            </w:r>
          </w:p>
        </w:tc>
        <w:tc>
          <w:tcPr>
            <w:tcW w:w="497" w:type="dxa"/>
            <w:shd w:val="clear" w:color="auto" w:fill="auto"/>
            <w:tcMar>
              <w:top w:w="89" w:type="dxa"/>
              <w:left w:w="89" w:type="dxa"/>
              <w:bottom w:w="89" w:type="dxa"/>
              <w:right w:w="89" w:type="dxa"/>
            </w:tcMar>
            <w:vAlign w:val="center"/>
          </w:tcPr>
          <w:p w14:paraId="12D6D9BE">
            <w:pPr>
              <w:pStyle w:val="190"/>
              <w:kinsoku w:val="0"/>
              <w:overflowPunct w:val="0"/>
              <w:spacing w:line="300" w:lineRule="exact"/>
              <w:jc w:val="center"/>
              <w:rPr>
                <w:rFonts w:ascii="宋体" w:hAnsi="宋体" w:eastAsia="仿宋_GB2312" w:cs="仿宋"/>
                <w:szCs w:val="21"/>
              </w:rPr>
            </w:pPr>
            <w:r>
              <w:rPr>
                <w:rFonts w:hint="eastAsia" w:ascii="宋体" w:hAnsi="宋体" w:eastAsia="仿宋_GB2312" w:cs="仿宋"/>
                <w:szCs w:val="21"/>
              </w:rPr>
              <w:t>商务</w:t>
            </w:r>
          </w:p>
        </w:tc>
        <w:tc>
          <w:tcPr>
            <w:tcW w:w="483" w:type="dxa"/>
            <w:vMerge w:val="continue"/>
            <w:shd w:val="clear" w:color="auto" w:fill="auto"/>
            <w:vAlign w:val="center"/>
          </w:tcPr>
          <w:p w14:paraId="7C21CB1B">
            <w:pPr>
              <w:pStyle w:val="210"/>
              <w:widowControl/>
              <w:adjustRightInd w:val="0"/>
              <w:snapToGrid w:val="0"/>
              <w:spacing w:line="300" w:lineRule="exact"/>
              <w:textAlignment w:val="baseline"/>
              <w:rPr>
                <w:rFonts w:ascii="宋体" w:hAnsi="宋体" w:eastAsia="仿宋_GB2312"/>
                <w:sz w:val="24"/>
              </w:rPr>
            </w:pPr>
          </w:p>
        </w:tc>
        <w:tc>
          <w:tcPr>
            <w:tcW w:w="497" w:type="dxa"/>
            <w:vMerge w:val="continue"/>
            <w:shd w:val="clear" w:color="auto" w:fill="auto"/>
            <w:vAlign w:val="center"/>
          </w:tcPr>
          <w:p w14:paraId="1AA32B41">
            <w:pPr>
              <w:pStyle w:val="210"/>
              <w:widowControl/>
              <w:adjustRightInd w:val="0"/>
              <w:snapToGrid w:val="0"/>
              <w:spacing w:line="300" w:lineRule="exact"/>
              <w:textAlignment w:val="baseline"/>
              <w:rPr>
                <w:rFonts w:ascii="宋体" w:hAnsi="宋体" w:eastAsia="仿宋_GB2312"/>
                <w:sz w:val="24"/>
              </w:rPr>
            </w:pPr>
          </w:p>
        </w:tc>
      </w:tr>
      <w:tr w14:paraId="50A2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shd w:val="clear" w:color="auto" w:fill="auto"/>
            <w:vAlign w:val="center"/>
          </w:tcPr>
          <w:p w14:paraId="1E67D4A0">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14:paraId="193F02AD">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（重大节日模式）</w:t>
            </w:r>
          </w:p>
        </w:tc>
        <w:tc>
          <w:tcPr>
            <w:tcW w:w="487" w:type="dxa"/>
            <w:shd w:val="clear" w:color="auto" w:fill="auto"/>
            <w:tcMar>
              <w:top w:w="89" w:type="dxa"/>
              <w:left w:w="89" w:type="dxa"/>
              <w:bottom w:w="89" w:type="dxa"/>
              <w:right w:w="89" w:type="dxa"/>
            </w:tcMar>
            <w:vAlign w:val="center"/>
          </w:tcPr>
          <w:p w14:paraId="2B34FF56">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3F03D33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59A51B6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vAlign w:val="center"/>
          </w:tcPr>
          <w:p w14:paraId="3B10812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14:paraId="4B9B65B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080F522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14:paraId="0A9DECD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2783DBD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14:paraId="6E3CEB8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vAlign w:val="center"/>
          </w:tcPr>
          <w:p w14:paraId="2852EDF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14:paraId="07FB6E5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4DC4937E">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049F492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14:paraId="697B32E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14:paraId="051DBF0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vAlign w:val="center"/>
          </w:tcPr>
          <w:p w14:paraId="521436B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1" w:type="dxa"/>
            <w:shd w:val="clear" w:color="auto" w:fill="auto"/>
            <w:vAlign w:val="center"/>
          </w:tcPr>
          <w:p w14:paraId="602F087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97" w:type="dxa"/>
            <w:shd w:val="clear" w:color="auto" w:fill="auto"/>
            <w:tcMar>
              <w:top w:w="89" w:type="dxa"/>
              <w:left w:w="89" w:type="dxa"/>
              <w:bottom w:w="89" w:type="dxa"/>
              <w:right w:w="89" w:type="dxa"/>
            </w:tcMar>
            <w:vAlign w:val="center"/>
          </w:tcPr>
          <w:p w14:paraId="5882AF6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tcMar>
              <w:top w:w="89" w:type="dxa"/>
              <w:left w:w="89" w:type="dxa"/>
              <w:bottom w:w="89" w:type="dxa"/>
              <w:right w:w="89" w:type="dxa"/>
            </w:tcMar>
            <w:vAlign w:val="center"/>
          </w:tcPr>
          <w:p w14:paraId="10335BA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5" w:type="dxa"/>
            <w:shd w:val="clear" w:color="auto" w:fill="auto"/>
            <w:tcMar>
              <w:top w:w="89" w:type="dxa"/>
              <w:left w:w="89" w:type="dxa"/>
              <w:bottom w:w="89" w:type="dxa"/>
              <w:right w:w="89" w:type="dxa"/>
            </w:tcMar>
            <w:vAlign w:val="center"/>
          </w:tcPr>
          <w:p w14:paraId="1A54FCA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tcMar>
              <w:top w:w="89" w:type="dxa"/>
              <w:left w:w="89" w:type="dxa"/>
              <w:bottom w:w="89" w:type="dxa"/>
              <w:right w:w="89" w:type="dxa"/>
            </w:tcMar>
            <w:vAlign w:val="center"/>
          </w:tcPr>
          <w:p w14:paraId="07C6004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vAlign w:val="center"/>
          </w:tcPr>
          <w:p w14:paraId="7D68544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vAlign w:val="center"/>
          </w:tcPr>
          <w:p w14:paraId="300782C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14:paraId="04A2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2722" w:type="dxa"/>
            <w:shd w:val="clear" w:color="auto" w:fill="auto"/>
            <w:vAlign w:val="center"/>
          </w:tcPr>
          <w:p w14:paraId="085B66EB">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p w14:paraId="7C78D346">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（节日—平日模式）</w:t>
            </w:r>
          </w:p>
        </w:tc>
        <w:tc>
          <w:tcPr>
            <w:tcW w:w="487" w:type="dxa"/>
            <w:shd w:val="clear" w:color="auto" w:fill="auto"/>
            <w:tcMar>
              <w:top w:w="89" w:type="dxa"/>
              <w:left w:w="89" w:type="dxa"/>
              <w:bottom w:w="89" w:type="dxa"/>
              <w:right w:w="89" w:type="dxa"/>
            </w:tcMar>
            <w:vAlign w:val="center"/>
          </w:tcPr>
          <w:p w14:paraId="2CF13B0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2E86245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41A5786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vAlign w:val="center"/>
          </w:tcPr>
          <w:p w14:paraId="09C6A64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14:paraId="3F9F625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5BED59D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14:paraId="4971EC9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6B533320">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14:paraId="0448B01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vAlign w:val="center"/>
          </w:tcPr>
          <w:p w14:paraId="5D3EBC8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4" w:type="dxa"/>
            <w:shd w:val="clear" w:color="auto" w:fill="auto"/>
            <w:vAlign w:val="center"/>
          </w:tcPr>
          <w:p w14:paraId="36094BA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04B672A1">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1C7CB25A">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14:paraId="05A3A7B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14:paraId="4560269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vAlign w:val="center"/>
          </w:tcPr>
          <w:p w14:paraId="1E7EC3B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1" w:type="dxa"/>
            <w:shd w:val="clear" w:color="auto" w:fill="auto"/>
            <w:vAlign w:val="center"/>
          </w:tcPr>
          <w:p w14:paraId="53CD940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97" w:type="dxa"/>
            <w:shd w:val="clear" w:color="auto" w:fill="auto"/>
            <w:tcMar>
              <w:top w:w="89" w:type="dxa"/>
              <w:left w:w="89" w:type="dxa"/>
              <w:bottom w:w="89" w:type="dxa"/>
              <w:right w:w="89" w:type="dxa"/>
            </w:tcMar>
            <w:vAlign w:val="center"/>
          </w:tcPr>
          <w:p w14:paraId="06A1D0B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tcMar>
              <w:top w:w="89" w:type="dxa"/>
              <w:left w:w="89" w:type="dxa"/>
              <w:bottom w:w="89" w:type="dxa"/>
              <w:right w:w="89" w:type="dxa"/>
            </w:tcMar>
            <w:vAlign w:val="center"/>
          </w:tcPr>
          <w:p w14:paraId="380D497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5" w:type="dxa"/>
            <w:shd w:val="clear" w:color="auto" w:fill="auto"/>
            <w:tcMar>
              <w:top w:w="89" w:type="dxa"/>
              <w:left w:w="89" w:type="dxa"/>
              <w:bottom w:w="89" w:type="dxa"/>
              <w:right w:w="89" w:type="dxa"/>
            </w:tcMar>
            <w:vAlign w:val="center"/>
          </w:tcPr>
          <w:p w14:paraId="4565E13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tcMar>
              <w:top w:w="89" w:type="dxa"/>
              <w:left w:w="89" w:type="dxa"/>
              <w:bottom w:w="89" w:type="dxa"/>
              <w:right w:w="89" w:type="dxa"/>
            </w:tcMar>
            <w:vAlign w:val="center"/>
          </w:tcPr>
          <w:p w14:paraId="4940F19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83" w:type="dxa"/>
            <w:shd w:val="clear" w:color="auto" w:fill="auto"/>
            <w:vAlign w:val="center"/>
          </w:tcPr>
          <w:p w14:paraId="129E489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497" w:type="dxa"/>
            <w:shd w:val="clear" w:color="auto" w:fill="auto"/>
            <w:vAlign w:val="center"/>
          </w:tcPr>
          <w:p w14:paraId="375E839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14:paraId="3290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14:paraId="6C36F591">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一类照明区</w:t>
            </w:r>
          </w:p>
        </w:tc>
        <w:tc>
          <w:tcPr>
            <w:tcW w:w="487" w:type="dxa"/>
            <w:shd w:val="clear" w:color="auto" w:fill="auto"/>
            <w:tcMar>
              <w:top w:w="89" w:type="dxa"/>
              <w:left w:w="89" w:type="dxa"/>
              <w:bottom w:w="89" w:type="dxa"/>
              <w:right w:w="89" w:type="dxa"/>
            </w:tcMar>
            <w:vAlign w:val="center"/>
          </w:tcPr>
          <w:p w14:paraId="4833501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4EC8E3A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8" w:type="dxa"/>
            <w:shd w:val="clear" w:color="auto" w:fill="auto"/>
            <w:tcMar>
              <w:top w:w="89" w:type="dxa"/>
              <w:left w:w="89" w:type="dxa"/>
              <w:bottom w:w="89" w:type="dxa"/>
              <w:right w:w="89" w:type="dxa"/>
            </w:tcMar>
            <w:vAlign w:val="center"/>
          </w:tcPr>
          <w:p w14:paraId="558D180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14:paraId="16CCD39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4" w:type="dxa"/>
            <w:shd w:val="clear" w:color="auto" w:fill="auto"/>
            <w:tcMar>
              <w:top w:w="89" w:type="dxa"/>
              <w:left w:w="89" w:type="dxa"/>
              <w:bottom w:w="89" w:type="dxa"/>
              <w:right w:w="89" w:type="dxa"/>
            </w:tcMar>
            <w:vAlign w:val="center"/>
          </w:tcPr>
          <w:p w14:paraId="6BCD3A9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3DAB6E11">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77" w:type="dxa"/>
            <w:shd w:val="clear" w:color="auto" w:fill="auto"/>
            <w:tcMar>
              <w:top w:w="89" w:type="dxa"/>
              <w:left w:w="89" w:type="dxa"/>
              <w:bottom w:w="89" w:type="dxa"/>
              <w:right w:w="89" w:type="dxa"/>
            </w:tcMar>
            <w:vAlign w:val="center"/>
          </w:tcPr>
          <w:p w14:paraId="3E8CD2F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3" w:type="dxa"/>
            <w:shd w:val="clear" w:color="auto" w:fill="auto"/>
            <w:tcMar>
              <w:top w:w="89" w:type="dxa"/>
              <w:left w:w="89" w:type="dxa"/>
              <w:bottom w:w="89" w:type="dxa"/>
              <w:right w:w="89" w:type="dxa"/>
            </w:tcMar>
            <w:vAlign w:val="center"/>
          </w:tcPr>
          <w:p w14:paraId="430C32F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505" w:type="dxa"/>
            <w:shd w:val="clear" w:color="auto" w:fill="auto"/>
            <w:tcMar>
              <w:top w:w="89" w:type="dxa"/>
              <w:left w:w="89" w:type="dxa"/>
              <w:bottom w:w="89" w:type="dxa"/>
              <w:right w:w="89" w:type="dxa"/>
            </w:tcMar>
            <w:vAlign w:val="center"/>
          </w:tcPr>
          <w:p w14:paraId="377C803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34767158">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4" w:type="dxa"/>
            <w:shd w:val="clear" w:color="auto" w:fill="auto"/>
            <w:tcMar>
              <w:top w:w="89" w:type="dxa"/>
              <w:left w:w="89" w:type="dxa"/>
              <w:bottom w:w="89" w:type="dxa"/>
              <w:right w:w="89" w:type="dxa"/>
            </w:tcMar>
            <w:vAlign w:val="center"/>
          </w:tcPr>
          <w:p w14:paraId="58B8B40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S</w:t>
            </w:r>
          </w:p>
        </w:tc>
        <w:tc>
          <w:tcPr>
            <w:tcW w:w="485" w:type="dxa"/>
            <w:shd w:val="clear" w:color="auto" w:fill="auto"/>
            <w:tcMar>
              <w:top w:w="89" w:type="dxa"/>
              <w:left w:w="89" w:type="dxa"/>
              <w:bottom w:w="89" w:type="dxa"/>
              <w:right w:w="89" w:type="dxa"/>
            </w:tcMar>
            <w:vAlign w:val="center"/>
          </w:tcPr>
          <w:p w14:paraId="69ECDAA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14:paraId="13C0621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480" w:type="dxa"/>
            <w:shd w:val="clear" w:color="auto" w:fill="auto"/>
            <w:tcMar>
              <w:top w:w="89" w:type="dxa"/>
              <w:left w:w="89" w:type="dxa"/>
              <w:bottom w:w="89" w:type="dxa"/>
              <w:right w:w="89" w:type="dxa"/>
            </w:tcMar>
            <w:vAlign w:val="center"/>
          </w:tcPr>
          <w:p w14:paraId="317744E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508" w:type="dxa"/>
            <w:shd w:val="clear" w:color="auto" w:fill="auto"/>
            <w:tcMar>
              <w:top w:w="89" w:type="dxa"/>
              <w:left w:w="89" w:type="dxa"/>
              <w:bottom w:w="89" w:type="dxa"/>
              <w:right w:w="89" w:type="dxa"/>
            </w:tcMar>
            <w:vAlign w:val="center"/>
          </w:tcPr>
          <w:p w14:paraId="7920357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S</w:t>
            </w:r>
          </w:p>
        </w:tc>
        <w:tc>
          <w:tcPr>
            <w:tcW w:w="471" w:type="dxa"/>
            <w:shd w:val="clear" w:color="auto" w:fill="auto"/>
            <w:tcMar>
              <w:top w:w="89" w:type="dxa"/>
              <w:left w:w="89" w:type="dxa"/>
              <w:bottom w:w="89" w:type="dxa"/>
              <w:right w:w="89" w:type="dxa"/>
            </w:tcMar>
            <w:vAlign w:val="center"/>
          </w:tcPr>
          <w:p w14:paraId="5F12E9A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14:paraId="4AF64D7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97" w:type="dxa"/>
            <w:shd w:val="clear" w:color="auto" w:fill="auto"/>
            <w:tcMar>
              <w:top w:w="89" w:type="dxa"/>
              <w:left w:w="89" w:type="dxa"/>
              <w:bottom w:w="89" w:type="dxa"/>
              <w:right w:w="89" w:type="dxa"/>
            </w:tcMar>
            <w:vAlign w:val="center"/>
          </w:tcPr>
          <w:p w14:paraId="2067396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14:paraId="65BA456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14:paraId="1393F8F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97" w:type="dxa"/>
            <w:shd w:val="clear" w:color="auto" w:fill="auto"/>
            <w:tcMar>
              <w:top w:w="89" w:type="dxa"/>
              <w:left w:w="89" w:type="dxa"/>
              <w:bottom w:w="89" w:type="dxa"/>
              <w:right w:w="89" w:type="dxa"/>
            </w:tcMar>
            <w:vAlign w:val="center"/>
          </w:tcPr>
          <w:p w14:paraId="07DC955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14:paraId="3B1BFFF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491F39A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r>
      <w:tr w14:paraId="3F64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14:paraId="11A80616">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二类照明区</w:t>
            </w:r>
          </w:p>
        </w:tc>
        <w:tc>
          <w:tcPr>
            <w:tcW w:w="487" w:type="dxa"/>
            <w:shd w:val="clear" w:color="auto" w:fill="auto"/>
            <w:tcMar>
              <w:top w:w="89" w:type="dxa"/>
              <w:left w:w="89" w:type="dxa"/>
              <w:bottom w:w="89" w:type="dxa"/>
              <w:right w:w="89" w:type="dxa"/>
            </w:tcMar>
            <w:vAlign w:val="center"/>
          </w:tcPr>
          <w:p w14:paraId="2A0FE7EE">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8" w:type="dxa"/>
            <w:shd w:val="clear" w:color="auto" w:fill="auto"/>
            <w:tcMar>
              <w:top w:w="89" w:type="dxa"/>
              <w:left w:w="89" w:type="dxa"/>
              <w:bottom w:w="89" w:type="dxa"/>
              <w:right w:w="89" w:type="dxa"/>
            </w:tcMar>
            <w:vAlign w:val="center"/>
          </w:tcPr>
          <w:p w14:paraId="11B04D3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8" w:type="dxa"/>
            <w:shd w:val="clear" w:color="auto" w:fill="auto"/>
            <w:tcMar>
              <w:top w:w="89" w:type="dxa"/>
              <w:left w:w="89" w:type="dxa"/>
              <w:bottom w:w="89" w:type="dxa"/>
              <w:right w:w="89" w:type="dxa"/>
            </w:tcMar>
            <w:vAlign w:val="center"/>
          </w:tcPr>
          <w:p w14:paraId="7D997263">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0" w:type="dxa"/>
            <w:shd w:val="clear" w:color="auto" w:fill="auto"/>
            <w:tcMar>
              <w:top w:w="89" w:type="dxa"/>
              <w:left w:w="89" w:type="dxa"/>
              <w:bottom w:w="89" w:type="dxa"/>
              <w:right w:w="89" w:type="dxa"/>
            </w:tcMar>
            <w:vAlign w:val="center"/>
          </w:tcPr>
          <w:p w14:paraId="285B940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406058D3">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14:paraId="4272BD60">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77" w:type="dxa"/>
            <w:shd w:val="clear" w:color="auto" w:fill="auto"/>
            <w:tcMar>
              <w:top w:w="89" w:type="dxa"/>
              <w:left w:w="89" w:type="dxa"/>
              <w:bottom w:w="89" w:type="dxa"/>
              <w:right w:w="89" w:type="dxa"/>
            </w:tcMar>
            <w:vAlign w:val="center"/>
          </w:tcPr>
          <w:p w14:paraId="05EA063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3" w:type="dxa"/>
            <w:shd w:val="clear" w:color="auto" w:fill="auto"/>
            <w:tcMar>
              <w:top w:w="89" w:type="dxa"/>
              <w:left w:w="89" w:type="dxa"/>
              <w:bottom w:w="89" w:type="dxa"/>
              <w:right w:w="89" w:type="dxa"/>
            </w:tcMar>
            <w:vAlign w:val="center"/>
          </w:tcPr>
          <w:p w14:paraId="12C1DE40">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505" w:type="dxa"/>
            <w:shd w:val="clear" w:color="auto" w:fill="auto"/>
            <w:tcMar>
              <w:top w:w="89" w:type="dxa"/>
              <w:left w:w="89" w:type="dxa"/>
              <w:bottom w:w="89" w:type="dxa"/>
              <w:right w:w="89" w:type="dxa"/>
            </w:tcMar>
            <w:vAlign w:val="center"/>
          </w:tcPr>
          <w:p w14:paraId="4779734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14:paraId="0DE8920A">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626B1DF3">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R</w:t>
            </w:r>
          </w:p>
        </w:tc>
        <w:tc>
          <w:tcPr>
            <w:tcW w:w="485" w:type="dxa"/>
            <w:shd w:val="clear" w:color="auto" w:fill="auto"/>
            <w:tcMar>
              <w:top w:w="89" w:type="dxa"/>
              <w:left w:w="89" w:type="dxa"/>
              <w:bottom w:w="89" w:type="dxa"/>
              <w:right w:w="89" w:type="dxa"/>
            </w:tcMar>
            <w:vAlign w:val="center"/>
          </w:tcPr>
          <w:p w14:paraId="422DAB3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62943D2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80" w:type="dxa"/>
            <w:shd w:val="clear" w:color="auto" w:fill="auto"/>
            <w:tcMar>
              <w:top w:w="89" w:type="dxa"/>
              <w:left w:w="89" w:type="dxa"/>
              <w:bottom w:w="89" w:type="dxa"/>
              <w:right w:w="89" w:type="dxa"/>
            </w:tcMar>
            <w:vAlign w:val="center"/>
          </w:tcPr>
          <w:p w14:paraId="66118C0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508" w:type="dxa"/>
            <w:shd w:val="clear" w:color="auto" w:fill="auto"/>
            <w:tcMar>
              <w:top w:w="89" w:type="dxa"/>
              <w:left w:w="89" w:type="dxa"/>
              <w:bottom w:w="89" w:type="dxa"/>
              <w:right w:w="89" w:type="dxa"/>
            </w:tcMar>
            <w:vAlign w:val="center"/>
          </w:tcPr>
          <w:p w14:paraId="4DF9C76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R</w:t>
            </w:r>
          </w:p>
        </w:tc>
        <w:tc>
          <w:tcPr>
            <w:tcW w:w="471" w:type="dxa"/>
            <w:shd w:val="clear" w:color="auto" w:fill="auto"/>
            <w:tcMar>
              <w:top w:w="89" w:type="dxa"/>
              <w:left w:w="89" w:type="dxa"/>
              <w:bottom w:w="89" w:type="dxa"/>
              <w:right w:w="89" w:type="dxa"/>
            </w:tcMar>
            <w:vAlign w:val="center"/>
          </w:tcPr>
          <w:p w14:paraId="5F0194C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14:paraId="49C39226">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002DB32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6FBCF80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3EE5CB6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5F39168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0864605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30E57D5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14:paraId="331C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14:paraId="7C3A24B3">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三类照明区</w:t>
            </w:r>
          </w:p>
        </w:tc>
        <w:tc>
          <w:tcPr>
            <w:tcW w:w="487" w:type="dxa"/>
            <w:shd w:val="clear" w:color="auto" w:fill="auto"/>
            <w:tcMar>
              <w:top w:w="89" w:type="dxa"/>
              <w:left w:w="89" w:type="dxa"/>
              <w:bottom w:w="89" w:type="dxa"/>
              <w:right w:w="89" w:type="dxa"/>
            </w:tcMar>
            <w:vAlign w:val="center"/>
          </w:tcPr>
          <w:p w14:paraId="0073B2B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14:paraId="2CEA298E">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14:paraId="0C3ED1D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14:paraId="728534E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0909FD70">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58021DA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77" w:type="dxa"/>
            <w:shd w:val="clear" w:color="auto" w:fill="auto"/>
            <w:tcMar>
              <w:top w:w="89" w:type="dxa"/>
              <w:left w:w="89" w:type="dxa"/>
              <w:bottom w:w="89" w:type="dxa"/>
              <w:right w:w="89" w:type="dxa"/>
            </w:tcMar>
            <w:vAlign w:val="center"/>
          </w:tcPr>
          <w:p w14:paraId="31B8530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20F0499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505" w:type="dxa"/>
            <w:shd w:val="clear" w:color="auto" w:fill="auto"/>
            <w:tcMar>
              <w:top w:w="89" w:type="dxa"/>
              <w:left w:w="89" w:type="dxa"/>
              <w:bottom w:w="89" w:type="dxa"/>
              <w:right w:w="89" w:type="dxa"/>
            </w:tcMar>
            <w:vAlign w:val="center"/>
          </w:tcPr>
          <w:p w14:paraId="3CD13DE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40264F6A">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33FF2BB9">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5B9F8CA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60878CE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14:paraId="38EE83C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508" w:type="dxa"/>
            <w:shd w:val="clear" w:color="auto" w:fill="auto"/>
            <w:tcMar>
              <w:top w:w="89" w:type="dxa"/>
              <w:left w:w="89" w:type="dxa"/>
              <w:bottom w:w="89" w:type="dxa"/>
              <w:right w:w="89" w:type="dxa"/>
            </w:tcMar>
            <w:vAlign w:val="center"/>
          </w:tcPr>
          <w:p w14:paraId="0922DB8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71" w:type="dxa"/>
            <w:shd w:val="clear" w:color="auto" w:fill="auto"/>
            <w:tcMar>
              <w:top w:w="89" w:type="dxa"/>
              <w:left w:w="89" w:type="dxa"/>
              <w:bottom w:w="89" w:type="dxa"/>
              <w:right w:w="89" w:type="dxa"/>
            </w:tcMar>
            <w:vAlign w:val="center"/>
          </w:tcPr>
          <w:p w14:paraId="2830623A">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14:paraId="2E60C1D4">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5571A75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09B86AE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735105E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4AB1BC1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2552B71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7BF721FC">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14:paraId="7431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722" w:type="dxa"/>
            <w:shd w:val="clear" w:color="auto" w:fill="auto"/>
            <w:tcMar>
              <w:top w:w="89" w:type="dxa"/>
              <w:left w:w="89" w:type="dxa"/>
              <w:bottom w:w="89" w:type="dxa"/>
              <w:right w:w="89" w:type="dxa"/>
            </w:tcMar>
            <w:vAlign w:val="center"/>
          </w:tcPr>
          <w:p w14:paraId="64501712">
            <w:pPr>
              <w:widowControl/>
              <w:spacing w:line="26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四类照明区</w:t>
            </w:r>
          </w:p>
        </w:tc>
        <w:tc>
          <w:tcPr>
            <w:tcW w:w="487" w:type="dxa"/>
            <w:shd w:val="clear" w:color="auto" w:fill="auto"/>
            <w:tcMar>
              <w:top w:w="89" w:type="dxa"/>
              <w:left w:w="89" w:type="dxa"/>
              <w:bottom w:w="89" w:type="dxa"/>
              <w:right w:w="89" w:type="dxa"/>
            </w:tcMar>
            <w:vAlign w:val="center"/>
          </w:tcPr>
          <w:p w14:paraId="7619631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14:paraId="1455BE42">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8" w:type="dxa"/>
            <w:shd w:val="clear" w:color="auto" w:fill="auto"/>
            <w:tcMar>
              <w:top w:w="89" w:type="dxa"/>
              <w:left w:w="89" w:type="dxa"/>
              <w:bottom w:w="89" w:type="dxa"/>
              <w:right w:w="89" w:type="dxa"/>
            </w:tcMar>
            <w:vAlign w:val="center"/>
          </w:tcPr>
          <w:p w14:paraId="3A59D52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14:paraId="4DDD5DE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7107F27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1C474499">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77" w:type="dxa"/>
            <w:shd w:val="clear" w:color="auto" w:fill="auto"/>
            <w:tcMar>
              <w:top w:w="89" w:type="dxa"/>
              <w:left w:w="89" w:type="dxa"/>
              <w:bottom w:w="89" w:type="dxa"/>
              <w:right w:w="89" w:type="dxa"/>
            </w:tcMar>
            <w:vAlign w:val="center"/>
          </w:tcPr>
          <w:p w14:paraId="29D7849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5098716E">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505" w:type="dxa"/>
            <w:shd w:val="clear" w:color="auto" w:fill="auto"/>
            <w:tcMar>
              <w:top w:w="89" w:type="dxa"/>
              <w:left w:w="89" w:type="dxa"/>
              <w:bottom w:w="89" w:type="dxa"/>
              <w:right w:w="89" w:type="dxa"/>
            </w:tcMar>
            <w:vAlign w:val="center"/>
          </w:tcPr>
          <w:p w14:paraId="2EDBA68F">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505B1195">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4" w:type="dxa"/>
            <w:shd w:val="clear" w:color="auto" w:fill="auto"/>
            <w:tcMar>
              <w:top w:w="89" w:type="dxa"/>
              <w:left w:w="89" w:type="dxa"/>
              <w:bottom w:w="89" w:type="dxa"/>
              <w:right w:w="89" w:type="dxa"/>
            </w:tcMar>
            <w:vAlign w:val="center"/>
          </w:tcPr>
          <w:p w14:paraId="5D383AE1">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3CBDD8F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1E74CE2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0" w:type="dxa"/>
            <w:shd w:val="clear" w:color="auto" w:fill="auto"/>
            <w:tcMar>
              <w:top w:w="89" w:type="dxa"/>
              <w:left w:w="89" w:type="dxa"/>
              <w:bottom w:w="89" w:type="dxa"/>
              <w:right w:w="89" w:type="dxa"/>
            </w:tcMar>
            <w:vAlign w:val="center"/>
          </w:tcPr>
          <w:p w14:paraId="2F874EA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508" w:type="dxa"/>
            <w:shd w:val="clear" w:color="auto" w:fill="auto"/>
            <w:tcMar>
              <w:top w:w="89" w:type="dxa"/>
              <w:left w:w="89" w:type="dxa"/>
              <w:bottom w:w="89" w:type="dxa"/>
              <w:right w:w="89" w:type="dxa"/>
            </w:tcMar>
            <w:vAlign w:val="center"/>
          </w:tcPr>
          <w:p w14:paraId="7194B96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71" w:type="dxa"/>
            <w:shd w:val="clear" w:color="auto" w:fill="auto"/>
            <w:tcMar>
              <w:top w:w="89" w:type="dxa"/>
              <w:left w:w="89" w:type="dxa"/>
              <w:bottom w:w="89" w:type="dxa"/>
              <w:right w:w="89" w:type="dxa"/>
            </w:tcMar>
            <w:vAlign w:val="center"/>
          </w:tcPr>
          <w:p w14:paraId="34A4306D">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1" w:type="dxa"/>
            <w:shd w:val="clear" w:color="auto" w:fill="auto"/>
            <w:tcMar>
              <w:top w:w="89" w:type="dxa"/>
              <w:left w:w="89" w:type="dxa"/>
              <w:bottom w:w="89" w:type="dxa"/>
              <w:right w:w="89" w:type="dxa"/>
            </w:tcMar>
            <w:vAlign w:val="center"/>
          </w:tcPr>
          <w:p w14:paraId="1AF82B27">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5E3C8AF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6EF1BC9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5" w:type="dxa"/>
            <w:shd w:val="clear" w:color="auto" w:fill="auto"/>
            <w:tcMar>
              <w:top w:w="89" w:type="dxa"/>
              <w:left w:w="89" w:type="dxa"/>
              <w:bottom w:w="89" w:type="dxa"/>
              <w:right w:w="89" w:type="dxa"/>
            </w:tcMar>
            <w:vAlign w:val="center"/>
          </w:tcPr>
          <w:p w14:paraId="051F963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16B3F2B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F</w:t>
            </w:r>
          </w:p>
        </w:tc>
        <w:tc>
          <w:tcPr>
            <w:tcW w:w="483" w:type="dxa"/>
            <w:shd w:val="clear" w:color="auto" w:fill="auto"/>
            <w:tcMar>
              <w:top w:w="89" w:type="dxa"/>
              <w:left w:w="89" w:type="dxa"/>
              <w:bottom w:w="89" w:type="dxa"/>
              <w:right w:w="89" w:type="dxa"/>
            </w:tcMar>
            <w:vAlign w:val="center"/>
          </w:tcPr>
          <w:p w14:paraId="6BBF83C6">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c>
          <w:tcPr>
            <w:tcW w:w="497" w:type="dxa"/>
            <w:shd w:val="clear" w:color="auto" w:fill="auto"/>
            <w:tcMar>
              <w:top w:w="89" w:type="dxa"/>
              <w:left w:w="89" w:type="dxa"/>
              <w:bottom w:w="89" w:type="dxa"/>
              <w:right w:w="89" w:type="dxa"/>
            </w:tcMar>
            <w:vAlign w:val="center"/>
          </w:tcPr>
          <w:p w14:paraId="0BEDF00B">
            <w:pPr>
              <w:widowControl/>
              <w:adjustRightInd w:val="0"/>
              <w:snapToGrid w:val="0"/>
              <w:spacing w:line="240" w:lineRule="exact"/>
              <w:jc w:val="center"/>
              <w:textAlignment w:val="baseline"/>
              <w:rPr>
                <w:rFonts w:ascii="宋体" w:hAnsi="宋体" w:eastAsia="仿宋_GB2312" w:cs="仿宋"/>
                <w:sz w:val="24"/>
                <w:szCs w:val="21"/>
              </w:rPr>
            </w:pPr>
            <w:r>
              <w:rPr>
                <w:rFonts w:hint="eastAsia" w:ascii="宋体" w:hAnsi="宋体" w:eastAsia="仿宋_GB2312" w:cs="仿宋"/>
                <w:sz w:val="24"/>
                <w:szCs w:val="21"/>
              </w:rPr>
              <w:t>F</w:t>
            </w:r>
          </w:p>
        </w:tc>
      </w:tr>
      <w:tr w14:paraId="0EC4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948" w:type="dxa"/>
            <w:gridSpan w:val="24"/>
            <w:shd w:val="clear" w:color="auto" w:fill="auto"/>
            <w:tcMar>
              <w:top w:w="89" w:type="dxa"/>
              <w:left w:w="89" w:type="dxa"/>
              <w:bottom w:w="89" w:type="dxa"/>
              <w:right w:w="89" w:type="dxa"/>
            </w:tcMar>
            <w:vAlign w:val="center"/>
          </w:tcPr>
          <w:p w14:paraId="6E8C0940">
            <w:pPr>
              <w:pStyle w:val="174"/>
              <w:snapToGrid w:val="0"/>
              <w:spacing w:line="260" w:lineRule="exact"/>
              <w:jc w:val="left"/>
              <w:rPr>
                <w:rFonts w:ascii="宋体" w:hAnsi="宋体" w:eastAsia="仿宋_GB2312" w:cs="仿宋"/>
                <w:sz w:val="24"/>
                <w:szCs w:val="21"/>
              </w:rPr>
            </w:pPr>
            <w:r>
              <w:rPr>
                <w:rFonts w:hint="eastAsia" w:ascii="宋体" w:hAnsi="宋体" w:eastAsia="仿宋_GB2312" w:cs="仿宋"/>
                <w:sz w:val="24"/>
                <w:szCs w:val="21"/>
              </w:rPr>
              <w:t>注：</w:t>
            </w:r>
            <w:r>
              <w:rPr>
                <w:rFonts w:ascii="宋体" w:hAnsi="宋体" w:eastAsia="仿宋_GB2312" w:cs="仿宋"/>
                <w:sz w:val="24"/>
                <w:szCs w:val="21"/>
              </w:rPr>
              <w:t>动态不限</w:t>
            </w:r>
            <w:r>
              <w:rPr>
                <w:rFonts w:hint="eastAsia" w:ascii="宋体" w:hAnsi="宋体" w:eastAsia="仿宋_GB2312" w:cs="仿宋"/>
                <w:sz w:val="24"/>
                <w:szCs w:val="21"/>
              </w:rPr>
              <w:t>—</w:t>
            </w:r>
            <w:r>
              <w:rPr>
                <w:rFonts w:ascii="宋体" w:hAnsi="宋体" w:eastAsia="仿宋_GB2312" w:cs="仿宋"/>
                <w:sz w:val="24"/>
                <w:szCs w:val="21"/>
              </w:rPr>
              <w:t xml:space="preserve">S   </w:t>
            </w:r>
            <w:r>
              <w:rPr>
                <w:rFonts w:hint="eastAsia" w:ascii="宋体" w:hAnsi="宋体" w:eastAsia="仿宋_GB2312" w:cs="仿宋"/>
                <w:sz w:val="24"/>
                <w:szCs w:val="21"/>
              </w:rPr>
              <w:t>禁止剧烈动态—</w:t>
            </w:r>
            <w:r>
              <w:rPr>
                <w:rFonts w:ascii="宋体" w:hAnsi="宋体" w:eastAsia="仿宋_GB2312" w:cs="仿宋"/>
                <w:sz w:val="24"/>
                <w:szCs w:val="21"/>
              </w:rPr>
              <w:t xml:space="preserve">R   </w:t>
            </w:r>
            <w:r>
              <w:rPr>
                <w:rFonts w:hint="eastAsia" w:ascii="宋体" w:hAnsi="宋体" w:eastAsia="仿宋_GB2312" w:cs="仿宋"/>
                <w:sz w:val="24"/>
                <w:szCs w:val="21"/>
              </w:rPr>
              <w:t>禁止动态F</w:t>
            </w:r>
            <w:r>
              <w:rPr>
                <w:rFonts w:ascii="宋体" w:hAnsi="宋体" w:eastAsia="仿宋_GB2312" w:cs="仿宋"/>
                <w:sz w:val="24"/>
                <w:szCs w:val="21"/>
              </w:rPr>
              <w:t xml:space="preserve">  </w:t>
            </w:r>
            <w:r>
              <w:rPr>
                <w:rFonts w:hint="eastAsia" w:ascii="宋体" w:hAnsi="宋体" w:eastAsia="仿宋_GB2312" w:cs="仿宋"/>
                <w:sz w:val="24"/>
                <w:szCs w:val="21"/>
              </w:rPr>
              <w:t>禁止照明—</w:t>
            </w:r>
            <w:r>
              <w:rPr>
                <w:rFonts w:ascii="宋体" w:hAnsi="宋体" w:eastAsia="仿宋_GB2312" w:cs="仿宋"/>
                <w:sz w:val="24"/>
                <w:szCs w:val="21"/>
              </w:rPr>
              <w:t>/</w:t>
            </w:r>
          </w:p>
          <w:p w14:paraId="28C9D863">
            <w:pPr>
              <w:widowControl/>
              <w:adjustRightInd w:val="0"/>
              <w:snapToGrid w:val="0"/>
              <w:spacing w:line="260" w:lineRule="exact"/>
              <w:jc w:val="left"/>
              <w:textAlignment w:val="baseline"/>
              <w:rPr>
                <w:rFonts w:ascii="宋体" w:hAnsi="宋体" w:eastAsia="仿宋_GB2312" w:cs="仿宋"/>
                <w:sz w:val="24"/>
                <w:szCs w:val="21"/>
              </w:rPr>
            </w:pPr>
            <w:r>
              <w:rPr>
                <w:rFonts w:hint="eastAsia" w:ascii="宋体" w:hAnsi="宋体" w:eastAsia="仿宋_GB2312" w:cs="仿宋"/>
                <w:sz w:val="24"/>
                <w:szCs w:val="21"/>
              </w:rPr>
              <w:t>建筑分类规则应符合</w:t>
            </w:r>
            <w:r>
              <w:rPr>
                <w:rFonts w:ascii="宋体" w:hAnsi="宋体" w:eastAsia="仿宋_GB2312" w:cs="仿宋"/>
                <w:sz w:val="24"/>
                <w:szCs w:val="21"/>
              </w:rPr>
              <w:t>《</w:t>
            </w:r>
            <w:r>
              <w:fldChar w:fldCharType="begin"/>
            </w:r>
            <w:r>
              <w:instrText xml:space="preserve"> HYPERLINK "https://baike.baidu.com/item/%E6%B0%91%E7%94%A8%E5%BB%BA%E7%AD%91%E8%AE%BE%E8%AE%A1%E9%80%9A%E5%88%99/6197758" \t "_blank" </w:instrText>
            </w:r>
            <w:r>
              <w:fldChar w:fldCharType="separate"/>
            </w:r>
            <w:r>
              <w:rPr>
                <w:rFonts w:ascii="宋体" w:hAnsi="宋体" w:eastAsia="仿宋_GB2312" w:cs="仿宋"/>
                <w:sz w:val="24"/>
                <w:szCs w:val="21"/>
              </w:rPr>
              <w:t>民用建筑设计通则</w:t>
            </w:r>
            <w:r>
              <w:rPr>
                <w:rFonts w:ascii="宋体" w:hAnsi="宋体" w:eastAsia="仿宋_GB2312" w:cs="仿宋"/>
                <w:sz w:val="24"/>
                <w:szCs w:val="21"/>
              </w:rPr>
              <w:fldChar w:fldCharType="end"/>
            </w:r>
            <w:r>
              <w:rPr>
                <w:rFonts w:ascii="宋体" w:hAnsi="宋体" w:eastAsia="仿宋_GB2312" w:cs="仿宋"/>
                <w:sz w:val="24"/>
                <w:szCs w:val="21"/>
              </w:rPr>
              <w:t>》GB50352—2005</w:t>
            </w:r>
            <w:r>
              <w:rPr>
                <w:rFonts w:hint="eastAsia" w:ascii="宋体" w:hAnsi="宋体" w:eastAsia="仿宋_GB2312" w:cs="仿宋"/>
                <w:sz w:val="24"/>
                <w:szCs w:val="21"/>
              </w:rPr>
              <w:t>中相关规定。</w:t>
            </w:r>
          </w:p>
        </w:tc>
      </w:tr>
    </w:tbl>
    <w:p w14:paraId="4477FB93">
      <w:pPr>
        <w:rPr>
          <w:rFonts w:ascii="宋体" w:hAnsi="宋体" w:eastAsia="仿宋_GB2312"/>
          <w:sz w:val="24"/>
        </w:rPr>
      </w:pPr>
    </w:p>
    <w:p w14:paraId="2496978A">
      <w:pPr>
        <w:rPr>
          <w:rFonts w:ascii="宋体" w:hAnsi="宋体" w:eastAsia="仿宋_GB2312"/>
          <w:sz w:val="24"/>
        </w:rPr>
      </w:pPr>
    </w:p>
    <w:p w14:paraId="4B97AEA2">
      <w:pPr>
        <w:rPr>
          <w:rFonts w:ascii="宋体" w:hAnsi="宋体" w:eastAsia="仿宋_GB2312"/>
          <w:sz w:val="24"/>
        </w:rPr>
      </w:pPr>
    </w:p>
    <w:bookmarkEnd w:id="685"/>
    <w:p w14:paraId="17A0CF8B">
      <w:pPr>
        <w:rPr>
          <w:rFonts w:ascii="宋体" w:hAnsi="宋体" w:eastAsia="仿宋_GB2312"/>
          <w:sz w:val="24"/>
        </w:rPr>
      </w:pPr>
    </w:p>
    <w:p w14:paraId="60DA0B08">
      <w:pPr>
        <w:rPr>
          <w:rFonts w:ascii="宋体" w:hAnsi="宋体" w:eastAsia="仿宋_GB2312"/>
          <w:sz w:val="24"/>
        </w:rPr>
        <w:sectPr>
          <w:pgSz w:w="16838" w:h="11906" w:orient="landscape"/>
          <w:pgMar w:top="1797" w:right="1440" w:bottom="1797" w:left="1440" w:header="851" w:footer="1587" w:gutter="0"/>
          <w:cols w:space="425" w:num="1"/>
          <w:titlePg/>
          <w:docGrid w:type="lines" w:linePitch="312" w:charSpace="0"/>
        </w:sectPr>
      </w:pPr>
    </w:p>
    <w:p w14:paraId="0EB3EDF0">
      <w:pPr>
        <w:pStyle w:val="205"/>
        <w:spacing w:before="156" w:after="156" w:line="240" w:lineRule="atLeast"/>
        <w:rPr>
          <w:rFonts w:ascii="宋体" w:hAnsi="宋体"/>
          <w:bCs w:val="0"/>
          <w:sz w:val="24"/>
        </w:rPr>
      </w:pPr>
      <w:bookmarkStart w:id="686" w:name="_Hlk87456994"/>
      <w:r>
        <w:rPr>
          <w:rFonts w:hint="eastAsia" w:ascii="宋体" w:hAnsi="宋体"/>
          <w:bCs w:val="0"/>
          <w:sz w:val="24"/>
        </w:rPr>
        <w:t>表13—11</w:t>
      </w:r>
      <w:r>
        <w:rPr>
          <w:rFonts w:ascii="宋体" w:hAnsi="宋体"/>
          <w:bCs w:val="0"/>
          <w:sz w:val="24"/>
        </w:rPr>
        <w:t xml:space="preserve"> </w:t>
      </w:r>
      <w:r>
        <w:rPr>
          <w:rFonts w:hint="eastAsia" w:ascii="宋体" w:hAnsi="宋体"/>
          <w:bCs w:val="0"/>
          <w:sz w:val="24"/>
        </w:rPr>
        <w:t>建（构）筑物景观照明开启时段控制表</w:t>
      </w:r>
    </w:p>
    <w:tbl>
      <w:tblPr>
        <w:tblStyle w:val="89"/>
        <w:tblW w:w="13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4"/>
        <w:gridCol w:w="554"/>
        <w:gridCol w:w="554"/>
        <w:gridCol w:w="554"/>
        <w:gridCol w:w="554"/>
        <w:gridCol w:w="554"/>
        <w:gridCol w:w="557"/>
        <w:gridCol w:w="554"/>
        <w:gridCol w:w="554"/>
        <w:gridCol w:w="555"/>
        <w:gridCol w:w="569"/>
        <w:gridCol w:w="558"/>
        <w:gridCol w:w="558"/>
        <w:gridCol w:w="558"/>
        <w:gridCol w:w="558"/>
        <w:gridCol w:w="558"/>
        <w:gridCol w:w="569"/>
        <w:gridCol w:w="558"/>
        <w:gridCol w:w="558"/>
        <w:gridCol w:w="558"/>
        <w:gridCol w:w="558"/>
        <w:gridCol w:w="558"/>
        <w:gridCol w:w="569"/>
        <w:gridCol w:w="558"/>
        <w:gridCol w:w="549"/>
      </w:tblGrid>
      <w:tr w14:paraId="5788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restart"/>
            <w:shd w:val="clear" w:color="auto" w:fill="auto"/>
            <w:tcMar>
              <w:top w:w="89" w:type="dxa"/>
              <w:left w:w="89" w:type="dxa"/>
              <w:bottom w:w="89" w:type="dxa"/>
              <w:right w:w="89" w:type="dxa"/>
            </w:tcMar>
            <w:vAlign w:val="center"/>
          </w:tcPr>
          <w:p w14:paraId="14D643C9">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照明分区</w:t>
            </w:r>
          </w:p>
        </w:tc>
        <w:tc>
          <w:tcPr>
            <w:tcW w:w="554" w:type="dxa"/>
            <w:vMerge w:val="restart"/>
            <w:shd w:val="clear" w:color="auto" w:fill="auto"/>
            <w:tcMar>
              <w:top w:w="89" w:type="dxa"/>
              <w:left w:w="89" w:type="dxa"/>
              <w:bottom w:w="89" w:type="dxa"/>
              <w:right w:w="89" w:type="dxa"/>
            </w:tcMar>
            <w:vAlign w:val="center"/>
          </w:tcPr>
          <w:p w14:paraId="787287D7">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所属区域</w:t>
            </w:r>
          </w:p>
        </w:tc>
        <w:tc>
          <w:tcPr>
            <w:tcW w:w="2773" w:type="dxa"/>
            <w:gridSpan w:val="5"/>
            <w:shd w:val="clear" w:color="auto" w:fill="auto"/>
            <w:tcMar>
              <w:top w:w="89" w:type="dxa"/>
              <w:left w:w="89" w:type="dxa"/>
              <w:bottom w:w="89" w:type="dxa"/>
              <w:right w:w="89" w:type="dxa"/>
            </w:tcMar>
            <w:vAlign w:val="center"/>
          </w:tcPr>
          <w:p w14:paraId="5E60A2A0">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特殊重要性标志性建筑</w:t>
            </w:r>
          </w:p>
        </w:tc>
        <w:tc>
          <w:tcPr>
            <w:tcW w:w="3348" w:type="dxa"/>
            <w:gridSpan w:val="6"/>
            <w:shd w:val="clear" w:color="auto" w:fill="auto"/>
            <w:tcMar>
              <w:top w:w="89" w:type="dxa"/>
              <w:left w:w="89" w:type="dxa"/>
              <w:bottom w:w="89" w:type="dxa"/>
              <w:right w:w="89" w:type="dxa"/>
            </w:tcMar>
            <w:vAlign w:val="center"/>
          </w:tcPr>
          <w:p w14:paraId="31127D9B">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高度较高、体量较大、形成天际轮廓线</w:t>
            </w:r>
          </w:p>
        </w:tc>
        <w:tc>
          <w:tcPr>
            <w:tcW w:w="3359" w:type="dxa"/>
            <w:gridSpan w:val="6"/>
            <w:shd w:val="clear" w:color="auto" w:fill="auto"/>
            <w:tcMar>
              <w:top w:w="89" w:type="dxa"/>
              <w:left w:w="89" w:type="dxa"/>
              <w:bottom w:w="89" w:type="dxa"/>
              <w:right w:w="89" w:type="dxa"/>
            </w:tcMar>
            <w:vAlign w:val="center"/>
          </w:tcPr>
          <w:p w14:paraId="2BDB1870">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体量较大、形成城市空间连续界面</w:t>
            </w:r>
          </w:p>
        </w:tc>
        <w:tc>
          <w:tcPr>
            <w:tcW w:w="3350" w:type="dxa"/>
            <w:gridSpan w:val="6"/>
            <w:shd w:val="clear" w:color="auto" w:fill="auto"/>
            <w:tcMar>
              <w:top w:w="89" w:type="dxa"/>
              <w:left w:w="89" w:type="dxa"/>
              <w:bottom w:w="89" w:type="dxa"/>
              <w:right w:w="89" w:type="dxa"/>
            </w:tcMar>
            <w:vAlign w:val="center"/>
          </w:tcPr>
          <w:p w14:paraId="1BBA1264">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体量不突出</w:t>
            </w:r>
          </w:p>
        </w:tc>
      </w:tr>
      <w:tr w14:paraId="7EA2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continue"/>
            <w:shd w:val="clear" w:color="auto" w:fill="auto"/>
            <w:vAlign w:val="center"/>
          </w:tcPr>
          <w:p w14:paraId="5FAFC8D2">
            <w:pPr>
              <w:pStyle w:val="210"/>
              <w:widowControl/>
              <w:adjustRightInd w:val="0"/>
              <w:snapToGrid w:val="0"/>
              <w:spacing w:line="260" w:lineRule="exact"/>
              <w:textAlignment w:val="baseline"/>
              <w:rPr>
                <w:rFonts w:ascii="宋体" w:hAnsi="宋体" w:eastAsia="仿宋_GB2312"/>
                <w:sz w:val="24"/>
              </w:rPr>
            </w:pPr>
          </w:p>
        </w:tc>
        <w:tc>
          <w:tcPr>
            <w:tcW w:w="554" w:type="dxa"/>
            <w:vMerge w:val="continue"/>
            <w:shd w:val="clear" w:color="auto" w:fill="auto"/>
            <w:tcMar>
              <w:top w:w="89" w:type="dxa"/>
              <w:left w:w="89" w:type="dxa"/>
              <w:bottom w:w="89" w:type="dxa"/>
              <w:right w:w="89" w:type="dxa"/>
            </w:tcMar>
            <w:vAlign w:val="center"/>
          </w:tcPr>
          <w:p w14:paraId="61BE0290">
            <w:pPr>
              <w:pStyle w:val="210"/>
              <w:widowControl/>
              <w:adjustRightInd w:val="0"/>
              <w:snapToGrid w:val="0"/>
              <w:spacing w:line="260" w:lineRule="exact"/>
              <w:textAlignment w:val="baseline"/>
              <w:rPr>
                <w:rFonts w:ascii="宋体" w:hAnsi="宋体" w:eastAsia="仿宋_GB2312"/>
                <w:sz w:val="24"/>
              </w:rPr>
            </w:pPr>
          </w:p>
        </w:tc>
        <w:tc>
          <w:tcPr>
            <w:tcW w:w="1662" w:type="dxa"/>
            <w:gridSpan w:val="3"/>
            <w:shd w:val="clear" w:color="auto" w:fill="auto"/>
            <w:tcMar>
              <w:top w:w="89" w:type="dxa"/>
              <w:left w:w="89" w:type="dxa"/>
              <w:bottom w:w="89" w:type="dxa"/>
              <w:right w:w="89" w:type="dxa"/>
            </w:tcMar>
            <w:vAlign w:val="center"/>
          </w:tcPr>
          <w:p w14:paraId="73FBCD57">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4" w:type="dxa"/>
            <w:vMerge w:val="restart"/>
            <w:shd w:val="clear" w:color="auto" w:fill="auto"/>
            <w:tcMar>
              <w:top w:w="89" w:type="dxa"/>
              <w:left w:w="89" w:type="dxa"/>
              <w:bottom w:w="89" w:type="dxa"/>
              <w:right w:w="89" w:type="dxa"/>
            </w:tcMar>
            <w:vAlign w:val="center"/>
          </w:tcPr>
          <w:p w14:paraId="56390482">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7" w:type="dxa"/>
            <w:vMerge w:val="restart"/>
            <w:shd w:val="clear" w:color="auto" w:fill="auto"/>
            <w:tcMar>
              <w:top w:w="89" w:type="dxa"/>
              <w:left w:w="89" w:type="dxa"/>
              <w:bottom w:w="89" w:type="dxa"/>
              <w:right w:w="89" w:type="dxa"/>
            </w:tcMar>
            <w:vAlign w:val="center"/>
          </w:tcPr>
          <w:p w14:paraId="2654C7B1">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32" w:type="dxa"/>
            <w:gridSpan w:val="4"/>
            <w:shd w:val="clear" w:color="auto" w:fill="auto"/>
            <w:tcMar>
              <w:top w:w="89" w:type="dxa"/>
              <w:left w:w="89" w:type="dxa"/>
              <w:bottom w:w="89" w:type="dxa"/>
              <w:right w:w="89" w:type="dxa"/>
            </w:tcMar>
            <w:vAlign w:val="center"/>
          </w:tcPr>
          <w:p w14:paraId="11385F5E">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14:paraId="55CDDCE4">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8" w:type="dxa"/>
            <w:vMerge w:val="restart"/>
            <w:shd w:val="clear" w:color="auto" w:fill="auto"/>
            <w:tcMar>
              <w:top w:w="89" w:type="dxa"/>
              <w:left w:w="89" w:type="dxa"/>
              <w:bottom w:w="89" w:type="dxa"/>
              <w:right w:w="89" w:type="dxa"/>
            </w:tcMar>
            <w:vAlign w:val="center"/>
          </w:tcPr>
          <w:p w14:paraId="56F92C19">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43" w:type="dxa"/>
            <w:gridSpan w:val="4"/>
            <w:shd w:val="clear" w:color="auto" w:fill="auto"/>
            <w:tcMar>
              <w:top w:w="89" w:type="dxa"/>
              <w:left w:w="89" w:type="dxa"/>
              <w:bottom w:w="89" w:type="dxa"/>
              <w:right w:w="89" w:type="dxa"/>
            </w:tcMar>
            <w:vAlign w:val="center"/>
          </w:tcPr>
          <w:p w14:paraId="406CA578">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14:paraId="1BF6B356">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58" w:type="dxa"/>
            <w:vMerge w:val="restart"/>
            <w:shd w:val="clear" w:color="auto" w:fill="auto"/>
            <w:tcMar>
              <w:top w:w="89" w:type="dxa"/>
              <w:left w:w="89" w:type="dxa"/>
              <w:bottom w:w="89" w:type="dxa"/>
              <w:right w:w="89" w:type="dxa"/>
            </w:tcMar>
            <w:vAlign w:val="center"/>
          </w:tcPr>
          <w:p w14:paraId="29F9720A">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c>
          <w:tcPr>
            <w:tcW w:w="2243" w:type="dxa"/>
            <w:gridSpan w:val="4"/>
            <w:shd w:val="clear" w:color="auto" w:fill="auto"/>
            <w:tcMar>
              <w:top w:w="89" w:type="dxa"/>
              <w:left w:w="89" w:type="dxa"/>
              <w:bottom w:w="89" w:type="dxa"/>
              <w:right w:w="89" w:type="dxa"/>
            </w:tcMar>
            <w:vAlign w:val="center"/>
          </w:tcPr>
          <w:p w14:paraId="58DB1653">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公建</w:t>
            </w:r>
          </w:p>
        </w:tc>
        <w:tc>
          <w:tcPr>
            <w:tcW w:w="558" w:type="dxa"/>
            <w:vMerge w:val="restart"/>
            <w:shd w:val="clear" w:color="auto" w:fill="auto"/>
            <w:tcMar>
              <w:top w:w="89" w:type="dxa"/>
              <w:left w:w="89" w:type="dxa"/>
              <w:bottom w:w="89" w:type="dxa"/>
              <w:right w:w="89" w:type="dxa"/>
            </w:tcMar>
            <w:vAlign w:val="center"/>
          </w:tcPr>
          <w:p w14:paraId="1DB08415">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居住</w:t>
            </w:r>
          </w:p>
        </w:tc>
        <w:tc>
          <w:tcPr>
            <w:tcW w:w="549" w:type="dxa"/>
            <w:vMerge w:val="restart"/>
            <w:shd w:val="clear" w:color="auto" w:fill="auto"/>
            <w:tcMar>
              <w:top w:w="89" w:type="dxa"/>
              <w:left w:w="89" w:type="dxa"/>
              <w:bottom w:w="89" w:type="dxa"/>
              <w:right w:w="89" w:type="dxa"/>
            </w:tcMar>
            <w:vAlign w:val="center"/>
          </w:tcPr>
          <w:p w14:paraId="0262674F">
            <w:pPr>
              <w:pStyle w:val="210"/>
              <w:widowControl/>
              <w:adjustRightInd w:val="0"/>
              <w:snapToGrid w:val="0"/>
              <w:spacing w:line="260" w:lineRule="exact"/>
              <w:textAlignment w:val="baseline"/>
              <w:rPr>
                <w:rFonts w:ascii="宋体" w:hAnsi="宋体" w:eastAsia="仿宋_GB2312"/>
                <w:sz w:val="24"/>
              </w:rPr>
            </w:pPr>
            <w:r>
              <w:rPr>
                <w:rFonts w:hint="eastAsia" w:ascii="宋体" w:hAnsi="宋体" w:eastAsia="仿宋_GB2312"/>
                <w:sz w:val="24"/>
              </w:rPr>
              <w:t>其他</w:t>
            </w:r>
          </w:p>
        </w:tc>
      </w:tr>
      <w:tr w14:paraId="414F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54" w:type="dxa"/>
            <w:vMerge w:val="continue"/>
            <w:shd w:val="clear" w:color="auto" w:fill="auto"/>
            <w:vAlign w:val="center"/>
          </w:tcPr>
          <w:p w14:paraId="361FE6E9">
            <w:pPr>
              <w:pStyle w:val="210"/>
              <w:widowControl/>
              <w:adjustRightInd w:val="0"/>
              <w:snapToGrid w:val="0"/>
              <w:spacing w:line="240" w:lineRule="exact"/>
              <w:textAlignment w:val="baseline"/>
              <w:rPr>
                <w:rFonts w:ascii="宋体" w:hAnsi="宋体" w:eastAsia="仿宋_GB2312"/>
                <w:sz w:val="24"/>
              </w:rPr>
            </w:pPr>
          </w:p>
        </w:tc>
        <w:tc>
          <w:tcPr>
            <w:tcW w:w="554" w:type="dxa"/>
            <w:vMerge w:val="continue"/>
            <w:shd w:val="clear" w:color="auto" w:fill="auto"/>
            <w:tcMar>
              <w:top w:w="89" w:type="dxa"/>
              <w:left w:w="89" w:type="dxa"/>
              <w:bottom w:w="89" w:type="dxa"/>
              <w:right w:w="89" w:type="dxa"/>
            </w:tcMar>
            <w:vAlign w:val="center"/>
          </w:tcPr>
          <w:p w14:paraId="58A5A638">
            <w:pPr>
              <w:pStyle w:val="210"/>
              <w:widowControl/>
              <w:adjustRightInd w:val="0"/>
              <w:snapToGrid w:val="0"/>
              <w:spacing w:line="240" w:lineRule="exact"/>
              <w:textAlignment w:val="baseline"/>
              <w:rPr>
                <w:rFonts w:ascii="宋体" w:hAnsi="宋体" w:eastAsia="仿宋_GB2312"/>
                <w:sz w:val="24"/>
              </w:rPr>
            </w:pPr>
          </w:p>
        </w:tc>
        <w:tc>
          <w:tcPr>
            <w:tcW w:w="554" w:type="dxa"/>
            <w:shd w:val="clear" w:color="auto" w:fill="auto"/>
            <w:tcMar>
              <w:top w:w="89" w:type="dxa"/>
              <w:left w:w="89" w:type="dxa"/>
              <w:bottom w:w="89" w:type="dxa"/>
              <w:right w:w="89" w:type="dxa"/>
            </w:tcMar>
            <w:vAlign w:val="center"/>
          </w:tcPr>
          <w:p w14:paraId="16BBF34D">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低层</w:t>
            </w:r>
          </w:p>
        </w:tc>
        <w:tc>
          <w:tcPr>
            <w:tcW w:w="554" w:type="dxa"/>
            <w:shd w:val="clear" w:color="auto" w:fill="auto"/>
            <w:tcMar>
              <w:top w:w="89" w:type="dxa"/>
              <w:left w:w="89" w:type="dxa"/>
              <w:bottom w:w="89" w:type="dxa"/>
              <w:right w:w="89" w:type="dxa"/>
            </w:tcMar>
            <w:vAlign w:val="center"/>
          </w:tcPr>
          <w:p w14:paraId="338517C1">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中层</w:t>
            </w:r>
          </w:p>
        </w:tc>
        <w:tc>
          <w:tcPr>
            <w:tcW w:w="554" w:type="dxa"/>
            <w:shd w:val="clear" w:color="auto" w:fill="auto"/>
            <w:tcMar>
              <w:top w:w="89" w:type="dxa"/>
              <w:left w:w="89" w:type="dxa"/>
              <w:bottom w:w="89" w:type="dxa"/>
              <w:right w:w="89" w:type="dxa"/>
            </w:tcMar>
            <w:vAlign w:val="center"/>
          </w:tcPr>
          <w:p w14:paraId="1BD1C9D5">
            <w:pPr>
              <w:pStyle w:val="210"/>
              <w:widowControl/>
              <w:adjustRightInd w:val="0"/>
              <w:snapToGrid w:val="0"/>
              <w:spacing w:line="240" w:lineRule="exact"/>
              <w:textAlignment w:val="baseline"/>
              <w:rPr>
                <w:rFonts w:ascii="宋体" w:hAnsi="宋体" w:eastAsia="仿宋_GB2312"/>
                <w:sz w:val="24"/>
              </w:rPr>
            </w:pPr>
            <w:r>
              <w:rPr>
                <w:rFonts w:hint="eastAsia" w:ascii="宋体" w:hAnsi="宋体" w:eastAsia="仿宋_GB2312"/>
                <w:sz w:val="24"/>
              </w:rPr>
              <w:t>高层</w:t>
            </w:r>
          </w:p>
        </w:tc>
        <w:tc>
          <w:tcPr>
            <w:tcW w:w="554" w:type="dxa"/>
            <w:vMerge w:val="continue"/>
            <w:shd w:val="clear" w:color="auto" w:fill="auto"/>
            <w:vAlign w:val="center"/>
          </w:tcPr>
          <w:p w14:paraId="0A7D392D">
            <w:pPr>
              <w:pStyle w:val="210"/>
              <w:widowControl/>
              <w:adjustRightInd w:val="0"/>
              <w:snapToGrid w:val="0"/>
              <w:spacing w:line="240" w:lineRule="exact"/>
              <w:textAlignment w:val="baseline"/>
              <w:rPr>
                <w:rFonts w:ascii="宋体" w:hAnsi="宋体" w:eastAsia="仿宋_GB2312"/>
                <w:sz w:val="24"/>
              </w:rPr>
            </w:pPr>
          </w:p>
        </w:tc>
        <w:tc>
          <w:tcPr>
            <w:tcW w:w="557" w:type="dxa"/>
            <w:vMerge w:val="continue"/>
            <w:shd w:val="clear" w:color="auto" w:fill="auto"/>
            <w:vAlign w:val="center"/>
          </w:tcPr>
          <w:p w14:paraId="2CACCE73">
            <w:pPr>
              <w:pStyle w:val="210"/>
              <w:widowControl/>
              <w:adjustRightInd w:val="0"/>
              <w:snapToGrid w:val="0"/>
              <w:spacing w:line="240" w:lineRule="exact"/>
              <w:textAlignment w:val="baseline"/>
              <w:rPr>
                <w:rFonts w:ascii="宋体" w:hAnsi="宋体" w:eastAsia="仿宋_GB2312"/>
                <w:sz w:val="24"/>
              </w:rPr>
            </w:pPr>
          </w:p>
        </w:tc>
        <w:tc>
          <w:tcPr>
            <w:tcW w:w="554" w:type="dxa"/>
            <w:shd w:val="clear" w:color="auto" w:fill="auto"/>
            <w:tcMar>
              <w:top w:w="89" w:type="dxa"/>
              <w:left w:w="89" w:type="dxa"/>
              <w:bottom w:w="89" w:type="dxa"/>
              <w:right w:w="89" w:type="dxa"/>
            </w:tcMar>
            <w:vAlign w:val="center"/>
          </w:tcPr>
          <w:p w14:paraId="7E635F68">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4" w:type="dxa"/>
            <w:shd w:val="clear" w:color="auto" w:fill="auto"/>
            <w:tcMar>
              <w:top w:w="89" w:type="dxa"/>
              <w:left w:w="89" w:type="dxa"/>
              <w:bottom w:w="89" w:type="dxa"/>
              <w:right w:w="89" w:type="dxa"/>
            </w:tcMar>
            <w:vAlign w:val="center"/>
          </w:tcPr>
          <w:p w14:paraId="2DF39ED5">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5" w:type="dxa"/>
            <w:shd w:val="clear" w:color="auto" w:fill="auto"/>
            <w:tcMar>
              <w:top w:w="89" w:type="dxa"/>
              <w:left w:w="89" w:type="dxa"/>
              <w:bottom w:w="89" w:type="dxa"/>
              <w:right w:w="89" w:type="dxa"/>
            </w:tcMar>
            <w:vAlign w:val="center"/>
          </w:tcPr>
          <w:p w14:paraId="469163A0">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14:paraId="1622CE9F">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14:paraId="132D85ED">
            <w:pPr>
              <w:pStyle w:val="210"/>
              <w:widowControl/>
              <w:adjustRightInd w:val="0"/>
              <w:snapToGrid w:val="0"/>
              <w:spacing w:line="240" w:lineRule="exact"/>
              <w:textAlignment w:val="baseline"/>
              <w:rPr>
                <w:rFonts w:ascii="宋体" w:hAnsi="宋体" w:eastAsia="仿宋_GB2312"/>
                <w:sz w:val="24"/>
              </w:rPr>
            </w:pPr>
          </w:p>
        </w:tc>
        <w:tc>
          <w:tcPr>
            <w:tcW w:w="558" w:type="dxa"/>
            <w:vMerge w:val="continue"/>
            <w:shd w:val="clear" w:color="auto" w:fill="auto"/>
            <w:vAlign w:val="center"/>
          </w:tcPr>
          <w:p w14:paraId="39478490">
            <w:pPr>
              <w:pStyle w:val="210"/>
              <w:widowControl/>
              <w:adjustRightInd w:val="0"/>
              <w:snapToGrid w:val="0"/>
              <w:spacing w:line="240" w:lineRule="exact"/>
              <w:textAlignment w:val="baseline"/>
              <w:rPr>
                <w:rFonts w:ascii="宋体" w:hAnsi="宋体" w:eastAsia="仿宋_GB2312"/>
                <w:sz w:val="24"/>
              </w:rPr>
            </w:pPr>
          </w:p>
        </w:tc>
        <w:tc>
          <w:tcPr>
            <w:tcW w:w="558" w:type="dxa"/>
            <w:shd w:val="clear" w:color="auto" w:fill="auto"/>
            <w:tcMar>
              <w:top w:w="89" w:type="dxa"/>
              <w:left w:w="89" w:type="dxa"/>
              <w:bottom w:w="89" w:type="dxa"/>
              <w:right w:w="89" w:type="dxa"/>
            </w:tcMar>
            <w:vAlign w:val="center"/>
          </w:tcPr>
          <w:p w14:paraId="7100EE4D">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8" w:type="dxa"/>
            <w:shd w:val="clear" w:color="auto" w:fill="auto"/>
            <w:tcMar>
              <w:top w:w="89" w:type="dxa"/>
              <w:left w:w="89" w:type="dxa"/>
              <w:bottom w:w="89" w:type="dxa"/>
              <w:right w:w="89" w:type="dxa"/>
            </w:tcMar>
            <w:vAlign w:val="center"/>
          </w:tcPr>
          <w:p w14:paraId="29C71547">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8" w:type="dxa"/>
            <w:shd w:val="clear" w:color="auto" w:fill="auto"/>
            <w:tcMar>
              <w:top w:w="89" w:type="dxa"/>
              <w:left w:w="89" w:type="dxa"/>
              <w:bottom w:w="89" w:type="dxa"/>
              <w:right w:w="89" w:type="dxa"/>
            </w:tcMar>
            <w:vAlign w:val="center"/>
          </w:tcPr>
          <w:p w14:paraId="431534C4">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14:paraId="4B63D6BD">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14:paraId="1C1EF3AC">
            <w:pPr>
              <w:pStyle w:val="210"/>
              <w:widowControl/>
              <w:adjustRightInd w:val="0"/>
              <w:snapToGrid w:val="0"/>
              <w:spacing w:line="240" w:lineRule="exact"/>
              <w:textAlignment w:val="baseline"/>
              <w:rPr>
                <w:rFonts w:ascii="宋体" w:hAnsi="宋体" w:eastAsia="仿宋_GB2312"/>
                <w:sz w:val="24"/>
              </w:rPr>
            </w:pPr>
          </w:p>
        </w:tc>
        <w:tc>
          <w:tcPr>
            <w:tcW w:w="558" w:type="dxa"/>
            <w:vMerge w:val="continue"/>
            <w:shd w:val="clear" w:color="auto" w:fill="auto"/>
            <w:vAlign w:val="center"/>
          </w:tcPr>
          <w:p w14:paraId="569EA05C">
            <w:pPr>
              <w:pStyle w:val="210"/>
              <w:widowControl/>
              <w:adjustRightInd w:val="0"/>
              <w:snapToGrid w:val="0"/>
              <w:spacing w:line="240" w:lineRule="exact"/>
              <w:textAlignment w:val="baseline"/>
              <w:rPr>
                <w:rFonts w:ascii="宋体" w:hAnsi="宋体" w:eastAsia="仿宋_GB2312"/>
                <w:sz w:val="24"/>
              </w:rPr>
            </w:pPr>
          </w:p>
        </w:tc>
        <w:tc>
          <w:tcPr>
            <w:tcW w:w="558" w:type="dxa"/>
            <w:shd w:val="clear" w:color="auto" w:fill="auto"/>
            <w:tcMar>
              <w:top w:w="89" w:type="dxa"/>
              <w:left w:w="89" w:type="dxa"/>
              <w:bottom w:w="89" w:type="dxa"/>
              <w:right w:w="89" w:type="dxa"/>
            </w:tcMar>
            <w:vAlign w:val="center"/>
          </w:tcPr>
          <w:p w14:paraId="32DF287D">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政务</w:t>
            </w:r>
          </w:p>
        </w:tc>
        <w:tc>
          <w:tcPr>
            <w:tcW w:w="558" w:type="dxa"/>
            <w:shd w:val="clear" w:color="auto" w:fill="auto"/>
            <w:tcMar>
              <w:top w:w="89" w:type="dxa"/>
              <w:left w:w="89" w:type="dxa"/>
              <w:bottom w:w="89" w:type="dxa"/>
              <w:right w:w="89" w:type="dxa"/>
            </w:tcMar>
            <w:vAlign w:val="center"/>
          </w:tcPr>
          <w:p w14:paraId="157B3E1F">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文化</w:t>
            </w:r>
          </w:p>
        </w:tc>
        <w:tc>
          <w:tcPr>
            <w:tcW w:w="558" w:type="dxa"/>
            <w:shd w:val="clear" w:color="auto" w:fill="auto"/>
            <w:tcMar>
              <w:top w:w="89" w:type="dxa"/>
              <w:left w:w="89" w:type="dxa"/>
              <w:bottom w:w="89" w:type="dxa"/>
              <w:right w:w="89" w:type="dxa"/>
            </w:tcMar>
            <w:vAlign w:val="center"/>
          </w:tcPr>
          <w:p w14:paraId="005B03A9">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szCs w:val="21"/>
                <w:lang w:bidi="ar"/>
              </w:rPr>
              <w:t>商业</w:t>
            </w:r>
          </w:p>
        </w:tc>
        <w:tc>
          <w:tcPr>
            <w:tcW w:w="569" w:type="dxa"/>
            <w:shd w:val="clear" w:color="auto" w:fill="auto"/>
            <w:tcMar>
              <w:top w:w="89" w:type="dxa"/>
              <w:left w:w="89" w:type="dxa"/>
              <w:bottom w:w="89" w:type="dxa"/>
              <w:right w:w="89" w:type="dxa"/>
            </w:tcMar>
            <w:vAlign w:val="center"/>
          </w:tcPr>
          <w:p w14:paraId="46242CD0">
            <w:pPr>
              <w:widowControl/>
              <w:spacing w:line="240" w:lineRule="exact"/>
              <w:jc w:val="center"/>
              <w:textAlignment w:val="center"/>
              <w:rPr>
                <w:rFonts w:ascii="宋体" w:hAnsi="宋体" w:eastAsia="仿宋_GB2312"/>
                <w:sz w:val="24"/>
              </w:rPr>
            </w:pPr>
            <w:r>
              <w:rPr>
                <w:rFonts w:hint="eastAsia" w:ascii="宋体" w:hAnsi="宋体" w:eastAsia="仿宋_GB2312" w:cs="宋体"/>
                <w:kern w:val="0"/>
                <w:sz w:val="24"/>
                <w:lang w:bidi="ar"/>
              </w:rPr>
              <w:t>商务</w:t>
            </w:r>
          </w:p>
        </w:tc>
        <w:tc>
          <w:tcPr>
            <w:tcW w:w="558" w:type="dxa"/>
            <w:vMerge w:val="continue"/>
            <w:shd w:val="clear" w:color="auto" w:fill="auto"/>
            <w:vAlign w:val="center"/>
          </w:tcPr>
          <w:p w14:paraId="6E6D125F">
            <w:pPr>
              <w:pStyle w:val="210"/>
              <w:widowControl/>
              <w:adjustRightInd w:val="0"/>
              <w:snapToGrid w:val="0"/>
              <w:spacing w:line="240" w:lineRule="exact"/>
              <w:textAlignment w:val="baseline"/>
              <w:rPr>
                <w:rFonts w:ascii="宋体" w:hAnsi="宋体" w:eastAsia="仿宋_GB2312"/>
                <w:sz w:val="24"/>
              </w:rPr>
            </w:pPr>
          </w:p>
        </w:tc>
        <w:tc>
          <w:tcPr>
            <w:tcW w:w="549" w:type="dxa"/>
            <w:vMerge w:val="continue"/>
            <w:shd w:val="clear" w:color="auto" w:fill="auto"/>
            <w:vAlign w:val="center"/>
          </w:tcPr>
          <w:p w14:paraId="2FAFA20B">
            <w:pPr>
              <w:pStyle w:val="210"/>
              <w:widowControl/>
              <w:adjustRightInd w:val="0"/>
              <w:snapToGrid w:val="0"/>
              <w:spacing w:line="240" w:lineRule="exact"/>
              <w:textAlignment w:val="baseline"/>
              <w:rPr>
                <w:rFonts w:ascii="宋体" w:hAnsi="宋体" w:eastAsia="仿宋_GB2312"/>
                <w:sz w:val="24"/>
              </w:rPr>
            </w:pPr>
          </w:p>
        </w:tc>
      </w:tr>
      <w:tr w14:paraId="0CFB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14:paraId="7D7180A5">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主要管控范围</w:t>
            </w:r>
          </w:p>
        </w:tc>
        <w:tc>
          <w:tcPr>
            <w:tcW w:w="554" w:type="dxa"/>
            <w:shd w:val="clear" w:color="auto" w:fill="auto"/>
            <w:tcMar>
              <w:top w:w="89" w:type="dxa"/>
              <w:left w:w="89" w:type="dxa"/>
              <w:bottom w:w="89" w:type="dxa"/>
              <w:right w:w="89" w:type="dxa"/>
            </w:tcMar>
            <w:vAlign w:val="center"/>
          </w:tcPr>
          <w:p w14:paraId="03D7E67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14:paraId="669F397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14:paraId="7A071E6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vAlign w:val="center"/>
          </w:tcPr>
          <w:p w14:paraId="2F57048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7" w:type="dxa"/>
            <w:shd w:val="clear" w:color="auto" w:fill="auto"/>
            <w:vAlign w:val="center"/>
          </w:tcPr>
          <w:p w14:paraId="3DEF47F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14:paraId="6EA63DE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4" w:type="dxa"/>
            <w:shd w:val="clear" w:color="auto" w:fill="auto"/>
            <w:tcMar>
              <w:top w:w="89" w:type="dxa"/>
              <w:left w:w="89" w:type="dxa"/>
              <w:bottom w:w="89" w:type="dxa"/>
              <w:right w:w="89" w:type="dxa"/>
            </w:tcMar>
            <w:vAlign w:val="center"/>
          </w:tcPr>
          <w:p w14:paraId="6D2A7B9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5" w:type="dxa"/>
            <w:shd w:val="clear" w:color="auto" w:fill="auto"/>
            <w:tcMar>
              <w:top w:w="89" w:type="dxa"/>
              <w:left w:w="89" w:type="dxa"/>
              <w:bottom w:w="89" w:type="dxa"/>
              <w:right w:w="89" w:type="dxa"/>
            </w:tcMar>
            <w:vAlign w:val="center"/>
          </w:tcPr>
          <w:p w14:paraId="19BF7EB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14:paraId="67DAE6D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2CD47DB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593EDCB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43A4BA6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1BD3F6B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6CEF291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14:paraId="0F2D379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4217762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668F575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594584A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31BF8A9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tcMar>
              <w:top w:w="89" w:type="dxa"/>
              <w:left w:w="89" w:type="dxa"/>
              <w:bottom w:w="89" w:type="dxa"/>
              <w:right w:w="89" w:type="dxa"/>
            </w:tcMar>
            <w:vAlign w:val="center"/>
          </w:tcPr>
          <w:p w14:paraId="35CCF69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69" w:type="dxa"/>
            <w:shd w:val="clear" w:color="auto" w:fill="auto"/>
            <w:tcMar>
              <w:top w:w="89" w:type="dxa"/>
              <w:left w:w="89" w:type="dxa"/>
              <w:bottom w:w="89" w:type="dxa"/>
              <w:right w:w="89" w:type="dxa"/>
            </w:tcMar>
            <w:vAlign w:val="center"/>
          </w:tcPr>
          <w:p w14:paraId="4F17117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58" w:type="dxa"/>
            <w:shd w:val="clear" w:color="auto" w:fill="auto"/>
            <w:vAlign w:val="center"/>
          </w:tcPr>
          <w:p w14:paraId="4BF377E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c>
          <w:tcPr>
            <w:tcW w:w="549" w:type="dxa"/>
            <w:shd w:val="clear" w:color="auto" w:fill="auto"/>
            <w:vAlign w:val="center"/>
          </w:tcPr>
          <w:p w14:paraId="6670385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A</w:t>
            </w:r>
          </w:p>
        </w:tc>
      </w:tr>
      <w:tr w14:paraId="06AD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14:paraId="24175EAD">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特级照明区</w:t>
            </w:r>
          </w:p>
        </w:tc>
        <w:tc>
          <w:tcPr>
            <w:tcW w:w="554" w:type="dxa"/>
            <w:shd w:val="clear" w:color="auto" w:fill="auto"/>
            <w:tcMar>
              <w:top w:w="89" w:type="dxa"/>
              <w:left w:w="89" w:type="dxa"/>
              <w:bottom w:w="89" w:type="dxa"/>
              <w:right w:w="89" w:type="dxa"/>
            </w:tcMar>
            <w:vAlign w:val="center"/>
          </w:tcPr>
          <w:p w14:paraId="6DFBF9C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65FDAC5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55E84B3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vAlign w:val="center"/>
          </w:tcPr>
          <w:p w14:paraId="0B66ACE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7" w:type="dxa"/>
            <w:shd w:val="clear" w:color="auto" w:fill="auto"/>
            <w:vAlign w:val="center"/>
          </w:tcPr>
          <w:p w14:paraId="7C2DC22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742DBC1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519CA2A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14:paraId="4938A53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14:paraId="3E18B49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14:paraId="4BB44E8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3961C8F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30D3B38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7C6528E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64D9FA2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14:paraId="2C713E4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14:paraId="41D5F16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707FA6A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28BAD39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1034DA6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1C05376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69" w:type="dxa"/>
            <w:shd w:val="clear" w:color="auto" w:fill="auto"/>
            <w:tcMar>
              <w:top w:w="89" w:type="dxa"/>
              <w:left w:w="89" w:type="dxa"/>
              <w:bottom w:w="89" w:type="dxa"/>
              <w:right w:w="89" w:type="dxa"/>
            </w:tcMar>
            <w:vAlign w:val="center"/>
          </w:tcPr>
          <w:p w14:paraId="248A74F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vAlign w:val="center"/>
          </w:tcPr>
          <w:p w14:paraId="36A4224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49" w:type="dxa"/>
            <w:shd w:val="clear" w:color="auto" w:fill="auto"/>
            <w:vAlign w:val="center"/>
          </w:tcPr>
          <w:p w14:paraId="190F2DF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r>
      <w:tr w14:paraId="3B9E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vAlign w:val="center"/>
          </w:tcPr>
          <w:p w14:paraId="04F5536E">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一类照明区</w:t>
            </w:r>
          </w:p>
        </w:tc>
        <w:tc>
          <w:tcPr>
            <w:tcW w:w="554" w:type="dxa"/>
            <w:shd w:val="clear" w:color="auto" w:fill="auto"/>
            <w:tcMar>
              <w:top w:w="89" w:type="dxa"/>
              <w:left w:w="89" w:type="dxa"/>
              <w:bottom w:w="89" w:type="dxa"/>
              <w:right w:w="89" w:type="dxa"/>
            </w:tcMar>
            <w:vAlign w:val="center"/>
          </w:tcPr>
          <w:p w14:paraId="66C8285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3028FC2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2123D61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vAlign w:val="center"/>
          </w:tcPr>
          <w:p w14:paraId="62CFE06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7" w:type="dxa"/>
            <w:shd w:val="clear" w:color="auto" w:fill="auto"/>
            <w:vAlign w:val="center"/>
          </w:tcPr>
          <w:p w14:paraId="166D797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14:paraId="35CC40B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73D5013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14:paraId="4D049E1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201F60A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515CD41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7ABE0F6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02E47DB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67B8636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78D94F3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2A4C8CE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7AB24A6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566D758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4F5CB15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788CD8E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0E6A2E1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276C688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5014565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49" w:type="dxa"/>
            <w:shd w:val="clear" w:color="auto" w:fill="auto"/>
            <w:vAlign w:val="center"/>
          </w:tcPr>
          <w:p w14:paraId="4F6069D2">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14:paraId="12CB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14:paraId="0D8F65BB">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二类照明区</w:t>
            </w:r>
          </w:p>
        </w:tc>
        <w:tc>
          <w:tcPr>
            <w:tcW w:w="554" w:type="dxa"/>
            <w:shd w:val="clear" w:color="auto" w:fill="auto"/>
            <w:tcMar>
              <w:top w:w="89" w:type="dxa"/>
              <w:left w:w="89" w:type="dxa"/>
              <w:bottom w:w="89" w:type="dxa"/>
              <w:right w:w="89" w:type="dxa"/>
            </w:tcMar>
            <w:vAlign w:val="center"/>
          </w:tcPr>
          <w:p w14:paraId="77BC60A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49117B7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145195F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vAlign w:val="center"/>
          </w:tcPr>
          <w:p w14:paraId="32517D8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7" w:type="dxa"/>
            <w:shd w:val="clear" w:color="auto" w:fill="auto"/>
            <w:vAlign w:val="center"/>
          </w:tcPr>
          <w:p w14:paraId="7A7BABF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4" w:type="dxa"/>
            <w:shd w:val="clear" w:color="auto" w:fill="auto"/>
            <w:tcMar>
              <w:top w:w="89" w:type="dxa"/>
              <w:left w:w="89" w:type="dxa"/>
              <w:bottom w:w="89" w:type="dxa"/>
              <w:right w:w="89" w:type="dxa"/>
            </w:tcMar>
            <w:vAlign w:val="center"/>
          </w:tcPr>
          <w:p w14:paraId="4F319D4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4" w:type="dxa"/>
            <w:shd w:val="clear" w:color="auto" w:fill="auto"/>
            <w:tcMar>
              <w:top w:w="89" w:type="dxa"/>
              <w:left w:w="89" w:type="dxa"/>
              <w:bottom w:w="89" w:type="dxa"/>
              <w:right w:w="89" w:type="dxa"/>
            </w:tcMar>
            <w:vAlign w:val="center"/>
          </w:tcPr>
          <w:p w14:paraId="41949FD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5" w:type="dxa"/>
            <w:shd w:val="clear" w:color="auto" w:fill="auto"/>
            <w:tcMar>
              <w:top w:w="89" w:type="dxa"/>
              <w:left w:w="89" w:type="dxa"/>
              <w:bottom w:w="89" w:type="dxa"/>
              <w:right w:w="89" w:type="dxa"/>
            </w:tcMar>
            <w:vAlign w:val="center"/>
          </w:tcPr>
          <w:p w14:paraId="354F54C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4F3B5C3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6ACD579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4DEEAE6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6236021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02167B4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B</w:t>
            </w:r>
          </w:p>
        </w:tc>
        <w:tc>
          <w:tcPr>
            <w:tcW w:w="558" w:type="dxa"/>
            <w:shd w:val="clear" w:color="auto" w:fill="auto"/>
            <w:tcMar>
              <w:top w:w="89" w:type="dxa"/>
              <w:left w:w="89" w:type="dxa"/>
              <w:bottom w:w="89" w:type="dxa"/>
              <w:right w:w="89" w:type="dxa"/>
            </w:tcMar>
            <w:vAlign w:val="center"/>
          </w:tcPr>
          <w:p w14:paraId="33FABFE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46EF06A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19C3CEF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14:paraId="4AD0C9C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5D0A84D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749E832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48C4A03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5F3DD3A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6461F68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49" w:type="dxa"/>
            <w:shd w:val="clear" w:color="auto" w:fill="auto"/>
            <w:vAlign w:val="center"/>
          </w:tcPr>
          <w:p w14:paraId="38A1F6F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14:paraId="6ABF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14:paraId="552BC704">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三类照明区</w:t>
            </w:r>
          </w:p>
        </w:tc>
        <w:tc>
          <w:tcPr>
            <w:tcW w:w="554" w:type="dxa"/>
            <w:shd w:val="clear" w:color="auto" w:fill="auto"/>
            <w:tcMar>
              <w:top w:w="89" w:type="dxa"/>
              <w:left w:w="89" w:type="dxa"/>
              <w:bottom w:w="89" w:type="dxa"/>
              <w:right w:w="89" w:type="dxa"/>
            </w:tcMar>
            <w:vAlign w:val="center"/>
          </w:tcPr>
          <w:p w14:paraId="1A460B9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14:paraId="5378A69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14:paraId="7B2E1F9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vAlign w:val="center"/>
          </w:tcPr>
          <w:p w14:paraId="093F4C8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7" w:type="dxa"/>
            <w:shd w:val="clear" w:color="auto" w:fill="auto"/>
            <w:vAlign w:val="center"/>
          </w:tcPr>
          <w:p w14:paraId="235B905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4" w:type="dxa"/>
            <w:shd w:val="clear" w:color="auto" w:fill="auto"/>
            <w:tcMar>
              <w:top w:w="89" w:type="dxa"/>
              <w:left w:w="89" w:type="dxa"/>
              <w:bottom w:w="89" w:type="dxa"/>
              <w:right w:w="89" w:type="dxa"/>
            </w:tcMar>
            <w:vAlign w:val="center"/>
          </w:tcPr>
          <w:p w14:paraId="2C74113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4" w:type="dxa"/>
            <w:shd w:val="clear" w:color="auto" w:fill="auto"/>
            <w:tcMar>
              <w:top w:w="89" w:type="dxa"/>
              <w:left w:w="89" w:type="dxa"/>
              <w:bottom w:w="89" w:type="dxa"/>
              <w:right w:w="89" w:type="dxa"/>
            </w:tcMar>
            <w:vAlign w:val="center"/>
          </w:tcPr>
          <w:p w14:paraId="409F648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5" w:type="dxa"/>
            <w:shd w:val="clear" w:color="auto" w:fill="auto"/>
            <w:tcMar>
              <w:top w:w="89" w:type="dxa"/>
              <w:left w:w="89" w:type="dxa"/>
              <w:bottom w:w="89" w:type="dxa"/>
              <w:right w:w="89" w:type="dxa"/>
            </w:tcMar>
            <w:vAlign w:val="center"/>
          </w:tcPr>
          <w:p w14:paraId="34E51CC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34ED195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3F372C9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14:paraId="27BF7C1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0128630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39B0E01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tcMar>
              <w:top w:w="89" w:type="dxa"/>
              <w:left w:w="89" w:type="dxa"/>
              <w:bottom w:w="89" w:type="dxa"/>
              <w:right w:w="89" w:type="dxa"/>
            </w:tcMar>
            <w:vAlign w:val="center"/>
          </w:tcPr>
          <w:p w14:paraId="1C0BB5A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69" w:type="dxa"/>
            <w:shd w:val="clear" w:color="auto" w:fill="auto"/>
            <w:tcMar>
              <w:top w:w="89" w:type="dxa"/>
              <w:left w:w="89" w:type="dxa"/>
              <w:bottom w:w="89" w:type="dxa"/>
              <w:right w:w="89" w:type="dxa"/>
            </w:tcMar>
            <w:vAlign w:val="center"/>
          </w:tcPr>
          <w:p w14:paraId="29F1C16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C</w:t>
            </w:r>
          </w:p>
        </w:tc>
        <w:tc>
          <w:tcPr>
            <w:tcW w:w="558" w:type="dxa"/>
            <w:shd w:val="clear" w:color="auto" w:fill="auto"/>
            <w:vAlign w:val="center"/>
          </w:tcPr>
          <w:p w14:paraId="02F1720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14:paraId="5492883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38525E0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735CDA4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tcMar>
              <w:top w:w="89" w:type="dxa"/>
              <w:left w:w="89" w:type="dxa"/>
              <w:bottom w:w="89" w:type="dxa"/>
              <w:right w:w="89" w:type="dxa"/>
            </w:tcMar>
            <w:vAlign w:val="center"/>
          </w:tcPr>
          <w:p w14:paraId="0AB1293A">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69" w:type="dxa"/>
            <w:shd w:val="clear" w:color="auto" w:fill="auto"/>
            <w:tcMar>
              <w:top w:w="89" w:type="dxa"/>
              <w:left w:w="89" w:type="dxa"/>
              <w:bottom w:w="89" w:type="dxa"/>
              <w:right w:w="89" w:type="dxa"/>
            </w:tcMar>
            <w:vAlign w:val="center"/>
          </w:tcPr>
          <w:p w14:paraId="23A694C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58" w:type="dxa"/>
            <w:shd w:val="clear" w:color="auto" w:fill="auto"/>
            <w:vAlign w:val="center"/>
          </w:tcPr>
          <w:p w14:paraId="28FA5B4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c>
          <w:tcPr>
            <w:tcW w:w="549" w:type="dxa"/>
            <w:shd w:val="clear" w:color="auto" w:fill="auto"/>
            <w:vAlign w:val="center"/>
          </w:tcPr>
          <w:p w14:paraId="1EF31B8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D</w:t>
            </w:r>
          </w:p>
        </w:tc>
      </w:tr>
      <w:tr w14:paraId="5695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08" w:type="dxa"/>
            <w:gridSpan w:val="2"/>
            <w:shd w:val="clear" w:color="auto" w:fill="auto"/>
          </w:tcPr>
          <w:p w14:paraId="24AA3C53">
            <w:pPr>
              <w:pStyle w:val="210"/>
              <w:widowControl/>
              <w:adjustRightInd w:val="0"/>
              <w:snapToGrid w:val="0"/>
              <w:spacing w:line="260" w:lineRule="exact"/>
              <w:textAlignment w:val="baseline"/>
              <w:rPr>
                <w:rFonts w:ascii="宋体" w:hAnsi="宋体" w:eastAsia="仿宋_GB2312" w:cs="仿宋"/>
                <w:sz w:val="24"/>
                <w:szCs w:val="21"/>
              </w:rPr>
            </w:pPr>
            <w:r>
              <w:rPr>
                <w:rFonts w:hint="eastAsia" w:ascii="宋体" w:hAnsi="宋体" w:eastAsia="仿宋_GB2312" w:cs="仿宋"/>
                <w:sz w:val="24"/>
                <w:szCs w:val="21"/>
              </w:rPr>
              <w:t>四类照明区</w:t>
            </w:r>
          </w:p>
        </w:tc>
        <w:tc>
          <w:tcPr>
            <w:tcW w:w="554" w:type="dxa"/>
            <w:shd w:val="clear" w:color="auto" w:fill="auto"/>
            <w:tcMar>
              <w:top w:w="89" w:type="dxa"/>
              <w:left w:w="89" w:type="dxa"/>
              <w:bottom w:w="89" w:type="dxa"/>
              <w:right w:w="89" w:type="dxa"/>
            </w:tcMar>
            <w:vAlign w:val="center"/>
          </w:tcPr>
          <w:p w14:paraId="4ECCDE3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14:paraId="6900E6F3">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14:paraId="6668EDE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vAlign w:val="center"/>
          </w:tcPr>
          <w:p w14:paraId="10256000">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7" w:type="dxa"/>
            <w:shd w:val="clear" w:color="auto" w:fill="auto"/>
            <w:vAlign w:val="center"/>
          </w:tcPr>
          <w:p w14:paraId="5BB700A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14:paraId="04CE162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4" w:type="dxa"/>
            <w:shd w:val="clear" w:color="auto" w:fill="auto"/>
            <w:tcMar>
              <w:top w:w="89" w:type="dxa"/>
              <w:left w:w="89" w:type="dxa"/>
              <w:bottom w:w="89" w:type="dxa"/>
              <w:right w:w="89" w:type="dxa"/>
            </w:tcMar>
            <w:vAlign w:val="center"/>
          </w:tcPr>
          <w:p w14:paraId="6E31E40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5" w:type="dxa"/>
            <w:shd w:val="clear" w:color="auto" w:fill="auto"/>
            <w:tcMar>
              <w:top w:w="89" w:type="dxa"/>
              <w:left w:w="89" w:type="dxa"/>
              <w:bottom w:w="89" w:type="dxa"/>
              <w:right w:w="89" w:type="dxa"/>
            </w:tcMar>
            <w:vAlign w:val="center"/>
          </w:tcPr>
          <w:p w14:paraId="2BE031D1">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14:paraId="74D931D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6622165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6E2056EC">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66515927">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17F7FF2D">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351169F8">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14:paraId="0466602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51918DC5">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07F609E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546619B9">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293FD064">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tcMar>
              <w:top w:w="89" w:type="dxa"/>
              <w:left w:w="89" w:type="dxa"/>
              <w:bottom w:w="89" w:type="dxa"/>
              <w:right w:w="89" w:type="dxa"/>
            </w:tcMar>
            <w:vAlign w:val="center"/>
          </w:tcPr>
          <w:p w14:paraId="75B68466">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69" w:type="dxa"/>
            <w:shd w:val="clear" w:color="auto" w:fill="auto"/>
            <w:tcMar>
              <w:top w:w="89" w:type="dxa"/>
              <w:left w:w="89" w:type="dxa"/>
              <w:bottom w:w="89" w:type="dxa"/>
              <w:right w:w="89" w:type="dxa"/>
            </w:tcMar>
            <w:vAlign w:val="center"/>
          </w:tcPr>
          <w:p w14:paraId="4A6B5F4E">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58" w:type="dxa"/>
            <w:shd w:val="clear" w:color="auto" w:fill="auto"/>
            <w:vAlign w:val="center"/>
          </w:tcPr>
          <w:p w14:paraId="18442E5F">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549" w:type="dxa"/>
            <w:shd w:val="clear" w:color="auto" w:fill="auto"/>
            <w:vAlign w:val="center"/>
          </w:tcPr>
          <w:p w14:paraId="5C93CD2B">
            <w:pPr>
              <w:widowControl/>
              <w:spacing w:line="240" w:lineRule="exact"/>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r>
      <w:tr w14:paraId="5CC1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0" w:hRule="atLeast"/>
          <w:jc w:val="center"/>
        </w:trPr>
        <w:tc>
          <w:tcPr>
            <w:tcW w:w="13938" w:type="dxa"/>
            <w:gridSpan w:val="25"/>
            <w:shd w:val="clear" w:color="auto" w:fill="auto"/>
          </w:tcPr>
          <w:p w14:paraId="14F4E0C0">
            <w:pPr>
              <w:widowControl/>
              <w:spacing w:line="360" w:lineRule="exact"/>
              <w:jc w:val="left"/>
              <w:textAlignment w:val="center"/>
              <w:rPr>
                <w:rFonts w:ascii="宋体" w:hAnsi="宋体" w:eastAsia="仿宋_GB2312" w:cs="仿宋"/>
                <w:sz w:val="24"/>
                <w:szCs w:val="21"/>
              </w:rPr>
            </w:pPr>
            <w:r>
              <w:rPr>
                <w:rFonts w:hint="eastAsia" w:ascii="宋体" w:hAnsi="宋体" w:eastAsia="仿宋_GB2312" w:cs="仿宋"/>
                <w:sz w:val="24"/>
                <w:szCs w:val="21"/>
              </w:rPr>
              <w:t>四类照明区：对夜间环境亮度控制严格，保持城市暗环境。</w:t>
            </w:r>
          </w:p>
          <w:p w14:paraId="3BDD62B5">
            <w:pPr>
              <w:widowControl/>
              <w:spacing w:line="360" w:lineRule="exact"/>
              <w:jc w:val="left"/>
              <w:textAlignment w:val="center"/>
              <w:rPr>
                <w:rFonts w:ascii="宋体" w:hAnsi="宋体" w:eastAsia="仿宋_GB2312" w:cs="仿宋"/>
                <w:sz w:val="24"/>
                <w:szCs w:val="21"/>
              </w:rPr>
            </w:pPr>
            <w:r>
              <w:rPr>
                <w:rFonts w:hint="eastAsia" w:ascii="宋体" w:hAnsi="宋体" w:eastAsia="仿宋_GB2312" w:cs="仿宋"/>
                <w:sz w:val="24"/>
                <w:szCs w:val="21"/>
              </w:rPr>
              <w:t>主要管控范围：长安街及其延长线、二环路、北三环路、北四环路、前三门大街、平安大街、王府井大街、北京站前街、金融街、西单北大街、崇雍大街、大栅栏商业街、中关村大街、羊坊店路、两广路、故宫博物院、景山公园、钟鼓楼、天坛祈年殿、北海公园、西客站地区、明城墙遗址公园、皇城根遗址公园等道路沿线和地区的夜景景观照明设施。</w:t>
            </w:r>
          </w:p>
        </w:tc>
      </w:tr>
    </w:tbl>
    <w:p w14:paraId="25A0E6D2">
      <w:pPr>
        <w:pStyle w:val="205"/>
        <w:spacing w:before="0" w:beforeLines="0" w:after="0" w:afterLines="0" w:line="20" w:lineRule="exact"/>
        <w:jc w:val="both"/>
        <w:rPr>
          <w:rFonts w:ascii="宋体" w:hAnsi="宋体"/>
          <w:bCs w:val="0"/>
          <w:sz w:val="24"/>
        </w:rPr>
      </w:pP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2614"/>
        <w:gridCol w:w="3325"/>
        <w:gridCol w:w="3325"/>
        <w:gridCol w:w="3141"/>
      </w:tblGrid>
      <w:tr w14:paraId="143F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157" w:type="dxa"/>
            <w:gridSpan w:val="2"/>
            <w:vAlign w:val="center"/>
          </w:tcPr>
          <w:p w14:paraId="2127C5CD">
            <w:pPr>
              <w:snapToGrid w:val="0"/>
              <w:jc w:val="center"/>
              <w:rPr>
                <w:rFonts w:ascii="宋体" w:hAnsi="宋体" w:eastAsia="仿宋_GB2312" w:cs="仿宋_GB2312"/>
                <w:kern w:val="0"/>
                <w:sz w:val="24"/>
                <w:szCs w:val="21"/>
              </w:rPr>
            </w:pPr>
          </w:p>
        </w:tc>
        <w:tc>
          <w:tcPr>
            <w:tcW w:w="3325" w:type="dxa"/>
            <w:vAlign w:val="center"/>
          </w:tcPr>
          <w:p w14:paraId="5D7328AE">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平日模式</w:t>
            </w:r>
          </w:p>
        </w:tc>
        <w:tc>
          <w:tcPr>
            <w:tcW w:w="3325" w:type="dxa"/>
            <w:vAlign w:val="center"/>
          </w:tcPr>
          <w:p w14:paraId="0080DB2A">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一般节日</w:t>
            </w:r>
          </w:p>
        </w:tc>
        <w:tc>
          <w:tcPr>
            <w:tcW w:w="3141" w:type="dxa"/>
            <w:vAlign w:val="center"/>
          </w:tcPr>
          <w:p w14:paraId="3022E185">
            <w:pPr>
              <w:pStyle w:val="210"/>
              <w:widowControl/>
              <w:adjustRightInd w:val="0"/>
              <w:snapToGrid w:val="0"/>
              <w:spacing w:line="240" w:lineRule="auto"/>
              <w:textAlignment w:val="baseline"/>
              <w:rPr>
                <w:rFonts w:ascii="宋体" w:hAnsi="宋体" w:eastAsia="仿宋_GB2312" w:cs="宋体"/>
                <w:sz w:val="24"/>
                <w:szCs w:val="21"/>
              </w:rPr>
            </w:pPr>
            <w:r>
              <w:rPr>
                <w:rFonts w:hint="eastAsia" w:ascii="宋体" w:hAnsi="宋体" w:eastAsia="仿宋_GB2312" w:cs="宋体"/>
                <w:sz w:val="24"/>
                <w:szCs w:val="21"/>
              </w:rPr>
              <w:t>重大节日</w:t>
            </w:r>
          </w:p>
        </w:tc>
      </w:tr>
      <w:tr w14:paraId="267A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14:paraId="71B3E320">
            <w:pPr>
              <w:snapToGrid w:val="0"/>
              <w:jc w:val="center"/>
              <w:rPr>
                <w:rFonts w:ascii="宋体" w:hAnsi="宋体" w:eastAsia="仿宋_GB2312" w:cs="仿宋"/>
                <w:sz w:val="24"/>
                <w:szCs w:val="21"/>
              </w:rPr>
            </w:pPr>
            <w:r>
              <w:rPr>
                <w:rFonts w:hint="eastAsia" w:ascii="宋体" w:hAnsi="宋体" w:eastAsia="仿宋_GB2312" w:cs="仿宋"/>
                <w:sz w:val="24"/>
                <w:szCs w:val="21"/>
              </w:rPr>
              <w:t>运营时段A</w:t>
            </w:r>
          </w:p>
        </w:tc>
        <w:tc>
          <w:tcPr>
            <w:tcW w:w="2614" w:type="dxa"/>
            <w:vAlign w:val="center"/>
          </w:tcPr>
          <w:p w14:paraId="740548D8">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Align w:val="center"/>
          </w:tcPr>
          <w:p w14:paraId="52E85666">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325" w:type="dxa"/>
            <w:vAlign w:val="center"/>
          </w:tcPr>
          <w:p w14:paraId="7DF7617D">
            <w:pPr>
              <w:snapToGrid w:val="0"/>
              <w:jc w:val="center"/>
              <w:rPr>
                <w:rFonts w:ascii="宋体" w:hAnsi="宋体" w:eastAsia="仿宋_GB2312" w:cs="仿宋"/>
                <w:sz w:val="24"/>
                <w:szCs w:val="21"/>
              </w:rPr>
            </w:pPr>
            <w:r>
              <w:rPr>
                <w:rFonts w:hint="eastAsia" w:ascii="宋体" w:hAnsi="宋体" w:eastAsia="仿宋_GB2312" w:cs="仿宋"/>
                <w:sz w:val="24"/>
                <w:szCs w:val="21"/>
              </w:rPr>
              <w:t>路灯开启–22：30</w:t>
            </w:r>
          </w:p>
        </w:tc>
        <w:tc>
          <w:tcPr>
            <w:tcW w:w="3141" w:type="dxa"/>
            <w:vMerge w:val="restart"/>
            <w:vAlign w:val="center"/>
          </w:tcPr>
          <w:p w14:paraId="4039F282">
            <w:pPr>
              <w:snapToGrid w:val="0"/>
              <w:jc w:val="center"/>
              <w:rPr>
                <w:rFonts w:ascii="宋体" w:hAnsi="宋体" w:eastAsia="仿宋_GB2312" w:cs="仿宋"/>
                <w:sz w:val="24"/>
                <w:szCs w:val="21"/>
              </w:rPr>
            </w:pPr>
            <w:r>
              <w:rPr>
                <w:rFonts w:hint="eastAsia" w:ascii="宋体" w:hAnsi="宋体" w:eastAsia="仿宋_GB2312" w:cs="仿宋"/>
                <w:sz w:val="24"/>
                <w:szCs w:val="21"/>
              </w:rPr>
              <w:t>路灯开启—24：00</w:t>
            </w:r>
          </w:p>
        </w:tc>
      </w:tr>
      <w:tr w14:paraId="03E3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14:paraId="7244C51C">
            <w:pPr>
              <w:snapToGrid w:val="0"/>
              <w:jc w:val="center"/>
              <w:rPr>
                <w:rFonts w:ascii="宋体" w:hAnsi="宋体" w:eastAsia="仿宋_GB2312" w:cs="仿宋"/>
                <w:sz w:val="24"/>
                <w:szCs w:val="21"/>
              </w:rPr>
            </w:pPr>
          </w:p>
        </w:tc>
        <w:tc>
          <w:tcPr>
            <w:tcW w:w="2614" w:type="dxa"/>
            <w:vAlign w:val="center"/>
          </w:tcPr>
          <w:p w14:paraId="56A27053">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Align w:val="center"/>
          </w:tcPr>
          <w:p w14:paraId="60FDEFC4">
            <w:pPr>
              <w:snapToGrid w:val="0"/>
              <w:jc w:val="center"/>
              <w:rPr>
                <w:rFonts w:ascii="宋体" w:hAnsi="宋体" w:eastAsia="仿宋_GB2312" w:cs="仿宋"/>
                <w:sz w:val="24"/>
                <w:szCs w:val="21"/>
              </w:rPr>
            </w:pPr>
            <w:r>
              <w:rPr>
                <w:rFonts w:hint="eastAsia" w:ascii="宋体" w:hAnsi="宋体" w:eastAsia="仿宋_GB2312" w:cs="仿宋"/>
                <w:sz w:val="24"/>
                <w:szCs w:val="21"/>
              </w:rPr>
              <w:t>路灯开启–21：30</w:t>
            </w:r>
          </w:p>
        </w:tc>
        <w:tc>
          <w:tcPr>
            <w:tcW w:w="3325" w:type="dxa"/>
            <w:vAlign w:val="center"/>
          </w:tcPr>
          <w:p w14:paraId="15EE0D18">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141" w:type="dxa"/>
            <w:vMerge w:val="continue"/>
            <w:vAlign w:val="center"/>
          </w:tcPr>
          <w:p w14:paraId="0110AE5B">
            <w:pPr>
              <w:snapToGrid w:val="0"/>
              <w:jc w:val="center"/>
              <w:rPr>
                <w:rFonts w:ascii="宋体" w:hAnsi="宋体" w:eastAsia="仿宋_GB2312" w:cs="仿宋"/>
                <w:sz w:val="24"/>
                <w:szCs w:val="21"/>
              </w:rPr>
            </w:pPr>
          </w:p>
        </w:tc>
      </w:tr>
      <w:tr w14:paraId="2737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14:paraId="1F60808B">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B</w:t>
            </w:r>
          </w:p>
        </w:tc>
        <w:tc>
          <w:tcPr>
            <w:tcW w:w="2614" w:type="dxa"/>
            <w:vAlign w:val="center"/>
          </w:tcPr>
          <w:p w14:paraId="01465FCA">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14:paraId="603E6BBF">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14:paraId="445AD990">
            <w:pPr>
              <w:snapToGrid w:val="0"/>
              <w:jc w:val="center"/>
              <w:rPr>
                <w:rFonts w:ascii="宋体" w:hAnsi="宋体" w:eastAsia="仿宋_GB2312" w:cs="仿宋"/>
                <w:sz w:val="24"/>
                <w:szCs w:val="21"/>
              </w:rPr>
            </w:pPr>
            <w:r>
              <w:rPr>
                <w:rFonts w:hint="eastAsia" w:ascii="宋体" w:hAnsi="宋体" w:eastAsia="仿宋_GB2312" w:cs="仿宋"/>
                <w:sz w:val="24"/>
                <w:szCs w:val="21"/>
              </w:rPr>
              <w:t>路灯开启–22：00</w:t>
            </w:r>
          </w:p>
        </w:tc>
        <w:tc>
          <w:tcPr>
            <w:tcW w:w="3141" w:type="dxa"/>
            <w:vMerge w:val="restart"/>
            <w:vAlign w:val="center"/>
          </w:tcPr>
          <w:p w14:paraId="61D85B48">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3</w:t>
            </w:r>
            <w:r>
              <w:rPr>
                <w:rFonts w:hint="eastAsia" w:ascii="宋体" w:hAnsi="宋体" w:eastAsia="仿宋_GB2312" w:cs="仿宋"/>
                <w:sz w:val="24"/>
                <w:szCs w:val="21"/>
              </w:rPr>
              <w:t>：00</w:t>
            </w:r>
          </w:p>
        </w:tc>
      </w:tr>
      <w:tr w14:paraId="6F71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14:paraId="20395C5C">
            <w:pPr>
              <w:snapToGrid w:val="0"/>
              <w:jc w:val="center"/>
              <w:rPr>
                <w:rFonts w:ascii="宋体" w:hAnsi="宋体" w:eastAsia="仿宋_GB2312" w:cs="仿宋"/>
                <w:sz w:val="24"/>
                <w:szCs w:val="21"/>
              </w:rPr>
            </w:pPr>
          </w:p>
        </w:tc>
        <w:tc>
          <w:tcPr>
            <w:tcW w:w="2614" w:type="dxa"/>
            <w:vAlign w:val="center"/>
          </w:tcPr>
          <w:p w14:paraId="10561C8B">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14:paraId="2673B5AD">
            <w:pPr>
              <w:widowControl/>
              <w:jc w:val="center"/>
              <w:textAlignment w:val="center"/>
              <w:rPr>
                <w:rFonts w:ascii="宋体" w:hAnsi="宋体" w:eastAsia="仿宋_GB2312" w:cs="仿宋"/>
                <w:sz w:val="24"/>
                <w:szCs w:val="21"/>
              </w:rPr>
            </w:pPr>
          </w:p>
        </w:tc>
        <w:tc>
          <w:tcPr>
            <w:tcW w:w="3325" w:type="dxa"/>
            <w:vAlign w:val="center"/>
          </w:tcPr>
          <w:p w14:paraId="39B73A2D">
            <w:pPr>
              <w:snapToGrid w:val="0"/>
              <w:jc w:val="center"/>
              <w:rPr>
                <w:rFonts w:ascii="宋体" w:hAnsi="宋体" w:eastAsia="仿宋_GB2312" w:cs="仿宋"/>
                <w:sz w:val="24"/>
                <w:szCs w:val="21"/>
              </w:rPr>
            </w:pPr>
            <w:r>
              <w:rPr>
                <w:rFonts w:hint="eastAsia" w:ascii="宋体" w:hAnsi="宋体" w:eastAsia="仿宋_GB2312" w:cs="仿宋"/>
                <w:sz w:val="24"/>
                <w:szCs w:val="21"/>
              </w:rPr>
              <w:t>路灯开启–21：</w:t>
            </w:r>
            <w:r>
              <w:rPr>
                <w:rFonts w:ascii="宋体" w:hAnsi="宋体" w:eastAsia="仿宋_GB2312" w:cs="仿宋"/>
                <w:sz w:val="24"/>
                <w:szCs w:val="21"/>
              </w:rPr>
              <w:t>3</w:t>
            </w:r>
            <w:r>
              <w:rPr>
                <w:rFonts w:hint="eastAsia" w:ascii="宋体" w:hAnsi="宋体" w:eastAsia="仿宋_GB2312" w:cs="仿宋"/>
                <w:sz w:val="24"/>
                <w:szCs w:val="21"/>
              </w:rPr>
              <w:t>0</w:t>
            </w:r>
          </w:p>
        </w:tc>
        <w:tc>
          <w:tcPr>
            <w:tcW w:w="3141" w:type="dxa"/>
            <w:vMerge w:val="continue"/>
            <w:vAlign w:val="center"/>
          </w:tcPr>
          <w:p w14:paraId="79FF46B6">
            <w:pPr>
              <w:snapToGrid w:val="0"/>
              <w:jc w:val="center"/>
              <w:rPr>
                <w:rFonts w:ascii="宋体" w:hAnsi="宋体" w:eastAsia="仿宋_GB2312" w:cs="仿宋"/>
                <w:sz w:val="24"/>
                <w:szCs w:val="21"/>
              </w:rPr>
            </w:pPr>
          </w:p>
        </w:tc>
      </w:tr>
      <w:tr w14:paraId="10D2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14:paraId="56E0A534">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C</w:t>
            </w:r>
          </w:p>
        </w:tc>
        <w:tc>
          <w:tcPr>
            <w:tcW w:w="2614" w:type="dxa"/>
            <w:vAlign w:val="center"/>
          </w:tcPr>
          <w:p w14:paraId="7305BC36">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14:paraId="2932436B">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14:paraId="6CDC502E">
            <w:pPr>
              <w:snapToGrid w:val="0"/>
              <w:jc w:val="center"/>
              <w:rPr>
                <w:rFonts w:ascii="宋体" w:hAnsi="宋体" w:eastAsia="仿宋_GB2312" w:cs="仿宋"/>
                <w:sz w:val="24"/>
                <w:szCs w:val="21"/>
              </w:rPr>
            </w:pPr>
            <w:r>
              <w:rPr>
                <w:rFonts w:hint="eastAsia" w:ascii="宋体" w:hAnsi="宋体" w:eastAsia="仿宋_GB2312" w:cs="仿宋"/>
                <w:sz w:val="24"/>
                <w:szCs w:val="21"/>
              </w:rPr>
              <w:t>路灯开启–21：</w:t>
            </w:r>
            <w:r>
              <w:rPr>
                <w:rFonts w:ascii="宋体" w:hAnsi="宋体" w:eastAsia="仿宋_GB2312" w:cs="仿宋"/>
                <w:sz w:val="24"/>
                <w:szCs w:val="21"/>
              </w:rPr>
              <w:t>3</w:t>
            </w:r>
            <w:r>
              <w:rPr>
                <w:rFonts w:hint="eastAsia" w:ascii="宋体" w:hAnsi="宋体" w:eastAsia="仿宋_GB2312" w:cs="仿宋"/>
                <w:sz w:val="24"/>
                <w:szCs w:val="21"/>
              </w:rPr>
              <w:t>0</w:t>
            </w:r>
          </w:p>
        </w:tc>
        <w:tc>
          <w:tcPr>
            <w:tcW w:w="3141" w:type="dxa"/>
            <w:vMerge w:val="restart"/>
            <w:vAlign w:val="center"/>
          </w:tcPr>
          <w:p w14:paraId="51323504">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2</w:t>
            </w:r>
            <w:r>
              <w:rPr>
                <w:rFonts w:hint="eastAsia" w:ascii="宋体" w:hAnsi="宋体" w:eastAsia="仿宋_GB2312" w:cs="仿宋"/>
                <w:sz w:val="24"/>
                <w:szCs w:val="21"/>
              </w:rPr>
              <w:t>：00</w:t>
            </w:r>
          </w:p>
        </w:tc>
      </w:tr>
      <w:tr w14:paraId="6849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vAlign w:val="center"/>
          </w:tcPr>
          <w:p w14:paraId="0E4DB60F">
            <w:pPr>
              <w:snapToGrid w:val="0"/>
              <w:jc w:val="center"/>
              <w:rPr>
                <w:rFonts w:ascii="宋体" w:hAnsi="宋体" w:eastAsia="仿宋_GB2312" w:cs="仿宋"/>
                <w:sz w:val="24"/>
                <w:szCs w:val="21"/>
              </w:rPr>
            </w:pPr>
          </w:p>
        </w:tc>
        <w:tc>
          <w:tcPr>
            <w:tcW w:w="2614" w:type="dxa"/>
            <w:vAlign w:val="center"/>
          </w:tcPr>
          <w:p w14:paraId="31050C65">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14:paraId="3EE682EE">
            <w:pPr>
              <w:widowControl/>
              <w:jc w:val="center"/>
              <w:textAlignment w:val="center"/>
              <w:rPr>
                <w:rFonts w:ascii="宋体" w:hAnsi="宋体" w:eastAsia="仿宋_GB2312" w:cs="仿宋"/>
                <w:sz w:val="24"/>
                <w:szCs w:val="21"/>
              </w:rPr>
            </w:pPr>
          </w:p>
        </w:tc>
        <w:tc>
          <w:tcPr>
            <w:tcW w:w="3325" w:type="dxa"/>
            <w:vAlign w:val="center"/>
          </w:tcPr>
          <w:p w14:paraId="5E00C0C2">
            <w:pPr>
              <w:snapToGrid w:val="0"/>
              <w:jc w:val="center"/>
              <w:rPr>
                <w:rFonts w:ascii="宋体" w:hAnsi="宋体" w:eastAsia="仿宋_GB2312" w:cs="仿宋"/>
                <w:sz w:val="24"/>
                <w:szCs w:val="21"/>
              </w:rPr>
            </w:pPr>
            <w:r>
              <w:rPr>
                <w:rFonts w:hint="eastAsia" w:ascii="宋体" w:hAnsi="宋体" w:eastAsia="仿宋_GB2312" w:cs="仿宋"/>
                <w:sz w:val="24"/>
                <w:szCs w:val="21"/>
              </w:rPr>
              <w:t>路灯开启–21：00</w:t>
            </w:r>
          </w:p>
        </w:tc>
        <w:tc>
          <w:tcPr>
            <w:tcW w:w="3141" w:type="dxa"/>
            <w:vMerge w:val="continue"/>
            <w:vAlign w:val="center"/>
          </w:tcPr>
          <w:p w14:paraId="3EA3D137">
            <w:pPr>
              <w:snapToGrid w:val="0"/>
              <w:jc w:val="center"/>
              <w:rPr>
                <w:rFonts w:ascii="宋体" w:hAnsi="宋体" w:eastAsia="仿宋_GB2312" w:cs="仿宋"/>
                <w:sz w:val="24"/>
                <w:szCs w:val="21"/>
              </w:rPr>
            </w:pPr>
          </w:p>
        </w:tc>
      </w:tr>
      <w:tr w14:paraId="27ED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vAlign w:val="center"/>
          </w:tcPr>
          <w:p w14:paraId="67FA0243">
            <w:pPr>
              <w:snapToGrid w:val="0"/>
              <w:jc w:val="center"/>
              <w:rPr>
                <w:rFonts w:ascii="宋体" w:hAnsi="宋体" w:eastAsia="仿宋_GB2312" w:cs="仿宋"/>
                <w:sz w:val="24"/>
                <w:szCs w:val="21"/>
              </w:rPr>
            </w:pPr>
            <w:r>
              <w:rPr>
                <w:rFonts w:hint="eastAsia" w:ascii="宋体" w:hAnsi="宋体" w:eastAsia="仿宋_GB2312" w:cs="仿宋"/>
                <w:sz w:val="24"/>
                <w:szCs w:val="21"/>
              </w:rPr>
              <w:t>运营时段</w:t>
            </w:r>
            <w:r>
              <w:rPr>
                <w:rFonts w:ascii="宋体" w:hAnsi="宋体" w:eastAsia="仿宋_GB2312" w:cs="仿宋"/>
                <w:sz w:val="24"/>
                <w:szCs w:val="21"/>
              </w:rPr>
              <w:t>D</w:t>
            </w:r>
          </w:p>
        </w:tc>
        <w:tc>
          <w:tcPr>
            <w:tcW w:w="2614" w:type="dxa"/>
            <w:vAlign w:val="center"/>
          </w:tcPr>
          <w:p w14:paraId="35F0FA2B">
            <w:pPr>
              <w:snapToGrid w:val="0"/>
              <w:jc w:val="left"/>
              <w:rPr>
                <w:rFonts w:ascii="宋体" w:hAnsi="宋体" w:eastAsia="仿宋_GB2312" w:cs="仿宋"/>
                <w:sz w:val="24"/>
                <w:szCs w:val="21"/>
              </w:rPr>
            </w:pPr>
            <w:r>
              <w:rPr>
                <w:rFonts w:hint="eastAsia" w:ascii="宋体" w:hAnsi="宋体" w:eastAsia="仿宋_GB2312" w:cs="仿宋"/>
                <w:sz w:val="24"/>
                <w:szCs w:val="21"/>
              </w:rPr>
              <w:t>5月1日—9月30日</w:t>
            </w:r>
          </w:p>
        </w:tc>
        <w:tc>
          <w:tcPr>
            <w:tcW w:w="3325" w:type="dxa"/>
            <w:vMerge w:val="restart"/>
            <w:vAlign w:val="center"/>
          </w:tcPr>
          <w:p w14:paraId="172CF561">
            <w:pPr>
              <w:widowControl/>
              <w:jc w:val="center"/>
              <w:textAlignment w:val="center"/>
              <w:rPr>
                <w:rFonts w:ascii="宋体" w:hAnsi="宋体" w:eastAsia="仿宋_GB2312" w:cs="仿宋"/>
                <w:sz w:val="24"/>
                <w:szCs w:val="21"/>
              </w:rPr>
            </w:pPr>
            <w:r>
              <w:rPr>
                <w:rFonts w:hint="eastAsia" w:ascii="宋体" w:hAnsi="宋体" w:eastAsia="仿宋_GB2312" w:cs="仿宋"/>
                <w:sz w:val="24"/>
                <w:szCs w:val="21"/>
              </w:rPr>
              <w:t>/</w:t>
            </w:r>
          </w:p>
        </w:tc>
        <w:tc>
          <w:tcPr>
            <w:tcW w:w="3325" w:type="dxa"/>
            <w:vAlign w:val="center"/>
          </w:tcPr>
          <w:p w14:paraId="30369CBD">
            <w:pPr>
              <w:snapToGrid w:val="0"/>
              <w:jc w:val="center"/>
              <w:rPr>
                <w:rFonts w:ascii="宋体" w:hAnsi="宋体" w:eastAsia="仿宋_GB2312" w:cs="仿宋"/>
                <w:sz w:val="24"/>
                <w:szCs w:val="21"/>
              </w:rPr>
            </w:pPr>
            <w:r>
              <w:rPr>
                <w:rFonts w:hint="eastAsia" w:ascii="宋体" w:hAnsi="宋体" w:eastAsia="仿宋_GB2312" w:cs="仿宋"/>
                <w:sz w:val="24"/>
                <w:szCs w:val="21"/>
              </w:rPr>
              <w:t>路灯开启–21：00</w:t>
            </w:r>
          </w:p>
        </w:tc>
        <w:tc>
          <w:tcPr>
            <w:tcW w:w="3141" w:type="dxa"/>
            <w:vMerge w:val="restart"/>
            <w:vAlign w:val="center"/>
          </w:tcPr>
          <w:p w14:paraId="6295E68D">
            <w:pPr>
              <w:snapToGrid w:val="0"/>
              <w:jc w:val="center"/>
              <w:rPr>
                <w:rFonts w:ascii="宋体" w:hAnsi="宋体" w:eastAsia="仿宋_GB2312" w:cs="仿宋"/>
                <w:sz w:val="24"/>
                <w:szCs w:val="21"/>
              </w:rPr>
            </w:pPr>
            <w:r>
              <w:rPr>
                <w:rFonts w:hint="eastAsia" w:ascii="宋体" w:hAnsi="宋体" w:eastAsia="仿宋_GB2312" w:cs="仿宋"/>
                <w:sz w:val="24"/>
                <w:szCs w:val="21"/>
              </w:rPr>
              <w:t>路灯开启—2</w:t>
            </w:r>
            <w:r>
              <w:rPr>
                <w:rFonts w:ascii="宋体" w:hAnsi="宋体" w:eastAsia="仿宋_GB2312" w:cs="仿宋"/>
                <w:sz w:val="24"/>
                <w:szCs w:val="21"/>
              </w:rPr>
              <w:t>1</w:t>
            </w:r>
            <w:r>
              <w:rPr>
                <w:rFonts w:hint="eastAsia" w:ascii="宋体" w:hAnsi="宋体" w:eastAsia="仿宋_GB2312" w:cs="仿宋"/>
                <w:sz w:val="24"/>
                <w:szCs w:val="21"/>
              </w:rPr>
              <w:t>：00</w:t>
            </w:r>
          </w:p>
        </w:tc>
      </w:tr>
      <w:tr w14:paraId="5CF1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543" w:type="dxa"/>
            <w:vMerge w:val="continue"/>
            <w:vAlign w:val="center"/>
          </w:tcPr>
          <w:p w14:paraId="5A1FB696">
            <w:pPr>
              <w:snapToGrid w:val="0"/>
              <w:jc w:val="center"/>
              <w:rPr>
                <w:rFonts w:ascii="宋体" w:hAnsi="宋体" w:eastAsia="仿宋_GB2312" w:cs="宋体"/>
                <w:sz w:val="24"/>
                <w:szCs w:val="21"/>
              </w:rPr>
            </w:pPr>
          </w:p>
        </w:tc>
        <w:tc>
          <w:tcPr>
            <w:tcW w:w="2614" w:type="dxa"/>
            <w:vAlign w:val="center"/>
          </w:tcPr>
          <w:p w14:paraId="20C8ABD1">
            <w:pPr>
              <w:snapToGrid w:val="0"/>
              <w:jc w:val="left"/>
              <w:rPr>
                <w:rFonts w:ascii="宋体" w:hAnsi="宋体" w:eastAsia="仿宋_GB2312" w:cs="仿宋"/>
                <w:sz w:val="24"/>
                <w:szCs w:val="21"/>
              </w:rPr>
            </w:pPr>
            <w:r>
              <w:rPr>
                <w:rFonts w:hint="eastAsia" w:ascii="宋体" w:hAnsi="宋体" w:eastAsia="仿宋_GB2312" w:cs="仿宋"/>
                <w:sz w:val="24"/>
                <w:szCs w:val="21"/>
              </w:rPr>
              <w:t>10月1日—次年4月30日</w:t>
            </w:r>
          </w:p>
        </w:tc>
        <w:tc>
          <w:tcPr>
            <w:tcW w:w="3325" w:type="dxa"/>
            <w:vMerge w:val="continue"/>
            <w:vAlign w:val="center"/>
          </w:tcPr>
          <w:p w14:paraId="000CF3A2">
            <w:pPr>
              <w:snapToGrid w:val="0"/>
              <w:jc w:val="center"/>
              <w:rPr>
                <w:rFonts w:ascii="宋体" w:hAnsi="宋体" w:eastAsia="仿宋_GB2312" w:cs="仿宋"/>
                <w:sz w:val="24"/>
                <w:szCs w:val="21"/>
              </w:rPr>
            </w:pPr>
          </w:p>
        </w:tc>
        <w:tc>
          <w:tcPr>
            <w:tcW w:w="3325" w:type="dxa"/>
            <w:vAlign w:val="center"/>
          </w:tcPr>
          <w:p w14:paraId="0762E618">
            <w:pPr>
              <w:snapToGrid w:val="0"/>
              <w:jc w:val="center"/>
              <w:rPr>
                <w:rFonts w:ascii="宋体" w:hAnsi="宋体" w:eastAsia="仿宋_GB2312" w:cs="仿宋"/>
                <w:sz w:val="24"/>
                <w:szCs w:val="21"/>
              </w:rPr>
            </w:pPr>
            <w:r>
              <w:rPr>
                <w:rFonts w:hint="eastAsia" w:ascii="宋体" w:hAnsi="宋体" w:eastAsia="仿宋_GB2312" w:cs="仿宋"/>
                <w:sz w:val="24"/>
                <w:szCs w:val="21"/>
              </w:rPr>
              <w:t>路灯开启–20：30</w:t>
            </w:r>
          </w:p>
        </w:tc>
        <w:tc>
          <w:tcPr>
            <w:tcW w:w="3141" w:type="dxa"/>
            <w:vMerge w:val="continue"/>
          </w:tcPr>
          <w:p w14:paraId="4BC47B4A">
            <w:pPr>
              <w:snapToGrid w:val="0"/>
              <w:rPr>
                <w:rFonts w:ascii="宋体" w:hAnsi="宋体" w:eastAsia="仿宋_GB2312" w:cs="仿宋_GB2312"/>
                <w:kern w:val="0"/>
                <w:sz w:val="24"/>
                <w:szCs w:val="21"/>
              </w:rPr>
            </w:pPr>
          </w:p>
        </w:tc>
      </w:tr>
    </w:tbl>
    <w:p w14:paraId="12E684F8">
      <w:pPr>
        <w:pStyle w:val="205"/>
        <w:spacing w:before="156" w:after="156"/>
        <w:rPr>
          <w:rFonts w:ascii="宋体" w:hAnsi="宋体"/>
          <w:bCs w:val="0"/>
          <w:sz w:val="24"/>
        </w:rPr>
      </w:pPr>
    </w:p>
    <w:p w14:paraId="61DD5142">
      <w:pPr>
        <w:pStyle w:val="205"/>
        <w:spacing w:before="156" w:after="156"/>
        <w:rPr>
          <w:rFonts w:ascii="宋体" w:hAnsi="宋体"/>
          <w:bCs w:val="0"/>
          <w:sz w:val="24"/>
        </w:rPr>
      </w:pPr>
    </w:p>
    <w:p w14:paraId="32BB95F9">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2 </w:t>
      </w:r>
      <w:r>
        <w:rPr>
          <w:rFonts w:hint="eastAsia" w:ascii="宋体" w:hAnsi="宋体"/>
          <w:bCs w:val="0"/>
          <w:sz w:val="24"/>
        </w:rPr>
        <w:t>建（构）筑物景观照明照度、功率密度（LPD）值</w:t>
      </w:r>
    </w:p>
    <w:tbl>
      <w:tblPr>
        <w:tblStyle w:val="89"/>
        <w:tblW w:w="13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3081"/>
        <w:gridCol w:w="1667"/>
        <w:gridCol w:w="716"/>
        <w:gridCol w:w="1413"/>
        <w:gridCol w:w="1413"/>
        <w:gridCol w:w="728"/>
        <w:gridCol w:w="686"/>
        <w:gridCol w:w="1413"/>
        <w:gridCol w:w="493"/>
        <w:gridCol w:w="920"/>
        <w:gridCol w:w="1408"/>
      </w:tblGrid>
      <w:tr w14:paraId="496C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trPr>
        <w:tc>
          <w:tcPr>
            <w:tcW w:w="4748" w:type="dxa"/>
            <w:gridSpan w:val="2"/>
            <w:shd w:val="clear" w:color="auto" w:fill="FFFFFF" w:themeFill="background1"/>
            <w:tcMar>
              <w:top w:w="15" w:type="dxa"/>
              <w:left w:w="108" w:type="dxa"/>
              <w:bottom w:w="0" w:type="dxa"/>
              <w:right w:w="108" w:type="dxa"/>
            </w:tcMar>
            <w:vAlign w:val="center"/>
          </w:tcPr>
          <w:p w14:paraId="0A9968DD">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建筑物饰面材料</w:t>
            </w:r>
          </w:p>
        </w:tc>
        <w:tc>
          <w:tcPr>
            <w:tcW w:w="716" w:type="dxa"/>
            <w:vMerge w:val="restart"/>
            <w:shd w:val="clear" w:color="auto" w:fill="FFFFFF" w:themeFill="background1"/>
            <w:tcMar>
              <w:top w:w="15" w:type="dxa"/>
              <w:left w:w="108" w:type="dxa"/>
              <w:bottom w:w="0" w:type="dxa"/>
              <w:right w:w="108" w:type="dxa"/>
            </w:tcMar>
            <w:vAlign w:val="center"/>
          </w:tcPr>
          <w:p w14:paraId="5EF545E4">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城市规模</w:t>
            </w:r>
          </w:p>
        </w:tc>
        <w:tc>
          <w:tcPr>
            <w:tcW w:w="3554" w:type="dxa"/>
            <w:gridSpan w:val="3"/>
            <w:shd w:val="clear" w:color="auto" w:fill="FFFFFF" w:themeFill="background1"/>
            <w:tcMar>
              <w:top w:w="15" w:type="dxa"/>
              <w:left w:w="108" w:type="dxa"/>
              <w:bottom w:w="0" w:type="dxa"/>
              <w:right w:w="108" w:type="dxa"/>
            </w:tcMar>
            <w:vAlign w:val="center"/>
          </w:tcPr>
          <w:p w14:paraId="076BD2F3">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三类照明区</w:t>
            </w:r>
          </w:p>
        </w:tc>
        <w:tc>
          <w:tcPr>
            <w:tcW w:w="2592" w:type="dxa"/>
            <w:gridSpan w:val="3"/>
            <w:shd w:val="clear" w:color="auto" w:fill="FFFFFF" w:themeFill="background1"/>
            <w:tcMar>
              <w:top w:w="15" w:type="dxa"/>
              <w:left w:w="108" w:type="dxa"/>
              <w:bottom w:w="0" w:type="dxa"/>
              <w:right w:w="108" w:type="dxa"/>
            </w:tcMar>
            <w:vAlign w:val="center"/>
          </w:tcPr>
          <w:p w14:paraId="16006504">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二类照明区</w:t>
            </w:r>
          </w:p>
        </w:tc>
        <w:tc>
          <w:tcPr>
            <w:tcW w:w="2328" w:type="dxa"/>
            <w:gridSpan w:val="2"/>
            <w:shd w:val="clear" w:color="auto" w:fill="FFFFFF" w:themeFill="background1"/>
            <w:tcMar>
              <w:top w:w="15" w:type="dxa"/>
              <w:left w:w="108" w:type="dxa"/>
              <w:bottom w:w="0" w:type="dxa"/>
              <w:right w:w="108" w:type="dxa"/>
            </w:tcMar>
            <w:vAlign w:val="center"/>
          </w:tcPr>
          <w:p w14:paraId="469273D9">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一类照明区</w:t>
            </w:r>
          </w:p>
        </w:tc>
      </w:tr>
      <w:tr w14:paraId="278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1029" w:hRule="atLeast"/>
        </w:trPr>
        <w:tc>
          <w:tcPr>
            <w:tcW w:w="3081" w:type="dxa"/>
            <w:shd w:val="clear" w:color="auto" w:fill="FFFFFF" w:themeFill="background1"/>
            <w:tcMar>
              <w:top w:w="15" w:type="dxa"/>
              <w:left w:w="108" w:type="dxa"/>
              <w:bottom w:w="0" w:type="dxa"/>
              <w:right w:w="108" w:type="dxa"/>
            </w:tcMar>
            <w:vAlign w:val="center"/>
          </w:tcPr>
          <w:p w14:paraId="2BF641A9">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名城</w:t>
            </w:r>
          </w:p>
        </w:tc>
        <w:tc>
          <w:tcPr>
            <w:tcW w:w="1667" w:type="dxa"/>
            <w:shd w:val="clear" w:color="auto" w:fill="FFFFFF" w:themeFill="background1"/>
            <w:tcMar>
              <w:top w:w="15" w:type="dxa"/>
              <w:left w:w="108" w:type="dxa"/>
              <w:bottom w:w="0" w:type="dxa"/>
              <w:right w:w="108" w:type="dxa"/>
            </w:tcMar>
            <w:vAlign w:val="center"/>
          </w:tcPr>
          <w:p w14:paraId="10442E52">
            <w:pPr>
              <w:pStyle w:val="104"/>
              <w:spacing w:line="260" w:lineRule="exact"/>
              <w:jc w:val="center"/>
              <w:rPr>
                <w:rFonts w:ascii="宋体" w:hAnsi="宋体" w:eastAsia="仿宋_GB2312"/>
                <w:bCs w:val="0"/>
                <w:color w:val="auto"/>
                <w:sz w:val="24"/>
                <w:szCs w:val="21"/>
              </w:rPr>
            </w:pPr>
            <w:r>
              <w:rPr>
                <w:rFonts w:hint="eastAsia" w:ascii="宋体" w:hAnsi="宋体" w:eastAsia="仿宋_GB2312"/>
                <w:bCs w:val="0"/>
                <w:color w:val="auto"/>
                <w:sz w:val="24"/>
                <w:szCs w:val="21"/>
              </w:rPr>
              <w:t>反射比 （p）</w:t>
            </w:r>
          </w:p>
        </w:tc>
        <w:tc>
          <w:tcPr>
            <w:tcW w:w="716" w:type="dxa"/>
            <w:vMerge w:val="continue"/>
            <w:shd w:val="clear" w:color="auto" w:fill="FFFFFF" w:themeFill="background1"/>
            <w:vAlign w:val="center"/>
          </w:tcPr>
          <w:p w14:paraId="1EA3F579">
            <w:pPr>
              <w:pStyle w:val="104"/>
              <w:spacing w:line="260" w:lineRule="exact"/>
              <w:rPr>
                <w:rFonts w:ascii="宋体" w:hAnsi="宋体" w:eastAsia="仿宋_GB2312"/>
                <w:bCs w:val="0"/>
                <w:color w:val="auto"/>
                <w:sz w:val="24"/>
                <w:szCs w:val="21"/>
              </w:rPr>
            </w:pPr>
          </w:p>
        </w:tc>
        <w:tc>
          <w:tcPr>
            <w:tcW w:w="1413" w:type="dxa"/>
            <w:shd w:val="clear" w:color="auto" w:fill="FFFFFF" w:themeFill="background1"/>
            <w:tcMar>
              <w:top w:w="15" w:type="dxa"/>
              <w:left w:w="108" w:type="dxa"/>
              <w:bottom w:w="0" w:type="dxa"/>
              <w:right w:w="108" w:type="dxa"/>
            </w:tcMar>
            <w:vAlign w:val="center"/>
          </w:tcPr>
          <w:p w14:paraId="110B96B7">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14:paraId="1936F40B">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13" w:type="dxa"/>
            <w:shd w:val="clear" w:color="auto" w:fill="FFFFFF" w:themeFill="background1"/>
            <w:tcMar>
              <w:top w:w="15" w:type="dxa"/>
              <w:left w:w="108" w:type="dxa"/>
              <w:bottom w:w="0" w:type="dxa"/>
              <w:right w:w="108" w:type="dxa"/>
            </w:tcMar>
            <w:vAlign w:val="center"/>
          </w:tcPr>
          <w:p w14:paraId="5C5518CB">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w:t>
            </w:r>
          </w:p>
          <w:p w14:paraId="2DBF1D90">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密度</w:t>
            </w:r>
          </w:p>
          <w:p w14:paraId="4221EB8D">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3"/>
              </w:rPr>
              <w:t>（W/㎡</w:t>
            </w:r>
            <w:r>
              <w:rPr>
                <w:rFonts w:hint="eastAsia" w:ascii="宋体" w:hAnsi="宋体" w:eastAsia="仿宋_GB2312"/>
                <w:bCs w:val="0"/>
                <w:color w:val="auto"/>
                <w:spacing w:val="2"/>
                <w:w w:val="76"/>
                <w:kern w:val="0"/>
                <w:sz w:val="24"/>
                <w:szCs w:val="21"/>
                <w:fitText w:val="739" w:id="3"/>
              </w:rPr>
              <w:t>）</w:t>
            </w:r>
          </w:p>
        </w:tc>
        <w:tc>
          <w:tcPr>
            <w:tcW w:w="1414" w:type="dxa"/>
            <w:gridSpan w:val="2"/>
            <w:shd w:val="clear" w:color="auto" w:fill="FFFFFF" w:themeFill="background1"/>
            <w:tcMar>
              <w:top w:w="15" w:type="dxa"/>
              <w:left w:w="108" w:type="dxa"/>
              <w:bottom w:w="0" w:type="dxa"/>
              <w:right w:w="108" w:type="dxa"/>
            </w:tcMar>
            <w:vAlign w:val="center"/>
          </w:tcPr>
          <w:p w14:paraId="62436B8D">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14:paraId="66F43059">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13" w:type="dxa"/>
            <w:shd w:val="clear" w:color="auto" w:fill="FFFFFF" w:themeFill="background1"/>
            <w:tcMar>
              <w:top w:w="15" w:type="dxa"/>
              <w:left w:w="108" w:type="dxa"/>
              <w:bottom w:w="0" w:type="dxa"/>
              <w:right w:w="108" w:type="dxa"/>
            </w:tcMar>
            <w:vAlign w:val="center"/>
          </w:tcPr>
          <w:p w14:paraId="1BA09353">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功率密度</w:t>
            </w:r>
          </w:p>
          <w:p w14:paraId="0389238D">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4"/>
              </w:rPr>
              <w:t>（W/㎡</w:t>
            </w:r>
            <w:r>
              <w:rPr>
                <w:rFonts w:hint="eastAsia" w:ascii="宋体" w:hAnsi="宋体" w:eastAsia="仿宋_GB2312"/>
                <w:bCs w:val="0"/>
                <w:color w:val="auto"/>
                <w:spacing w:val="2"/>
                <w:w w:val="76"/>
                <w:kern w:val="0"/>
                <w:sz w:val="24"/>
                <w:szCs w:val="21"/>
                <w:fitText w:val="739" w:id="4"/>
              </w:rPr>
              <w:t>）</w:t>
            </w:r>
          </w:p>
        </w:tc>
        <w:tc>
          <w:tcPr>
            <w:tcW w:w="1413" w:type="dxa"/>
            <w:gridSpan w:val="2"/>
            <w:shd w:val="clear" w:color="auto" w:fill="FFFFFF" w:themeFill="background1"/>
            <w:tcMar>
              <w:top w:w="15" w:type="dxa"/>
              <w:left w:w="108" w:type="dxa"/>
              <w:bottom w:w="0" w:type="dxa"/>
              <w:right w:w="108" w:type="dxa"/>
            </w:tcMar>
            <w:vAlign w:val="center"/>
          </w:tcPr>
          <w:p w14:paraId="7E183220">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对应照度</w:t>
            </w:r>
          </w:p>
          <w:p w14:paraId="0D6B2D4B">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（lx）</w:t>
            </w:r>
          </w:p>
        </w:tc>
        <w:tc>
          <w:tcPr>
            <w:tcW w:w="1408" w:type="dxa"/>
            <w:shd w:val="clear" w:color="auto" w:fill="FFFFFF" w:themeFill="background1"/>
            <w:tcMar>
              <w:top w:w="15" w:type="dxa"/>
              <w:left w:w="108" w:type="dxa"/>
              <w:bottom w:w="0" w:type="dxa"/>
              <w:right w:w="108" w:type="dxa"/>
            </w:tcMar>
            <w:vAlign w:val="center"/>
          </w:tcPr>
          <w:p w14:paraId="1FE05ECE">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z w:val="24"/>
                <w:szCs w:val="21"/>
              </w:rPr>
              <w:t>功率密度</w:t>
            </w:r>
          </w:p>
          <w:p w14:paraId="61960FE6">
            <w:pPr>
              <w:pStyle w:val="104"/>
              <w:spacing w:line="260" w:lineRule="exact"/>
              <w:rPr>
                <w:rFonts w:ascii="宋体" w:hAnsi="宋体" w:eastAsia="仿宋_GB2312"/>
                <w:bCs w:val="0"/>
                <w:color w:val="auto"/>
                <w:sz w:val="24"/>
                <w:szCs w:val="21"/>
              </w:rPr>
            </w:pPr>
            <w:r>
              <w:rPr>
                <w:rFonts w:hint="eastAsia" w:ascii="宋体" w:hAnsi="宋体" w:eastAsia="仿宋_GB2312"/>
                <w:bCs w:val="0"/>
                <w:color w:val="auto"/>
                <w:spacing w:val="1"/>
                <w:w w:val="76"/>
                <w:kern w:val="0"/>
                <w:sz w:val="24"/>
                <w:szCs w:val="21"/>
                <w:fitText w:val="739" w:id="5"/>
              </w:rPr>
              <w:t>（W/㎡</w:t>
            </w:r>
            <w:r>
              <w:rPr>
                <w:rFonts w:hint="eastAsia" w:ascii="宋体" w:hAnsi="宋体" w:eastAsia="仿宋_GB2312"/>
                <w:bCs w:val="0"/>
                <w:color w:val="auto"/>
                <w:spacing w:val="2"/>
                <w:w w:val="76"/>
                <w:kern w:val="0"/>
                <w:sz w:val="24"/>
                <w:szCs w:val="21"/>
                <w:fitText w:val="739" w:id="5"/>
              </w:rPr>
              <w:t>）</w:t>
            </w:r>
          </w:p>
        </w:tc>
      </w:tr>
      <w:tr w14:paraId="14B9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14:paraId="23F6BB66">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白色外墙涂料，乳白色外墙釉面砖，浅冷、暖色外墙涂料，白色大理石</w:t>
            </w:r>
          </w:p>
        </w:tc>
        <w:tc>
          <w:tcPr>
            <w:tcW w:w="1667" w:type="dxa"/>
            <w:vMerge w:val="restart"/>
            <w:shd w:val="clear" w:color="auto" w:fill="FFFFFF" w:themeFill="background1"/>
            <w:tcMar>
              <w:top w:w="15" w:type="dxa"/>
              <w:left w:w="108" w:type="dxa"/>
              <w:bottom w:w="0" w:type="dxa"/>
              <w:right w:w="108" w:type="dxa"/>
            </w:tcMar>
            <w:vAlign w:val="center"/>
          </w:tcPr>
          <w:p w14:paraId="35CD21B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0.6~0.8</w:t>
            </w:r>
          </w:p>
        </w:tc>
        <w:tc>
          <w:tcPr>
            <w:tcW w:w="716" w:type="dxa"/>
            <w:shd w:val="clear" w:color="auto" w:fill="FFFFFF" w:themeFill="background1"/>
            <w:tcMar>
              <w:top w:w="15" w:type="dxa"/>
              <w:left w:w="108" w:type="dxa"/>
              <w:bottom w:w="0" w:type="dxa"/>
              <w:right w:w="108" w:type="dxa"/>
            </w:tcMar>
            <w:vAlign w:val="center"/>
          </w:tcPr>
          <w:p w14:paraId="77627A45">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14:paraId="49785DC0">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6F26F6A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14:paraId="70A723A5">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14:paraId="0CB6E15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3" w:type="dxa"/>
            <w:gridSpan w:val="2"/>
            <w:shd w:val="clear" w:color="auto" w:fill="FFFFFF" w:themeFill="background1"/>
            <w:tcMar>
              <w:top w:w="15" w:type="dxa"/>
              <w:left w:w="108" w:type="dxa"/>
              <w:bottom w:w="0" w:type="dxa"/>
              <w:right w:w="108" w:type="dxa"/>
            </w:tcMar>
            <w:vAlign w:val="center"/>
          </w:tcPr>
          <w:p w14:paraId="0E2FAC3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08" w:type="dxa"/>
            <w:shd w:val="clear" w:color="auto" w:fill="FFFFFF" w:themeFill="background1"/>
            <w:tcMar>
              <w:top w:w="15" w:type="dxa"/>
              <w:left w:w="108" w:type="dxa"/>
              <w:bottom w:w="0" w:type="dxa"/>
              <w:right w:w="108" w:type="dxa"/>
            </w:tcMar>
            <w:vAlign w:val="center"/>
          </w:tcPr>
          <w:p w14:paraId="03977B6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r>
      <w:tr w14:paraId="08B5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2BE1F490">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03DC3B6E">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0C6D2C0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14:paraId="74FC3F1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14:paraId="0EDB4C6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4" w:type="dxa"/>
            <w:gridSpan w:val="2"/>
            <w:shd w:val="clear" w:color="auto" w:fill="FFFFFF" w:themeFill="background1"/>
            <w:tcMar>
              <w:top w:w="15" w:type="dxa"/>
              <w:left w:w="108" w:type="dxa"/>
              <w:bottom w:w="0" w:type="dxa"/>
              <w:right w:w="108" w:type="dxa"/>
            </w:tcMar>
            <w:vAlign w:val="center"/>
          </w:tcPr>
          <w:p w14:paraId="1FAFCA5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7F7CA6B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3" w:type="dxa"/>
            <w:gridSpan w:val="2"/>
            <w:shd w:val="clear" w:color="auto" w:fill="FFFFFF" w:themeFill="background1"/>
            <w:tcMar>
              <w:top w:w="15" w:type="dxa"/>
              <w:left w:w="108" w:type="dxa"/>
              <w:bottom w:w="0" w:type="dxa"/>
              <w:right w:w="108" w:type="dxa"/>
            </w:tcMar>
            <w:vAlign w:val="center"/>
          </w:tcPr>
          <w:p w14:paraId="22896EDB">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08" w:type="dxa"/>
            <w:shd w:val="clear" w:color="auto" w:fill="FFFFFF" w:themeFill="background1"/>
            <w:tcMar>
              <w:top w:w="15" w:type="dxa"/>
              <w:left w:w="108" w:type="dxa"/>
              <w:bottom w:w="0" w:type="dxa"/>
              <w:right w:w="108" w:type="dxa"/>
            </w:tcMar>
            <w:vAlign w:val="center"/>
          </w:tcPr>
          <w:p w14:paraId="2F34A8C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r>
      <w:tr w14:paraId="2A15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40504BC4">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73DB006C">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0DAD2AD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14:paraId="3E4402D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p>
        </w:tc>
        <w:tc>
          <w:tcPr>
            <w:tcW w:w="1413" w:type="dxa"/>
            <w:shd w:val="clear" w:color="auto" w:fill="FFFFFF" w:themeFill="background1"/>
            <w:tcMar>
              <w:top w:w="15" w:type="dxa"/>
              <w:left w:w="108" w:type="dxa"/>
              <w:bottom w:w="0" w:type="dxa"/>
              <w:right w:w="108" w:type="dxa"/>
            </w:tcMar>
            <w:vAlign w:val="center"/>
          </w:tcPr>
          <w:p w14:paraId="081118B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w:t>
            </w:r>
          </w:p>
        </w:tc>
        <w:tc>
          <w:tcPr>
            <w:tcW w:w="1414" w:type="dxa"/>
            <w:gridSpan w:val="2"/>
            <w:shd w:val="clear" w:color="auto" w:fill="FFFFFF" w:themeFill="background1"/>
            <w:tcMar>
              <w:top w:w="15" w:type="dxa"/>
              <w:left w:w="108" w:type="dxa"/>
              <w:bottom w:w="0" w:type="dxa"/>
              <w:right w:w="108" w:type="dxa"/>
            </w:tcMar>
            <w:vAlign w:val="center"/>
          </w:tcPr>
          <w:p w14:paraId="5BD546E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14:paraId="41F842A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3" w:type="dxa"/>
            <w:gridSpan w:val="2"/>
            <w:shd w:val="clear" w:color="auto" w:fill="FFFFFF" w:themeFill="background1"/>
            <w:tcMar>
              <w:top w:w="15" w:type="dxa"/>
              <w:left w:w="108" w:type="dxa"/>
              <w:bottom w:w="0" w:type="dxa"/>
              <w:right w:w="108" w:type="dxa"/>
            </w:tcMar>
            <w:vAlign w:val="center"/>
          </w:tcPr>
          <w:p w14:paraId="0D4870B2">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08" w:type="dxa"/>
            <w:shd w:val="clear" w:color="auto" w:fill="FFFFFF" w:themeFill="background1"/>
            <w:tcMar>
              <w:top w:w="15" w:type="dxa"/>
              <w:left w:w="108" w:type="dxa"/>
              <w:bottom w:w="0" w:type="dxa"/>
              <w:right w:w="108" w:type="dxa"/>
            </w:tcMar>
            <w:vAlign w:val="center"/>
          </w:tcPr>
          <w:p w14:paraId="5B5FE15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r>
      <w:tr w14:paraId="7098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14:paraId="3E6F901A">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银色或灰绿色铝塑板、浅色大理石、浅色瓷砖、灰色或土黄色釉面砖、中等浅色涂料、中等色铝塑板等</w:t>
            </w:r>
          </w:p>
        </w:tc>
        <w:tc>
          <w:tcPr>
            <w:tcW w:w="1667" w:type="dxa"/>
            <w:vMerge w:val="restart"/>
            <w:shd w:val="clear" w:color="auto" w:fill="FFFFFF" w:themeFill="background1"/>
            <w:tcMar>
              <w:top w:w="15" w:type="dxa"/>
              <w:left w:w="108" w:type="dxa"/>
              <w:bottom w:w="0" w:type="dxa"/>
              <w:right w:w="108" w:type="dxa"/>
            </w:tcMar>
            <w:vAlign w:val="center"/>
          </w:tcPr>
          <w:p w14:paraId="1BB5834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0.3~0.6</w:t>
            </w:r>
          </w:p>
        </w:tc>
        <w:tc>
          <w:tcPr>
            <w:tcW w:w="716" w:type="dxa"/>
            <w:shd w:val="clear" w:color="auto" w:fill="FFFFFF" w:themeFill="background1"/>
            <w:tcMar>
              <w:top w:w="15" w:type="dxa"/>
              <w:left w:w="108" w:type="dxa"/>
              <w:bottom w:w="0" w:type="dxa"/>
              <w:right w:w="108" w:type="dxa"/>
            </w:tcMar>
            <w:vAlign w:val="center"/>
          </w:tcPr>
          <w:p w14:paraId="5F7449A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14:paraId="66E1ADE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14:paraId="0543961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4" w:type="dxa"/>
            <w:gridSpan w:val="2"/>
            <w:shd w:val="clear" w:color="auto" w:fill="FFFFFF" w:themeFill="background1"/>
            <w:tcMar>
              <w:top w:w="15" w:type="dxa"/>
              <w:left w:w="108" w:type="dxa"/>
              <w:bottom w:w="0" w:type="dxa"/>
              <w:right w:w="108" w:type="dxa"/>
            </w:tcMar>
            <w:vAlign w:val="center"/>
          </w:tcPr>
          <w:p w14:paraId="4774028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14:paraId="0F5D03A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3" w:type="dxa"/>
            <w:gridSpan w:val="2"/>
            <w:shd w:val="clear" w:color="auto" w:fill="FFFFFF" w:themeFill="background1"/>
            <w:tcMar>
              <w:top w:w="15" w:type="dxa"/>
              <w:left w:w="108" w:type="dxa"/>
              <w:bottom w:w="0" w:type="dxa"/>
              <w:right w:w="108" w:type="dxa"/>
            </w:tcMar>
            <w:vAlign w:val="center"/>
          </w:tcPr>
          <w:p w14:paraId="5A2825E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200</w:t>
            </w:r>
          </w:p>
        </w:tc>
        <w:tc>
          <w:tcPr>
            <w:tcW w:w="1408" w:type="dxa"/>
            <w:shd w:val="clear" w:color="auto" w:fill="FFFFFF" w:themeFill="background1"/>
            <w:tcMar>
              <w:top w:w="15" w:type="dxa"/>
              <w:left w:w="108" w:type="dxa"/>
              <w:bottom w:w="0" w:type="dxa"/>
              <w:right w:w="108" w:type="dxa"/>
            </w:tcMar>
            <w:vAlign w:val="center"/>
          </w:tcPr>
          <w:p w14:paraId="2BCAF53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8.9</w:t>
            </w:r>
          </w:p>
        </w:tc>
      </w:tr>
      <w:tr w14:paraId="125B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758CCAE9">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389C75C7">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4C32B78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14:paraId="689CB9A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7DE6F790">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14:paraId="5D89084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14:paraId="1683271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3" w:type="dxa"/>
            <w:gridSpan w:val="2"/>
            <w:shd w:val="clear" w:color="auto" w:fill="FFFFFF" w:themeFill="background1"/>
            <w:tcMar>
              <w:top w:w="15" w:type="dxa"/>
              <w:left w:w="108" w:type="dxa"/>
              <w:bottom w:w="0" w:type="dxa"/>
              <w:right w:w="108" w:type="dxa"/>
            </w:tcMar>
            <w:vAlign w:val="center"/>
          </w:tcPr>
          <w:p w14:paraId="0D3F550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08" w:type="dxa"/>
            <w:shd w:val="clear" w:color="auto" w:fill="FFFFFF" w:themeFill="background1"/>
            <w:tcMar>
              <w:top w:w="15" w:type="dxa"/>
              <w:left w:w="108" w:type="dxa"/>
              <w:bottom w:w="0" w:type="dxa"/>
              <w:right w:w="108" w:type="dxa"/>
            </w:tcMar>
            <w:vAlign w:val="center"/>
          </w:tcPr>
          <w:p w14:paraId="049F150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r>
      <w:tr w14:paraId="04BB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394A60F8">
            <w:pPr>
              <w:pStyle w:val="104"/>
              <w:spacing w:line="240" w:lineRule="exact"/>
              <w:jc w:val="both"/>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6142F8C2">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5A8AB90B">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14:paraId="3CD2627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c>
          <w:tcPr>
            <w:tcW w:w="1413" w:type="dxa"/>
            <w:shd w:val="clear" w:color="auto" w:fill="FFFFFF" w:themeFill="background1"/>
            <w:tcMar>
              <w:top w:w="15" w:type="dxa"/>
              <w:left w:w="108" w:type="dxa"/>
              <w:bottom w:w="0" w:type="dxa"/>
              <w:right w:w="108" w:type="dxa"/>
            </w:tcMar>
            <w:vAlign w:val="center"/>
          </w:tcPr>
          <w:p w14:paraId="6934C2D0">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w:t>
            </w:r>
          </w:p>
        </w:tc>
        <w:tc>
          <w:tcPr>
            <w:tcW w:w="1414" w:type="dxa"/>
            <w:gridSpan w:val="2"/>
            <w:shd w:val="clear" w:color="auto" w:fill="FFFFFF" w:themeFill="background1"/>
            <w:tcMar>
              <w:top w:w="15" w:type="dxa"/>
              <w:left w:w="108" w:type="dxa"/>
              <w:bottom w:w="0" w:type="dxa"/>
              <w:right w:w="108" w:type="dxa"/>
            </w:tcMar>
            <w:vAlign w:val="center"/>
          </w:tcPr>
          <w:p w14:paraId="43A6BA1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286B2A2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3" w:type="dxa"/>
            <w:gridSpan w:val="2"/>
            <w:shd w:val="clear" w:color="auto" w:fill="FFFFFF" w:themeFill="background1"/>
            <w:tcMar>
              <w:top w:w="15" w:type="dxa"/>
              <w:left w:w="108" w:type="dxa"/>
              <w:bottom w:w="0" w:type="dxa"/>
              <w:right w:w="108" w:type="dxa"/>
            </w:tcMar>
            <w:vAlign w:val="center"/>
          </w:tcPr>
          <w:p w14:paraId="7FD98E3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08" w:type="dxa"/>
            <w:shd w:val="clear" w:color="auto" w:fill="FFFFFF" w:themeFill="background1"/>
            <w:tcMar>
              <w:top w:w="15" w:type="dxa"/>
              <w:left w:w="108" w:type="dxa"/>
              <w:bottom w:w="0" w:type="dxa"/>
              <w:right w:w="108" w:type="dxa"/>
            </w:tcMar>
            <w:vAlign w:val="center"/>
          </w:tcPr>
          <w:p w14:paraId="7F94EFD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r>
      <w:tr w14:paraId="27B2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restart"/>
            <w:shd w:val="clear" w:color="auto" w:fill="FFFFFF" w:themeFill="background1"/>
            <w:tcMar>
              <w:top w:w="15" w:type="dxa"/>
              <w:left w:w="108" w:type="dxa"/>
              <w:bottom w:w="0" w:type="dxa"/>
              <w:right w:w="108" w:type="dxa"/>
            </w:tcMar>
            <w:vAlign w:val="center"/>
          </w:tcPr>
          <w:p w14:paraId="3F314F31">
            <w:pPr>
              <w:pStyle w:val="104"/>
              <w:spacing w:line="260" w:lineRule="exact"/>
              <w:jc w:val="both"/>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神色天然花岗石、大理石、瓷砖、混凝土、褐色、暗红色釉面砖、人造花岗石、普通转等</w:t>
            </w:r>
          </w:p>
        </w:tc>
        <w:tc>
          <w:tcPr>
            <w:tcW w:w="1667" w:type="dxa"/>
            <w:vMerge w:val="restart"/>
            <w:shd w:val="clear" w:color="auto" w:fill="FFFFFF" w:themeFill="background1"/>
            <w:tcMar>
              <w:top w:w="15" w:type="dxa"/>
              <w:left w:w="108" w:type="dxa"/>
              <w:bottom w:w="0" w:type="dxa"/>
              <w:right w:w="108" w:type="dxa"/>
            </w:tcMar>
            <w:vAlign w:val="center"/>
          </w:tcPr>
          <w:p w14:paraId="37B83C1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0.2~0.3</w:t>
            </w:r>
          </w:p>
        </w:tc>
        <w:tc>
          <w:tcPr>
            <w:tcW w:w="716" w:type="dxa"/>
            <w:shd w:val="clear" w:color="auto" w:fill="FFFFFF" w:themeFill="background1"/>
            <w:tcMar>
              <w:top w:w="15" w:type="dxa"/>
              <w:left w:w="108" w:type="dxa"/>
              <w:bottom w:w="0" w:type="dxa"/>
              <w:right w:w="108" w:type="dxa"/>
            </w:tcMar>
            <w:vAlign w:val="center"/>
          </w:tcPr>
          <w:p w14:paraId="0A669DA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大</w:t>
            </w:r>
          </w:p>
        </w:tc>
        <w:tc>
          <w:tcPr>
            <w:tcW w:w="1413" w:type="dxa"/>
            <w:shd w:val="clear" w:color="auto" w:fill="FFFFFF" w:themeFill="background1"/>
            <w:tcMar>
              <w:top w:w="15" w:type="dxa"/>
              <w:left w:w="108" w:type="dxa"/>
              <w:bottom w:w="0" w:type="dxa"/>
              <w:right w:w="108" w:type="dxa"/>
            </w:tcMar>
            <w:vAlign w:val="center"/>
          </w:tcPr>
          <w:p w14:paraId="5A4437A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14:paraId="772AC92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4" w:type="dxa"/>
            <w:gridSpan w:val="2"/>
            <w:shd w:val="clear" w:color="auto" w:fill="FFFFFF" w:themeFill="background1"/>
            <w:tcMar>
              <w:top w:w="15" w:type="dxa"/>
              <w:left w:w="108" w:type="dxa"/>
              <w:bottom w:w="0" w:type="dxa"/>
              <w:right w:w="108" w:type="dxa"/>
            </w:tcMar>
            <w:vAlign w:val="center"/>
          </w:tcPr>
          <w:p w14:paraId="011567EB">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150</w:t>
            </w:r>
          </w:p>
        </w:tc>
        <w:tc>
          <w:tcPr>
            <w:tcW w:w="1413" w:type="dxa"/>
            <w:shd w:val="clear" w:color="auto" w:fill="FFFFFF" w:themeFill="background1"/>
            <w:tcMar>
              <w:top w:w="15" w:type="dxa"/>
              <w:left w:w="108" w:type="dxa"/>
              <w:bottom w:w="0" w:type="dxa"/>
              <w:right w:w="108" w:type="dxa"/>
            </w:tcMar>
            <w:vAlign w:val="center"/>
          </w:tcPr>
          <w:p w14:paraId="71C1B24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6.7</w:t>
            </w:r>
          </w:p>
        </w:tc>
        <w:tc>
          <w:tcPr>
            <w:tcW w:w="1413" w:type="dxa"/>
            <w:gridSpan w:val="2"/>
            <w:shd w:val="clear" w:color="auto" w:fill="FFFFFF" w:themeFill="background1"/>
            <w:tcMar>
              <w:top w:w="15" w:type="dxa"/>
              <w:left w:w="108" w:type="dxa"/>
              <w:bottom w:w="0" w:type="dxa"/>
              <w:right w:w="108" w:type="dxa"/>
            </w:tcMar>
            <w:vAlign w:val="center"/>
          </w:tcPr>
          <w:p w14:paraId="09B2A37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300</w:t>
            </w:r>
          </w:p>
        </w:tc>
        <w:tc>
          <w:tcPr>
            <w:tcW w:w="1408" w:type="dxa"/>
            <w:shd w:val="clear" w:color="auto" w:fill="FFFFFF" w:themeFill="background1"/>
            <w:tcMar>
              <w:top w:w="15" w:type="dxa"/>
              <w:left w:w="108" w:type="dxa"/>
              <w:bottom w:w="0" w:type="dxa"/>
              <w:right w:w="108" w:type="dxa"/>
            </w:tcMar>
            <w:vAlign w:val="center"/>
          </w:tcPr>
          <w:p w14:paraId="530F2B6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13.3</w:t>
            </w:r>
          </w:p>
        </w:tc>
      </w:tr>
      <w:tr w14:paraId="32C7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0FD98826">
            <w:pPr>
              <w:pStyle w:val="104"/>
              <w:spacing w:line="240" w:lineRule="exact"/>
              <w:jc w:val="center"/>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5E0CECCB">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3D6A938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中</w:t>
            </w:r>
          </w:p>
        </w:tc>
        <w:tc>
          <w:tcPr>
            <w:tcW w:w="1413" w:type="dxa"/>
            <w:shd w:val="clear" w:color="auto" w:fill="FFFFFF" w:themeFill="background1"/>
            <w:tcMar>
              <w:top w:w="15" w:type="dxa"/>
              <w:left w:w="108" w:type="dxa"/>
              <w:bottom w:w="0" w:type="dxa"/>
              <w:right w:w="108" w:type="dxa"/>
            </w:tcMar>
            <w:vAlign w:val="center"/>
          </w:tcPr>
          <w:p w14:paraId="681C160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50</w:t>
            </w:r>
          </w:p>
        </w:tc>
        <w:tc>
          <w:tcPr>
            <w:tcW w:w="1413" w:type="dxa"/>
            <w:shd w:val="clear" w:color="auto" w:fill="FFFFFF" w:themeFill="background1"/>
            <w:tcMar>
              <w:top w:w="15" w:type="dxa"/>
              <w:left w:w="108" w:type="dxa"/>
              <w:bottom w:w="0" w:type="dxa"/>
              <w:right w:w="108" w:type="dxa"/>
            </w:tcMar>
            <w:vAlign w:val="center"/>
          </w:tcPr>
          <w:p w14:paraId="7F4C5F2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2.2</w:t>
            </w:r>
          </w:p>
        </w:tc>
        <w:tc>
          <w:tcPr>
            <w:tcW w:w="1414" w:type="dxa"/>
            <w:gridSpan w:val="2"/>
            <w:shd w:val="clear" w:color="auto" w:fill="FFFFFF" w:themeFill="background1"/>
            <w:tcMar>
              <w:top w:w="15" w:type="dxa"/>
              <w:left w:w="108" w:type="dxa"/>
              <w:bottom w:w="0" w:type="dxa"/>
              <w:right w:w="108" w:type="dxa"/>
            </w:tcMar>
            <w:vAlign w:val="center"/>
          </w:tcPr>
          <w:p w14:paraId="59E25CF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1413" w:type="dxa"/>
            <w:shd w:val="clear" w:color="auto" w:fill="FFFFFF" w:themeFill="background1"/>
            <w:tcMar>
              <w:top w:w="15" w:type="dxa"/>
              <w:left w:w="108" w:type="dxa"/>
              <w:bottom w:w="0" w:type="dxa"/>
              <w:right w:w="108" w:type="dxa"/>
            </w:tcMar>
            <w:vAlign w:val="center"/>
          </w:tcPr>
          <w:p w14:paraId="3F66F57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4.5</w:t>
            </w:r>
          </w:p>
        </w:tc>
        <w:tc>
          <w:tcPr>
            <w:tcW w:w="1413" w:type="dxa"/>
            <w:gridSpan w:val="2"/>
            <w:shd w:val="clear" w:color="auto" w:fill="FFFFFF" w:themeFill="background1"/>
            <w:tcMar>
              <w:top w:w="15" w:type="dxa"/>
              <w:left w:w="108" w:type="dxa"/>
              <w:bottom w:w="0" w:type="dxa"/>
              <w:right w:w="108" w:type="dxa"/>
            </w:tcMar>
            <w:vAlign w:val="center"/>
          </w:tcPr>
          <w:p w14:paraId="589062B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250</w:t>
            </w:r>
          </w:p>
        </w:tc>
        <w:tc>
          <w:tcPr>
            <w:tcW w:w="1408" w:type="dxa"/>
            <w:shd w:val="clear" w:color="auto" w:fill="FFFFFF" w:themeFill="background1"/>
            <w:tcMar>
              <w:top w:w="15" w:type="dxa"/>
              <w:left w:w="108" w:type="dxa"/>
              <w:bottom w:w="0" w:type="dxa"/>
              <w:right w:w="108" w:type="dxa"/>
            </w:tcMar>
            <w:vAlign w:val="center"/>
          </w:tcPr>
          <w:p w14:paraId="5CCBB62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11.2</w:t>
            </w:r>
          </w:p>
        </w:tc>
      </w:tr>
      <w:tr w14:paraId="6482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521" w:hRule="atLeast"/>
        </w:trPr>
        <w:tc>
          <w:tcPr>
            <w:tcW w:w="3081" w:type="dxa"/>
            <w:vMerge w:val="continue"/>
            <w:shd w:val="clear" w:color="auto" w:fill="FFFFFF" w:themeFill="background1"/>
            <w:vAlign w:val="center"/>
          </w:tcPr>
          <w:p w14:paraId="4686D659">
            <w:pPr>
              <w:pStyle w:val="104"/>
              <w:spacing w:line="240" w:lineRule="exact"/>
              <w:jc w:val="center"/>
              <w:rPr>
                <w:rFonts w:ascii="宋体" w:hAnsi="宋体" w:eastAsia="仿宋_GB2312" w:cs="仿宋"/>
                <w:bCs w:val="0"/>
                <w:color w:val="auto"/>
                <w:sz w:val="24"/>
                <w:szCs w:val="21"/>
              </w:rPr>
            </w:pPr>
          </w:p>
        </w:tc>
        <w:tc>
          <w:tcPr>
            <w:tcW w:w="1667" w:type="dxa"/>
            <w:vMerge w:val="continue"/>
            <w:shd w:val="clear" w:color="auto" w:fill="FFFFFF" w:themeFill="background1"/>
            <w:vAlign w:val="center"/>
          </w:tcPr>
          <w:p w14:paraId="69440674">
            <w:pPr>
              <w:pStyle w:val="104"/>
              <w:spacing w:line="240" w:lineRule="exact"/>
              <w:jc w:val="center"/>
              <w:rPr>
                <w:rFonts w:ascii="宋体" w:hAnsi="宋体" w:eastAsia="仿宋_GB2312" w:cs="仿宋"/>
                <w:bCs w:val="0"/>
                <w:color w:val="auto"/>
                <w:sz w:val="24"/>
                <w:szCs w:val="21"/>
              </w:rPr>
            </w:pPr>
          </w:p>
        </w:tc>
        <w:tc>
          <w:tcPr>
            <w:tcW w:w="716" w:type="dxa"/>
            <w:shd w:val="clear" w:color="auto" w:fill="FFFFFF" w:themeFill="background1"/>
            <w:tcMar>
              <w:top w:w="15" w:type="dxa"/>
              <w:left w:w="108" w:type="dxa"/>
              <w:bottom w:w="0" w:type="dxa"/>
              <w:right w:w="108" w:type="dxa"/>
            </w:tcMar>
            <w:vAlign w:val="center"/>
          </w:tcPr>
          <w:p w14:paraId="46E277E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w:t>
            </w:r>
          </w:p>
        </w:tc>
        <w:tc>
          <w:tcPr>
            <w:tcW w:w="1413" w:type="dxa"/>
            <w:shd w:val="clear" w:color="auto" w:fill="FFFFFF" w:themeFill="background1"/>
            <w:tcMar>
              <w:top w:w="15" w:type="dxa"/>
              <w:left w:w="108" w:type="dxa"/>
              <w:bottom w:w="0" w:type="dxa"/>
              <w:right w:w="108" w:type="dxa"/>
            </w:tcMar>
            <w:vAlign w:val="center"/>
          </w:tcPr>
          <w:p w14:paraId="046A4D0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c>
          <w:tcPr>
            <w:tcW w:w="1413" w:type="dxa"/>
            <w:shd w:val="clear" w:color="auto" w:fill="FFFFFF" w:themeFill="background1"/>
            <w:tcMar>
              <w:top w:w="15" w:type="dxa"/>
              <w:left w:w="108" w:type="dxa"/>
              <w:bottom w:w="0" w:type="dxa"/>
              <w:right w:w="108" w:type="dxa"/>
            </w:tcMar>
            <w:vAlign w:val="center"/>
          </w:tcPr>
          <w:p w14:paraId="115ACEC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w:t>
            </w:r>
          </w:p>
        </w:tc>
        <w:tc>
          <w:tcPr>
            <w:tcW w:w="1414" w:type="dxa"/>
            <w:gridSpan w:val="2"/>
            <w:shd w:val="clear" w:color="auto" w:fill="FFFFFF" w:themeFill="background1"/>
            <w:tcMar>
              <w:top w:w="15" w:type="dxa"/>
              <w:left w:w="108" w:type="dxa"/>
              <w:bottom w:w="0" w:type="dxa"/>
              <w:right w:w="108" w:type="dxa"/>
            </w:tcMar>
            <w:vAlign w:val="center"/>
          </w:tcPr>
          <w:p w14:paraId="18A86E2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75</w:t>
            </w:r>
          </w:p>
        </w:tc>
        <w:tc>
          <w:tcPr>
            <w:tcW w:w="1413" w:type="dxa"/>
            <w:shd w:val="clear" w:color="auto" w:fill="FFFFFF" w:themeFill="background1"/>
            <w:tcMar>
              <w:top w:w="15" w:type="dxa"/>
              <w:left w:w="108" w:type="dxa"/>
              <w:bottom w:w="0" w:type="dxa"/>
              <w:right w:w="108" w:type="dxa"/>
            </w:tcMar>
            <w:vAlign w:val="center"/>
          </w:tcPr>
          <w:p w14:paraId="0892809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3.3</w:t>
            </w:r>
          </w:p>
        </w:tc>
        <w:tc>
          <w:tcPr>
            <w:tcW w:w="1413" w:type="dxa"/>
            <w:gridSpan w:val="2"/>
            <w:shd w:val="clear" w:color="auto" w:fill="FFFFFF" w:themeFill="background1"/>
            <w:tcMar>
              <w:top w:w="15" w:type="dxa"/>
              <w:left w:w="108" w:type="dxa"/>
              <w:bottom w:w="0" w:type="dxa"/>
              <w:right w:w="108" w:type="dxa"/>
            </w:tcMar>
            <w:vAlign w:val="center"/>
          </w:tcPr>
          <w:p w14:paraId="442938C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200</w:t>
            </w:r>
          </w:p>
        </w:tc>
        <w:tc>
          <w:tcPr>
            <w:tcW w:w="1408" w:type="dxa"/>
            <w:shd w:val="clear" w:color="auto" w:fill="FFFFFF" w:themeFill="background1"/>
            <w:tcMar>
              <w:top w:w="15" w:type="dxa"/>
              <w:left w:w="108" w:type="dxa"/>
              <w:bottom w:w="0" w:type="dxa"/>
              <w:right w:w="108" w:type="dxa"/>
            </w:tcMar>
            <w:vAlign w:val="center"/>
          </w:tcPr>
          <w:p w14:paraId="33561D3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8.9</w:t>
            </w:r>
          </w:p>
        </w:tc>
      </w:tr>
    </w:tbl>
    <w:p w14:paraId="790C1538">
      <w:pPr>
        <w:pStyle w:val="205"/>
        <w:spacing w:before="156" w:after="156"/>
        <w:rPr>
          <w:rFonts w:ascii="宋体" w:hAnsi="宋体"/>
          <w:bCs w:val="0"/>
          <w:sz w:val="24"/>
        </w:rPr>
      </w:pPr>
    </w:p>
    <w:p w14:paraId="07585BBC">
      <w:pPr>
        <w:pStyle w:val="205"/>
        <w:spacing w:before="156" w:after="156"/>
        <w:rPr>
          <w:rFonts w:hint="eastAsia" w:ascii="宋体" w:hAnsi="宋体"/>
          <w:bCs w:val="0"/>
          <w:sz w:val="24"/>
        </w:rPr>
      </w:pPr>
    </w:p>
    <w:p w14:paraId="1A4A38C0">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13</w:t>
      </w:r>
      <w:r>
        <w:rPr>
          <w:rFonts w:hint="eastAsia" w:ascii="宋体" w:hAnsi="宋体"/>
          <w:bCs w:val="0"/>
          <w:sz w:val="24"/>
        </w:rPr>
        <w:t>—1</w:t>
      </w:r>
      <w:r>
        <w:rPr>
          <w:rFonts w:ascii="宋体" w:hAnsi="宋体"/>
          <w:bCs w:val="0"/>
          <w:sz w:val="24"/>
        </w:rPr>
        <w:t xml:space="preserve">3 </w:t>
      </w:r>
      <w:r>
        <w:rPr>
          <w:rFonts w:hint="eastAsia" w:ascii="宋体" w:hAnsi="宋体"/>
          <w:bCs w:val="0"/>
          <w:sz w:val="24"/>
        </w:rPr>
        <w:t>建（构）筑物外部景观照明功率密度（LPD）值</w:t>
      </w:r>
    </w:p>
    <w:tbl>
      <w:tblPr>
        <w:tblStyle w:val="9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8"/>
        <w:gridCol w:w="5554"/>
        <w:gridCol w:w="4656"/>
      </w:tblGrid>
      <w:tr w14:paraId="40A2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14:paraId="76E36898">
            <w:pPr>
              <w:pStyle w:val="104"/>
              <w:jc w:val="center"/>
              <w:rPr>
                <w:rFonts w:ascii="宋体" w:hAnsi="宋体" w:eastAsia="仿宋_GB2312"/>
                <w:bCs w:val="0"/>
                <w:color w:val="auto"/>
                <w:sz w:val="24"/>
              </w:rPr>
            </w:pPr>
            <w:r>
              <w:rPr>
                <w:rFonts w:hint="eastAsia" w:ascii="宋体" w:hAnsi="宋体" w:eastAsia="仿宋_GB2312"/>
                <w:bCs w:val="0"/>
                <w:color w:val="auto"/>
                <w:sz w:val="24"/>
              </w:rPr>
              <w:t>空间类型</w:t>
            </w:r>
          </w:p>
        </w:tc>
        <w:tc>
          <w:tcPr>
            <w:tcW w:w="5554" w:type="dxa"/>
            <w:vAlign w:val="center"/>
          </w:tcPr>
          <w:p w14:paraId="253BF085">
            <w:pPr>
              <w:pStyle w:val="104"/>
              <w:jc w:val="center"/>
              <w:rPr>
                <w:rFonts w:ascii="宋体" w:hAnsi="宋体" w:eastAsia="仿宋_GB2312"/>
                <w:bCs w:val="0"/>
                <w:color w:val="auto"/>
                <w:sz w:val="24"/>
              </w:rPr>
            </w:pPr>
            <w:r>
              <w:rPr>
                <w:rFonts w:hint="eastAsia" w:ascii="宋体" w:hAnsi="宋体" w:eastAsia="仿宋_GB2312"/>
                <w:bCs w:val="0"/>
                <w:color w:val="auto"/>
                <w:sz w:val="24"/>
              </w:rPr>
              <w:t>照明区域</w:t>
            </w:r>
          </w:p>
        </w:tc>
        <w:tc>
          <w:tcPr>
            <w:tcW w:w="4656" w:type="dxa"/>
            <w:vAlign w:val="center"/>
          </w:tcPr>
          <w:p w14:paraId="7201D5FF">
            <w:pPr>
              <w:pStyle w:val="104"/>
              <w:jc w:val="center"/>
              <w:rPr>
                <w:rFonts w:ascii="宋体" w:hAnsi="宋体" w:eastAsia="仿宋_GB2312"/>
                <w:bCs w:val="0"/>
                <w:color w:val="auto"/>
                <w:sz w:val="24"/>
              </w:rPr>
            </w:pPr>
            <w:r>
              <w:rPr>
                <w:rFonts w:hint="eastAsia" w:ascii="宋体" w:hAnsi="宋体" w:eastAsia="仿宋_GB2312"/>
                <w:bCs w:val="0"/>
                <w:color w:val="auto"/>
                <w:sz w:val="24"/>
              </w:rPr>
              <w:t>功率密度值</w:t>
            </w:r>
          </w:p>
        </w:tc>
      </w:tr>
      <w:tr w14:paraId="2131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14:paraId="4EA4923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无遮盖停车区域</w:t>
            </w:r>
          </w:p>
        </w:tc>
        <w:tc>
          <w:tcPr>
            <w:tcW w:w="5554" w:type="dxa"/>
            <w:vAlign w:val="center"/>
          </w:tcPr>
          <w:p w14:paraId="5DC299A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停车区和车道</w:t>
            </w:r>
          </w:p>
        </w:tc>
        <w:tc>
          <w:tcPr>
            <w:tcW w:w="4656" w:type="dxa"/>
            <w:vAlign w:val="center"/>
          </w:tcPr>
          <w:p w14:paraId="3425ACEA">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1.61 W/㎡</w:t>
            </w:r>
          </w:p>
        </w:tc>
      </w:tr>
      <w:tr w14:paraId="243B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restart"/>
            <w:vAlign w:val="center"/>
          </w:tcPr>
          <w:p w14:paraId="5A3C3ECF">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建筑场地</w:t>
            </w:r>
          </w:p>
        </w:tc>
        <w:tc>
          <w:tcPr>
            <w:tcW w:w="5554" w:type="dxa"/>
            <w:vAlign w:val="center"/>
          </w:tcPr>
          <w:p w14:paraId="33240532">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小于3m宽的走道</w:t>
            </w:r>
          </w:p>
        </w:tc>
        <w:tc>
          <w:tcPr>
            <w:tcW w:w="4656" w:type="dxa"/>
            <w:vAlign w:val="center"/>
          </w:tcPr>
          <w:p w14:paraId="382112D1">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3.28 W/㎡</w:t>
            </w:r>
          </w:p>
        </w:tc>
      </w:tr>
      <w:tr w14:paraId="5AE9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14:paraId="38EBD122">
            <w:pPr>
              <w:pStyle w:val="104"/>
              <w:jc w:val="center"/>
              <w:rPr>
                <w:rFonts w:ascii="宋体" w:hAnsi="宋体" w:eastAsia="仿宋_GB2312" w:cs="仿宋"/>
                <w:bCs w:val="0"/>
                <w:color w:val="auto"/>
                <w:sz w:val="24"/>
                <w:szCs w:val="21"/>
              </w:rPr>
            </w:pPr>
          </w:p>
        </w:tc>
        <w:tc>
          <w:tcPr>
            <w:tcW w:w="5554" w:type="dxa"/>
            <w:vAlign w:val="center"/>
          </w:tcPr>
          <w:p w14:paraId="6306CE9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等于、大于3m宽的走道、广场区域、特殊区域</w:t>
            </w:r>
          </w:p>
        </w:tc>
        <w:tc>
          <w:tcPr>
            <w:tcW w:w="4656" w:type="dxa"/>
            <w:vAlign w:val="center"/>
          </w:tcPr>
          <w:p w14:paraId="6A3B6E5B">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2.15 W/㎡</w:t>
            </w:r>
          </w:p>
        </w:tc>
      </w:tr>
      <w:tr w14:paraId="5084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14:paraId="3993BF55">
            <w:pPr>
              <w:pStyle w:val="104"/>
              <w:jc w:val="center"/>
              <w:rPr>
                <w:rFonts w:ascii="宋体" w:hAnsi="宋体" w:eastAsia="仿宋_GB2312" w:cs="仿宋"/>
                <w:bCs w:val="0"/>
                <w:color w:val="auto"/>
                <w:sz w:val="24"/>
                <w:szCs w:val="21"/>
              </w:rPr>
            </w:pPr>
          </w:p>
        </w:tc>
        <w:tc>
          <w:tcPr>
            <w:tcW w:w="5554" w:type="dxa"/>
            <w:vAlign w:val="center"/>
          </w:tcPr>
          <w:p w14:paraId="671BE8F8">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楼梯</w:t>
            </w:r>
          </w:p>
        </w:tc>
        <w:tc>
          <w:tcPr>
            <w:tcW w:w="4656" w:type="dxa"/>
            <w:vAlign w:val="center"/>
          </w:tcPr>
          <w:p w14:paraId="2F5F38F2">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10.76 W/㎡</w:t>
            </w:r>
          </w:p>
        </w:tc>
      </w:tr>
      <w:tr w14:paraId="36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restart"/>
            <w:vAlign w:val="center"/>
          </w:tcPr>
          <w:p w14:paraId="2983E50C">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建筑物外部</w:t>
            </w:r>
          </w:p>
        </w:tc>
        <w:tc>
          <w:tcPr>
            <w:tcW w:w="5554" w:type="dxa"/>
            <w:vAlign w:val="center"/>
          </w:tcPr>
          <w:p w14:paraId="6AF9951B">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主入口</w:t>
            </w:r>
          </w:p>
        </w:tc>
        <w:tc>
          <w:tcPr>
            <w:tcW w:w="4656" w:type="dxa"/>
            <w:vAlign w:val="center"/>
          </w:tcPr>
          <w:p w14:paraId="610B6DD5">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98.43 W/㎡</w:t>
            </w:r>
          </w:p>
        </w:tc>
      </w:tr>
      <w:tr w14:paraId="5AAC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Merge w:val="continue"/>
            <w:vAlign w:val="center"/>
          </w:tcPr>
          <w:p w14:paraId="213BD148">
            <w:pPr>
              <w:pStyle w:val="104"/>
              <w:jc w:val="center"/>
              <w:rPr>
                <w:rFonts w:ascii="宋体" w:hAnsi="宋体" w:eastAsia="仿宋_GB2312" w:cs="仿宋"/>
                <w:bCs w:val="0"/>
                <w:color w:val="auto"/>
                <w:sz w:val="24"/>
                <w:szCs w:val="21"/>
              </w:rPr>
            </w:pPr>
          </w:p>
        </w:tc>
        <w:tc>
          <w:tcPr>
            <w:tcW w:w="5554" w:type="dxa"/>
            <w:vAlign w:val="center"/>
          </w:tcPr>
          <w:p w14:paraId="2DBAFC99">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其他门</w:t>
            </w:r>
          </w:p>
        </w:tc>
        <w:tc>
          <w:tcPr>
            <w:tcW w:w="4656" w:type="dxa"/>
            <w:vAlign w:val="center"/>
          </w:tcPr>
          <w:p w14:paraId="13E289BF">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65.62 W/㎡</w:t>
            </w:r>
          </w:p>
        </w:tc>
      </w:tr>
      <w:tr w14:paraId="0FBA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14:paraId="254E8D64">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顶棚或挑蓬</w:t>
            </w:r>
          </w:p>
        </w:tc>
        <w:tc>
          <w:tcPr>
            <w:tcW w:w="5554" w:type="dxa"/>
            <w:vAlign w:val="center"/>
          </w:tcPr>
          <w:p w14:paraId="379F3956">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顶蓬（无固定、搭接或悬挑）</w:t>
            </w:r>
          </w:p>
        </w:tc>
        <w:tc>
          <w:tcPr>
            <w:tcW w:w="4656" w:type="dxa"/>
            <w:vAlign w:val="center"/>
          </w:tcPr>
          <w:p w14:paraId="6665B5C1">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13.46 W/㎡</w:t>
            </w:r>
          </w:p>
        </w:tc>
      </w:tr>
      <w:tr w14:paraId="39E7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8" w:type="dxa"/>
            <w:vAlign w:val="center"/>
          </w:tcPr>
          <w:p w14:paraId="7F6BE9AD">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户外销售</w:t>
            </w:r>
          </w:p>
        </w:tc>
        <w:tc>
          <w:tcPr>
            <w:tcW w:w="5554" w:type="dxa"/>
            <w:vAlign w:val="center"/>
          </w:tcPr>
          <w:p w14:paraId="67353FE1">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公共区域（包括汽车销售区）</w:t>
            </w:r>
          </w:p>
        </w:tc>
        <w:tc>
          <w:tcPr>
            <w:tcW w:w="4656" w:type="dxa"/>
            <w:vAlign w:val="center"/>
          </w:tcPr>
          <w:p w14:paraId="5695A6B6">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5.38 W/㎡</w:t>
            </w:r>
          </w:p>
        </w:tc>
      </w:tr>
    </w:tbl>
    <w:p w14:paraId="4150335D">
      <w:pPr>
        <w:pStyle w:val="205"/>
        <w:spacing w:before="156" w:after="156"/>
        <w:jc w:val="both"/>
        <w:rPr>
          <w:rFonts w:ascii="宋体" w:hAnsi="宋体"/>
          <w:bCs w:val="0"/>
          <w:sz w:val="24"/>
        </w:rPr>
      </w:pPr>
    </w:p>
    <w:p w14:paraId="5BBAE8D0">
      <w:pPr>
        <w:pStyle w:val="205"/>
        <w:spacing w:before="156" w:after="156"/>
        <w:rPr>
          <w:rFonts w:ascii="宋体" w:hAnsi="宋体"/>
          <w:bCs w:val="0"/>
          <w:sz w:val="24"/>
        </w:rPr>
      </w:pPr>
    </w:p>
    <w:p w14:paraId="75175D3E">
      <w:pPr>
        <w:pStyle w:val="205"/>
        <w:spacing w:before="156" w:after="156"/>
        <w:rPr>
          <w:rFonts w:ascii="宋体" w:hAnsi="宋体"/>
          <w:bCs w:val="0"/>
          <w:sz w:val="24"/>
        </w:rPr>
      </w:pPr>
    </w:p>
    <w:p w14:paraId="62171450">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4 </w:t>
      </w:r>
      <w:r>
        <w:rPr>
          <w:rFonts w:hint="eastAsia" w:ascii="宋体" w:hAnsi="宋体"/>
          <w:bCs w:val="0"/>
          <w:sz w:val="24"/>
        </w:rPr>
        <w:t>功能照明功率密度（LPD）值</w:t>
      </w:r>
    </w:p>
    <w:tbl>
      <w:tblPr>
        <w:tblStyle w:val="89"/>
        <w:tblW w:w="13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35"/>
        <w:gridCol w:w="3451"/>
        <w:gridCol w:w="3473"/>
        <w:gridCol w:w="3479"/>
      </w:tblGrid>
      <w:tr w14:paraId="1EB8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3535" w:type="dxa"/>
            <w:shd w:val="clear" w:color="auto" w:fill="FFFFFF" w:themeFill="background1"/>
            <w:tcMar>
              <w:top w:w="101" w:type="dxa"/>
              <w:left w:w="189" w:type="dxa"/>
              <w:bottom w:w="101" w:type="dxa"/>
              <w:right w:w="189" w:type="dxa"/>
            </w:tcMar>
            <w:vAlign w:val="center"/>
          </w:tcPr>
          <w:p w14:paraId="170092DE">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道路级别</w:t>
            </w:r>
          </w:p>
        </w:tc>
        <w:tc>
          <w:tcPr>
            <w:tcW w:w="3451" w:type="dxa"/>
            <w:shd w:val="clear" w:color="auto" w:fill="FFFFFF" w:themeFill="background1"/>
            <w:tcMar>
              <w:top w:w="101" w:type="dxa"/>
              <w:left w:w="189" w:type="dxa"/>
              <w:bottom w:w="101" w:type="dxa"/>
              <w:right w:w="189" w:type="dxa"/>
            </w:tcMar>
            <w:vAlign w:val="center"/>
          </w:tcPr>
          <w:p w14:paraId="4358A28E">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车道数</w:t>
            </w:r>
          </w:p>
          <w:p w14:paraId="2DAFC61C">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(条)</w:t>
            </w:r>
          </w:p>
        </w:tc>
        <w:tc>
          <w:tcPr>
            <w:tcW w:w="3473" w:type="dxa"/>
            <w:shd w:val="clear" w:color="auto" w:fill="FFFFFF" w:themeFill="background1"/>
            <w:tcMar>
              <w:top w:w="101" w:type="dxa"/>
              <w:left w:w="189" w:type="dxa"/>
              <w:bottom w:w="101" w:type="dxa"/>
              <w:right w:w="189" w:type="dxa"/>
            </w:tcMar>
            <w:vAlign w:val="center"/>
          </w:tcPr>
          <w:p w14:paraId="25C3A51D">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功率密度值</w:t>
            </w:r>
          </w:p>
          <w:p w14:paraId="1B27894A">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(w/㎡)</w:t>
            </w:r>
          </w:p>
        </w:tc>
        <w:tc>
          <w:tcPr>
            <w:tcW w:w="3479" w:type="dxa"/>
            <w:shd w:val="clear" w:color="auto" w:fill="FFFFFF" w:themeFill="background1"/>
            <w:tcMar>
              <w:top w:w="101" w:type="dxa"/>
              <w:left w:w="189" w:type="dxa"/>
              <w:bottom w:w="101" w:type="dxa"/>
              <w:right w:w="189" w:type="dxa"/>
            </w:tcMar>
            <w:vAlign w:val="center"/>
          </w:tcPr>
          <w:p w14:paraId="26E213F0">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对应照度</w:t>
            </w:r>
          </w:p>
          <w:p w14:paraId="7899187C">
            <w:pPr>
              <w:pStyle w:val="104"/>
              <w:spacing w:line="260" w:lineRule="exact"/>
              <w:jc w:val="center"/>
              <w:rPr>
                <w:rFonts w:ascii="宋体" w:hAnsi="宋体" w:eastAsia="仿宋_GB2312"/>
                <w:bCs w:val="0"/>
                <w:color w:val="auto"/>
                <w:sz w:val="24"/>
              </w:rPr>
            </w:pPr>
            <w:r>
              <w:rPr>
                <w:rFonts w:hint="eastAsia" w:ascii="宋体" w:hAnsi="宋体" w:eastAsia="仿宋_GB2312"/>
                <w:bCs w:val="0"/>
                <w:color w:val="auto"/>
                <w:sz w:val="24"/>
              </w:rPr>
              <w:t>(Lx)</w:t>
            </w:r>
          </w:p>
        </w:tc>
      </w:tr>
      <w:tr w14:paraId="491C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14:paraId="5C83F045">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特殊景观重要性道路、高速公路、一级公路、城市快速路、 主干路</w:t>
            </w:r>
          </w:p>
        </w:tc>
        <w:tc>
          <w:tcPr>
            <w:tcW w:w="3451" w:type="dxa"/>
            <w:shd w:val="clear" w:color="auto" w:fill="auto"/>
            <w:tcMar>
              <w:top w:w="101" w:type="dxa"/>
              <w:left w:w="189" w:type="dxa"/>
              <w:bottom w:w="101" w:type="dxa"/>
              <w:right w:w="189" w:type="dxa"/>
            </w:tcMar>
            <w:vAlign w:val="center"/>
          </w:tcPr>
          <w:p w14:paraId="7922295E">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14:paraId="14F1E71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≤1.00</w:t>
            </w:r>
          </w:p>
        </w:tc>
        <w:tc>
          <w:tcPr>
            <w:tcW w:w="3479" w:type="dxa"/>
            <w:vMerge w:val="restart"/>
            <w:shd w:val="clear" w:color="auto" w:fill="auto"/>
            <w:tcMar>
              <w:top w:w="101" w:type="dxa"/>
              <w:left w:w="189" w:type="dxa"/>
              <w:bottom w:w="101" w:type="dxa"/>
              <w:right w:w="189" w:type="dxa"/>
            </w:tcMar>
            <w:vAlign w:val="center"/>
          </w:tcPr>
          <w:p w14:paraId="031B8BE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30</w:t>
            </w:r>
          </w:p>
        </w:tc>
      </w:tr>
      <w:tr w14:paraId="5085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2234171F">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6712D39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14:paraId="1B4EF589">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≤1.20</w:t>
            </w:r>
          </w:p>
        </w:tc>
        <w:tc>
          <w:tcPr>
            <w:tcW w:w="3479" w:type="dxa"/>
            <w:vMerge w:val="continue"/>
            <w:vAlign w:val="center"/>
          </w:tcPr>
          <w:p w14:paraId="1CB774B3">
            <w:pPr>
              <w:pStyle w:val="104"/>
              <w:spacing w:line="240" w:lineRule="exact"/>
              <w:jc w:val="center"/>
              <w:rPr>
                <w:rFonts w:ascii="宋体" w:hAnsi="宋体" w:eastAsia="仿宋_GB2312" w:cs="仿宋"/>
                <w:bCs w:val="0"/>
                <w:color w:val="auto"/>
                <w:sz w:val="24"/>
                <w:szCs w:val="21"/>
              </w:rPr>
            </w:pPr>
          </w:p>
        </w:tc>
      </w:tr>
      <w:tr w14:paraId="6728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443E8746">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75789DE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14:paraId="1A8FE58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≤0.70</w:t>
            </w:r>
          </w:p>
        </w:tc>
        <w:tc>
          <w:tcPr>
            <w:tcW w:w="3479" w:type="dxa"/>
            <w:vMerge w:val="restart"/>
            <w:shd w:val="clear" w:color="auto" w:fill="auto"/>
            <w:tcMar>
              <w:top w:w="101" w:type="dxa"/>
              <w:left w:w="189" w:type="dxa"/>
              <w:bottom w:w="101" w:type="dxa"/>
              <w:right w:w="189" w:type="dxa"/>
            </w:tcMar>
            <w:vAlign w:val="center"/>
          </w:tcPr>
          <w:p w14:paraId="521302D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r>
      <w:tr w14:paraId="5460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0E7C4DFF">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03E0882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＜6</w:t>
            </w:r>
          </w:p>
        </w:tc>
        <w:tc>
          <w:tcPr>
            <w:tcW w:w="3473" w:type="dxa"/>
            <w:shd w:val="clear" w:color="auto" w:fill="auto"/>
            <w:tcMar>
              <w:top w:w="101" w:type="dxa"/>
              <w:left w:w="189" w:type="dxa"/>
              <w:bottom w:w="101" w:type="dxa"/>
              <w:right w:w="189" w:type="dxa"/>
            </w:tcMar>
            <w:vAlign w:val="center"/>
          </w:tcPr>
          <w:p w14:paraId="663C3D0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≤0.85</w:t>
            </w:r>
          </w:p>
        </w:tc>
        <w:tc>
          <w:tcPr>
            <w:tcW w:w="3479" w:type="dxa"/>
            <w:vMerge w:val="continue"/>
            <w:vAlign w:val="center"/>
          </w:tcPr>
          <w:p w14:paraId="64F6947D">
            <w:pPr>
              <w:pStyle w:val="104"/>
              <w:spacing w:line="240" w:lineRule="exact"/>
              <w:jc w:val="center"/>
              <w:rPr>
                <w:rFonts w:ascii="宋体" w:hAnsi="宋体" w:eastAsia="仿宋_GB2312" w:cs="仿宋"/>
                <w:bCs w:val="0"/>
                <w:color w:val="auto"/>
                <w:sz w:val="24"/>
                <w:szCs w:val="21"/>
              </w:rPr>
            </w:pPr>
          </w:p>
        </w:tc>
      </w:tr>
      <w:tr w14:paraId="0868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14:paraId="119C3C25">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城市次干路</w:t>
            </w:r>
          </w:p>
        </w:tc>
        <w:tc>
          <w:tcPr>
            <w:tcW w:w="3451" w:type="dxa"/>
            <w:shd w:val="clear" w:color="auto" w:fill="auto"/>
            <w:tcMar>
              <w:top w:w="101" w:type="dxa"/>
              <w:left w:w="189" w:type="dxa"/>
              <w:bottom w:w="101" w:type="dxa"/>
              <w:right w:w="189" w:type="dxa"/>
            </w:tcMar>
            <w:vAlign w:val="center"/>
          </w:tcPr>
          <w:p w14:paraId="17974372">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14:paraId="02373E3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≤0.80</w:t>
            </w:r>
          </w:p>
        </w:tc>
        <w:tc>
          <w:tcPr>
            <w:tcW w:w="3479" w:type="dxa"/>
            <w:vMerge w:val="restart"/>
            <w:shd w:val="clear" w:color="auto" w:fill="auto"/>
            <w:tcMar>
              <w:top w:w="101" w:type="dxa"/>
              <w:left w:w="189" w:type="dxa"/>
              <w:bottom w:w="101" w:type="dxa"/>
              <w:right w:w="189" w:type="dxa"/>
            </w:tcMar>
            <w:vAlign w:val="center"/>
          </w:tcPr>
          <w:p w14:paraId="332B4A3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p>
        </w:tc>
      </w:tr>
      <w:tr w14:paraId="34DD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4440195F">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302C2C43">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14:paraId="2544BA3B">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≤0.90</w:t>
            </w:r>
          </w:p>
        </w:tc>
        <w:tc>
          <w:tcPr>
            <w:tcW w:w="3479" w:type="dxa"/>
            <w:vMerge w:val="continue"/>
            <w:vAlign w:val="center"/>
          </w:tcPr>
          <w:p w14:paraId="022D0922">
            <w:pPr>
              <w:pStyle w:val="104"/>
              <w:spacing w:line="240" w:lineRule="exact"/>
              <w:jc w:val="center"/>
              <w:rPr>
                <w:rFonts w:ascii="宋体" w:hAnsi="宋体" w:eastAsia="仿宋_GB2312" w:cs="仿宋"/>
                <w:bCs w:val="0"/>
                <w:color w:val="auto"/>
                <w:sz w:val="24"/>
                <w:szCs w:val="21"/>
              </w:rPr>
            </w:pPr>
          </w:p>
        </w:tc>
      </w:tr>
      <w:tr w14:paraId="417C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43485B16">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4FBF1C8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14:paraId="461F21B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w:t>
            </w:r>
          </w:p>
        </w:tc>
        <w:tc>
          <w:tcPr>
            <w:tcW w:w="3479" w:type="dxa"/>
            <w:vMerge w:val="restart"/>
            <w:shd w:val="clear" w:color="auto" w:fill="auto"/>
            <w:tcMar>
              <w:top w:w="101" w:type="dxa"/>
              <w:left w:w="189" w:type="dxa"/>
              <w:bottom w:w="101" w:type="dxa"/>
              <w:right w:w="189" w:type="dxa"/>
            </w:tcMar>
            <w:vAlign w:val="center"/>
          </w:tcPr>
          <w:p w14:paraId="3A7F42E1">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p>
        </w:tc>
      </w:tr>
      <w:tr w14:paraId="586E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7229578A">
            <w:pPr>
              <w:pStyle w:val="104"/>
              <w:spacing w:line="26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50A7F1B6">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c>
          <w:tcPr>
            <w:tcW w:w="3473" w:type="dxa"/>
            <w:shd w:val="clear" w:color="auto" w:fill="auto"/>
            <w:tcMar>
              <w:top w:w="101" w:type="dxa"/>
              <w:left w:w="189" w:type="dxa"/>
              <w:bottom w:w="101" w:type="dxa"/>
              <w:right w:w="189" w:type="dxa"/>
            </w:tcMar>
            <w:vAlign w:val="center"/>
          </w:tcPr>
          <w:p w14:paraId="1A302B77">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≤0.70</w:t>
            </w:r>
          </w:p>
        </w:tc>
        <w:tc>
          <w:tcPr>
            <w:tcW w:w="3479" w:type="dxa"/>
            <w:vMerge w:val="continue"/>
            <w:vAlign w:val="center"/>
          </w:tcPr>
          <w:p w14:paraId="4629F897">
            <w:pPr>
              <w:pStyle w:val="104"/>
              <w:spacing w:line="240" w:lineRule="exact"/>
              <w:jc w:val="center"/>
              <w:rPr>
                <w:rFonts w:ascii="宋体" w:hAnsi="宋体" w:eastAsia="仿宋_GB2312" w:cs="仿宋"/>
                <w:bCs w:val="0"/>
                <w:color w:val="auto"/>
                <w:sz w:val="24"/>
                <w:szCs w:val="21"/>
              </w:rPr>
            </w:pPr>
          </w:p>
        </w:tc>
      </w:tr>
      <w:tr w14:paraId="4B36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restart"/>
            <w:shd w:val="clear" w:color="auto" w:fill="auto"/>
            <w:tcMar>
              <w:top w:w="101" w:type="dxa"/>
              <w:left w:w="189" w:type="dxa"/>
              <w:bottom w:w="101" w:type="dxa"/>
              <w:right w:w="189" w:type="dxa"/>
            </w:tcMar>
            <w:vAlign w:val="center"/>
          </w:tcPr>
          <w:p w14:paraId="3F7CFC2E">
            <w:pPr>
              <w:pStyle w:val="104"/>
              <w:spacing w:line="26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城市支路</w:t>
            </w:r>
          </w:p>
        </w:tc>
        <w:tc>
          <w:tcPr>
            <w:tcW w:w="3451" w:type="dxa"/>
            <w:shd w:val="clear" w:color="auto" w:fill="auto"/>
            <w:tcMar>
              <w:top w:w="101" w:type="dxa"/>
              <w:left w:w="189" w:type="dxa"/>
              <w:bottom w:w="101" w:type="dxa"/>
              <w:right w:w="189" w:type="dxa"/>
            </w:tcMar>
            <w:vAlign w:val="center"/>
          </w:tcPr>
          <w:p w14:paraId="7B719F0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14:paraId="225690D9">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≤0.50</w:t>
            </w:r>
          </w:p>
        </w:tc>
        <w:tc>
          <w:tcPr>
            <w:tcW w:w="3479" w:type="dxa"/>
            <w:vMerge w:val="restart"/>
            <w:shd w:val="clear" w:color="auto" w:fill="auto"/>
            <w:tcMar>
              <w:top w:w="101" w:type="dxa"/>
              <w:left w:w="189" w:type="dxa"/>
              <w:bottom w:w="101" w:type="dxa"/>
              <w:right w:w="189" w:type="dxa"/>
            </w:tcMar>
            <w:vAlign w:val="center"/>
          </w:tcPr>
          <w:p w14:paraId="09F2155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p>
        </w:tc>
      </w:tr>
      <w:tr w14:paraId="0886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5B791125">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13A1951C">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14:paraId="74873605">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≤0.60</w:t>
            </w:r>
          </w:p>
        </w:tc>
        <w:tc>
          <w:tcPr>
            <w:tcW w:w="3479" w:type="dxa"/>
            <w:vMerge w:val="continue"/>
            <w:vAlign w:val="center"/>
          </w:tcPr>
          <w:p w14:paraId="5B8FF413">
            <w:pPr>
              <w:pStyle w:val="104"/>
              <w:spacing w:line="240" w:lineRule="exact"/>
              <w:jc w:val="center"/>
              <w:rPr>
                <w:rFonts w:ascii="宋体" w:hAnsi="宋体" w:eastAsia="仿宋_GB2312" w:cs="仿宋"/>
                <w:bCs w:val="0"/>
                <w:color w:val="auto"/>
                <w:sz w:val="24"/>
                <w:szCs w:val="21"/>
              </w:rPr>
            </w:pPr>
          </w:p>
        </w:tc>
      </w:tr>
      <w:tr w14:paraId="0487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3535" w:type="dxa"/>
            <w:vMerge w:val="continue"/>
            <w:vAlign w:val="center"/>
          </w:tcPr>
          <w:p w14:paraId="3E36D2E9">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0793BB1A">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14:paraId="22EBE64F">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≤0.40</w:t>
            </w:r>
          </w:p>
        </w:tc>
        <w:tc>
          <w:tcPr>
            <w:tcW w:w="3479" w:type="dxa"/>
            <w:vMerge w:val="restart"/>
            <w:shd w:val="clear" w:color="auto" w:fill="auto"/>
            <w:tcMar>
              <w:top w:w="101" w:type="dxa"/>
              <w:left w:w="189" w:type="dxa"/>
              <w:bottom w:w="101" w:type="dxa"/>
              <w:right w:w="189" w:type="dxa"/>
            </w:tcMar>
            <w:vAlign w:val="center"/>
          </w:tcPr>
          <w:p w14:paraId="3F9A7EF8">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8</w:t>
            </w:r>
          </w:p>
        </w:tc>
      </w:tr>
      <w:tr w14:paraId="6BB9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3535" w:type="dxa"/>
            <w:vMerge w:val="continue"/>
            <w:vAlign w:val="center"/>
          </w:tcPr>
          <w:p w14:paraId="04079FB7">
            <w:pPr>
              <w:pStyle w:val="104"/>
              <w:spacing w:line="240" w:lineRule="exact"/>
              <w:jc w:val="center"/>
              <w:rPr>
                <w:rFonts w:ascii="宋体" w:hAnsi="宋体" w:eastAsia="仿宋_GB2312" w:cs="仿宋"/>
                <w:bCs w:val="0"/>
                <w:color w:val="auto"/>
                <w:sz w:val="24"/>
                <w:szCs w:val="21"/>
              </w:rPr>
            </w:pPr>
          </w:p>
        </w:tc>
        <w:tc>
          <w:tcPr>
            <w:tcW w:w="3451" w:type="dxa"/>
            <w:shd w:val="clear" w:color="auto" w:fill="auto"/>
            <w:tcMar>
              <w:top w:w="101" w:type="dxa"/>
              <w:left w:w="189" w:type="dxa"/>
              <w:bottom w:w="101" w:type="dxa"/>
              <w:right w:w="189" w:type="dxa"/>
            </w:tcMar>
            <w:vAlign w:val="center"/>
          </w:tcPr>
          <w:p w14:paraId="1327E9ED">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473" w:type="dxa"/>
            <w:shd w:val="clear" w:color="auto" w:fill="auto"/>
            <w:tcMar>
              <w:top w:w="101" w:type="dxa"/>
              <w:left w:w="189" w:type="dxa"/>
              <w:bottom w:w="101" w:type="dxa"/>
              <w:right w:w="189" w:type="dxa"/>
            </w:tcMar>
            <w:vAlign w:val="center"/>
          </w:tcPr>
          <w:p w14:paraId="1DEB4FE4">
            <w:pPr>
              <w:pStyle w:val="104"/>
              <w:spacing w:line="240" w:lineRule="exact"/>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≤0.45</w:t>
            </w:r>
          </w:p>
        </w:tc>
        <w:tc>
          <w:tcPr>
            <w:tcW w:w="3479" w:type="dxa"/>
            <w:vMerge w:val="continue"/>
            <w:vAlign w:val="center"/>
          </w:tcPr>
          <w:p w14:paraId="3FD4F597">
            <w:pPr>
              <w:pStyle w:val="104"/>
              <w:rPr>
                <w:rFonts w:ascii="宋体" w:hAnsi="宋体" w:eastAsia="仿宋_GB2312"/>
                <w:bCs w:val="0"/>
                <w:color w:val="auto"/>
                <w:sz w:val="24"/>
              </w:rPr>
            </w:pPr>
          </w:p>
        </w:tc>
      </w:tr>
    </w:tbl>
    <w:p w14:paraId="5EABBA67">
      <w:pPr>
        <w:pStyle w:val="6"/>
        <w:rPr>
          <w:rFonts w:ascii="宋体" w:hAnsi="宋体"/>
          <w:b w:val="0"/>
        </w:rPr>
        <w:sectPr>
          <w:pgSz w:w="16838" w:h="11906" w:orient="landscape"/>
          <w:pgMar w:top="1797" w:right="1440" w:bottom="1797" w:left="1440" w:header="851" w:footer="1587" w:gutter="0"/>
          <w:cols w:space="425" w:num="1"/>
          <w:titlePg/>
          <w:docGrid w:type="linesAndChars" w:linePitch="312" w:charSpace="0"/>
        </w:sectPr>
      </w:pPr>
    </w:p>
    <w:p w14:paraId="38399CE8">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87" w:name="_Toc3128"/>
      <w:bookmarkStart w:id="688" w:name="_Toc26768"/>
      <w:bookmarkStart w:id="689" w:name="_Toc1933"/>
      <w:bookmarkStart w:id="690" w:name="_Toc30792"/>
      <w:bookmarkStart w:id="691" w:name="_Toc88656269"/>
      <w:bookmarkStart w:id="692" w:name="_Toc17510"/>
      <w:r>
        <w:rPr>
          <w:rFonts w:hint="eastAsia" w:ascii="宋体" w:hAnsi="宋体" w:eastAsia="黑体" w:cs="黑体"/>
          <w:b w:val="0"/>
          <w:sz w:val="32"/>
        </w:rPr>
        <w:t>三、开放空间照明控制指引</w:t>
      </w:r>
      <w:bookmarkEnd w:id="687"/>
      <w:bookmarkEnd w:id="688"/>
      <w:bookmarkEnd w:id="689"/>
      <w:bookmarkEnd w:id="690"/>
      <w:bookmarkEnd w:id="691"/>
      <w:bookmarkEnd w:id="692"/>
      <w:r>
        <w:rPr>
          <w:rFonts w:hint="eastAsia" w:ascii="宋体" w:hAnsi="宋体" w:eastAsia="黑体" w:cs="黑体"/>
          <w:b w:val="0"/>
          <w:sz w:val="32"/>
        </w:rPr>
        <w:t xml:space="preserve"> </w:t>
      </w:r>
    </w:p>
    <w:p w14:paraId="3F4CF022">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在照明区域划分的基础上，根据开放空间所在照明分区及位置、尺度、人流量，查表读取规划控制的技术指标（表3</w:t>
      </w:r>
      <w:r>
        <w:rPr>
          <w:rFonts w:hint="eastAsia" w:ascii="宋体" w:hAnsi="宋体" w:eastAsia="仿宋_GB2312"/>
          <w:sz w:val="32"/>
        </w:rPr>
        <w:t>—</w:t>
      </w:r>
      <w:r>
        <w:rPr>
          <w:rFonts w:hint="eastAsia" w:ascii="宋体" w:hAnsi="宋体" w:eastAsia="仿宋_GB2312"/>
          <w:sz w:val="32"/>
          <w:lang w:eastAsia="zh-Hans"/>
        </w:rPr>
        <w:t>15和3</w:t>
      </w:r>
      <w:r>
        <w:rPr>
          <w:rFonts w:hint="eastAsia" w:ascii="宋体" w:hAnsi="宋体" w:eastAsia="仿宋_GB2312"/>
          <w:sz w:val="32"/>
        </w:rPr>
        <w:t>—</w:t>
      </w:r>
      <w:r>
        <w:rPr>
          <w:rFonts w:hint="eastAsia" w:ascii="宋体" w:hAnsi="宋体" w:eastAsia="仿宋_GB2312"/>
          <w:sz w:val="32"/>
          <w:lang w:eastAsia="zh-Hans"/>
        </w:rPr>
        <w:t>16）。通过限定空间的照度、光色、动态，实现对照明空间的量化控制，用于规划管理。见图</w:t>
      </w:r>
      <w:r>
        <w:rPr>
          <w:rFonts w:hint="eastAsia" w:ascii="宋体" w:hAnsi="宋体" w:eastAsia="仿宋_GB2312"/>
          <w:sz w:val="32"/>
        </w:rPr>
        <w:t>1</w:t>
      </w:r>
      <w:r>
        <w:rPr>
          <w:rFonts w:hint="eastAsia" w:ascii="宋体" w:hAnsi="宋体" w:eastAsia="仿宋_GB2312"/>
          <w:sz w:val="32"/>
          <w:lang w:eastAsia="zh-Hans"/>
        </w:rPr>
        <w:t>3</w:t>
      </w:r>
      <w:r>
        <w:rPr>
          <w:rFonts w:hint="eastAsia" w:ascii="宋体" w:hAnsi="宋体" w:eastAsia="仿宋_GB2312"/>
          <w:sz w:val="32"/>
        </w:rPr>
        <w:t>—</w:t>
      </w:r>
      <w:r>
        <w:rPr>
          <w:rFonts w:hint="eastAsia" w:ascii="宋体" w:hAnsi="宋体" w:eastAsia="仿宋_GB2312"/>
          <w:sz w:val="32"/>
          <w:lang w:eastAsia="zh-Hans"/>
        </w:rPr>
        <w:t>3 中心城居民区周边夜间公众活动开放空间规划图。</w:t>
      </w:r>
    </w:p>
    <w:p w14:paraId="3D211EFF">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5</w:t>
      </w:r>
      <w:r>
        <w:rPr>
          <w:rFonts w:hint="eastAsia" w:ascii="宋体" w:hAnsi="宋体"/>
          <w:bCs w:val="0"/>
          <w:sz w:val="24"/>
        </w:rPr>
        <w:t xml:space="preserve"> 广场绿地、</w:t>
      </w:r>
      <w:r>
        <w:rPr>
          <w:rFonts w:ascii="宋体" w:hAnsi="宋体"/>
          <w:bCs w:val="0"/>
          <w:sz w:val="24"/>
        </w:rPr>
        <w:t>人行道、公共活动区和主要出入口的照度标准值</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47"/>
        <w:gridCol w:w="957"/>
        <w:gridCol w:w="1239"/>
        <w:gridCol w:w="1238"/>
        <w:gridCol w:w="1239"/>
        <w:gridCol w:w="1392"/>
        <w:gridCol w:w="1016"/>
      </w:tblGrid>
      <w:tr w14:paraId="34B464B6">
        <w:tblPrEx>
          <w:tblCellMar>
            <w:top w:w="0" w:type="dxa"/>
            <w:left w:w="108" w:type="dxa"/>
            <w:bottom w:w="0" w:type="dxa"/>
            <w:right w:w="108" w:type="dxa"/>
          </w:tblCellMar>
        </w:tblPrEx>
        <w:trPr>
          <w:trHeight w:val="231" w:hRule="atLeast"/>
        </w:trPr>
        <w:tc>
          <w:tcPr>
            <w:tcW w:w="1233" w:type="dxa"/>
            <w:vMerge w:val="restart"/>
            <w:vAlign w:val="center"/>
          </w:tcPr>
          <w:p w14:paraId="2F04618F">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照明</w:t>
            </w:r>
            <w:r>
              <w:rPr>
                <w:rFonts w:ascii="宋体" w:hAnsi="宋体" w:eastAsia="仿宋_GB2312"/>
                <w:bCs w:val="0"/>
                <w:color w:val="auto"/>
                <w:sz w:val="24"/>
                <w:szCs w:val="21"/>
              </w:rPr>
              <w:t>场所</w:t>
            </w:r>
          </w:p>
        </w:tc>
        <w:tc>
          <w:tcPr>
            <w:tcW w:w="747" w:type="dxa"/>
            <w:vMerge w:val="restart"/>
            <w:vAlign w:val="center"/>
          </w:tcPr>
          <w:p w14:paraId="62729215">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绿地</w:t>
            </w:r>
          </w:p>
        </w:tc>
        <w:tc>
          <w:tcPr>
            <w:tcW w:w="957" w:type="dxa"/>
            <w:vMerge w:val="restart"/>
            <w:vAlign w:val="center"/>
          </w:tcPr>
          <w:p w14:paraId="1E180261">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人行道</w:t>
            </w:r>
          </w:p>
        </w:tc>
        <w:tc>
          <w:tcPr>
            <w:tcW w:w="5108" w:type="dxa"/>
            <w:gridSpan w:val="4"/>
            <w:vAlign w:val="center"/>
          </w:tcPr>
          <w:p w14:paraId="5EEAF320">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公共活动区</w:t>
            </w:r>
          </w:p>
        </w:tc>
        <w:tc>
          <w:tcPr>
            <w:tcW w:w="1016" w:type="dxa"/>
            <w:vMerge w:val="restart"/>
            <w:vAlign w:val="center"/>
          </w:tcPr>
          <w:p w14:paraId="36DFFECD">
            <w:pPr>
              <w:pStyle w:val="104"/>
              <w:jc w:val="center"/>
              <w:rPr>
                <w:rFonts w:ascii="宋体" w:hAnsi="宋体" w:eastAsia="仿宋_GB2312"/>
                <w:bCs w:val="0"/>
                <w:color w:val="auto"/>
                <w:sz w:val="24"/>
                <w:szCs w:val="21"/>
              </w:rPr>
            </w:pPr>
            <w:r>
              <w:rPr>
                <w:rFonts w:hint="eastAsia" w:ascii="宋体" w:hAnsi="宋体" w:eastAsia="仿宋_GB2312"/>
                <w:bCs w:val="0"/>
                <w:color w:val="auto"/>
                <w:sz w:val="24"/>
                <w:szCs w:val="21"/>
              </w:rPr>
              <w:t>主要</w:t>
            </w:r>
            <w:r>
              <w:rPr>
                <w:rFonts w:ascii="宋体" w:hAnsi="宋体" w:eastAsia="仿宋_GB2312"/>
                <w:bCs w:val="0"/>
                <w:color w:val="auto"/>
                <w:sz w:val="24"/>
                <w:szCs w:val="21"/>
              </w:rPr>
              <w:t>出入口</w:t>
            </w:r>
          </w:p>
        </w:tc>
      </w:tr>
      <w:tr w14:paraId="6DC9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33" w:type="dxa"/>
            <w:vMerge w:val="continue"/>
          </w:tcPr>
          <w:p w14:paraId="5DC05B3A">
            <w:pPr>
              <w:pStyle w:val="104"/>
              <w:rPr>
                <w:rFonts w:ascii="宋体" w:hAnsi="宋体" w:eastAsia="仿宋_GB2312"/>
                <w:bCs w:val="0"/>
                <w:color w:val="auto"/>
                <w:sz w:val="24"/>
                <w:szCs w:val="21"/>
              </w:rPr>
            </w:pPr>
          </w:p>
        </w:tc>
        <w:tc>
          <w:tcPr>
            <w:tcW w:w="747" w:type="dxa"/>
            <w:vMerge w:val="continue"/>
          </w:tcPr>
          <w:p w14:paraId="1A255D2B">
            <w:pPr>
              <w:pStyle w:val="104"/>
              <w:rPr>
                <w:rFonts w:ascii="宋体" w:hAnsi="宋体" w:eastAsia="仿宋_GB2312"/>
                <w:bCs w:val="0"/>
                <w:color w:val="auto"/>
                <w:sz w:val="24"/>
                <w:szCs w:val="21"/>
              </w:rPr>
            </w:pPr>
          </w:p>
        </w:tc>
        <w:tc>
          <w:tcPr>
            <w:tcW w:w="957" w:type="dxa"/>
            <w:vMerge w:val="continue"/>
          </w:tcPr>
          <w:p w14:paraId="49F41064">
            <w:pPr>
              <w:pStyle w:val="104"/>
              <w:rPr>
                <w:rFonts w:ascii="宋体" w:hAnsi="宋体" w:eastAsia="仿宋_GB2312"/>
                <w:bCs w:val="0"/>
                <w:color w:val="auto"/>
                <w:sz w:val="24"/>
                <w:szCs w:val="21"/>
              </w:rPr>
            </w:pPr>
          </w:p>
        </w:tc>
        <w:tc>
          <w:tcPr>
            <w:tcW w:w="1239" w:type="dxa"/>
          </w:tcPr>
          <w:p w14:paraId="32113802">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市政广场</w:t>
            </w:r>
          </w:p>
        </w:tc>
        <w:tc>
          <w:tcPr>
            <w:tcW w:w="1238" w:type="dxa"/>
          </w:tcPr>
          <w:p w14:paraId="03E4A38C">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交通广场</w:t>
            </w:r>
          </w:p>
        </w:tc>
        <w:tc>
          <w:tcPr>
            <w:tcW w:w="1239" w:type="dxa"/>
          </w:tcPr>
          <w:p w14:paraId="0428C75B">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商业广场</w:t>
            </w:r>
          </w:p>
        </w:tc>
        <w:tc>
          <w:tcPr>
            <w:tcW w:w="1392" w:type="dxa"/>
          </w:tcPr>
          <w:p w14:paraId="4A9E1594">
            <w:pPr>
              <w:pStyle w:val="104"/>
              <w:rPr>
                <w:rFonts w:ascii="宋体" w:hAnsi="宋体" w:eastAsia="仿宋_GB2312"/>
                <w:bCs w:val="0"/>
                <w:color w:val="auto"/>
                <w:sz w:val="24"/>
                <w:szCs w:val="21"/>
              </w:rPr>
            </w:pPr>
            <w:r>
              <w:rPr>
                <w:rFonts w:hint="eastAsia" w:ascii="宋体" w:hAnsi="宋体" w:eastAsia="仿宋_GB2312"/>
                <w:bCs w:val="0"/>
                <w:color w:val="auto"/>
                <w:sz w:val="24"/>
                <w:szCs w:val="21"/>
              </w:rPr>
              <w:t>其他广场</w:t>
            </w:r>
          </w:p>
        </w:tc>
        <w:tc>
          <w:tcPr>
            <w:tcW w:w="1016" w:type="dxa"/>
            <w:vMerge w:val="continue"/>
          </w:tcPr>
          <w:p w14:paraId="21BE1276">
            <w:pPr>
              <w:pStyle w:val="104"/>
              <w:rPr>
                <w:rFonts w:ascii="宋体" w:hAnsi="宋体" w:eastAsia="仿宋_GB2312"/>
                <w:bCs w:val="0"/>
                <w:color w:val="auto"/>
                <w:sz w:val="24"/>
                <w:szCs w:val="21"/>
              </w:rPr>
            </w:pPr>
          </w:p>
        </w:tc>
      </w:tr>
      <w:tr w14:paraId="2EBF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233" w:type="dxa"/>
            <w:vAlign w:val="center"/>
          </w:tcPr>
          <w:p w14:paraId="7F30EBBE">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水平照度（lx）</w:t>
            </w:r>
          </w:p>
        </w:tc>
        <w:tc>
          <w:tcPr>
            <w:tcW w:w="747" w:type="dxa"/>
            <w:vAlign w:val="center"/>
          </w:tcPr>
          <w:p w14:paraId="620EA1ED">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w:t>
            </w:r>
          </w:p>
        </w:tc>
        <w:tc>
          <w:tcPr>
            <w:tcW w:w="957" w:type="dxa"/>
            <w:vAlign w:val="center"/>
          </w:tcPr>
          <w:p w14:paraId="2973508A">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r>
              <w:rPr>
                <w:rFonts w:ascii="宋体" w:hAnsi="宋体" w:eastAsia="仿宋_GB2312" w:cs="仿宋"/>
                <w:bCs w:val="0"/>
                <w:color w:val="auto"/>
                <w:sz w:val="24"/>
                <w:szCs w:val="21"/>
              </w:rPr>
              <w:t>10</w:t>
            </w:r>
          </w:p>
        </w:tc>
        <w:tc>
          <w:tcPr>
            <w:tcW w:w="1239" w:type="dxa"/>
            <w:vAlign w:val="center"/>
          </w:tcPr>
          <w:p w14:paraId="223530CE">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15—</w:t>
            </w:r>
            <w:r>
              <w:rPr>
                <w:rFonts w:ascii="宋体" w:hAnsi="宋体" w:eastAsia="仿宋_GB2312" w:cs="仿宋"/>
                <w:bCs w:val="0"/>
                <w:color w:val="auto"/>
                <w:sz w:val="24"/>
                <w:szCs w:val="21"/>
              </w:rPr>
              <w:t>25</w:t>
            </w:r>
          </w:p>
        </w:tc>
        <w:tc>
          <w:tcPr>
            <w:tcW w:w="1238" w:type="dxa"/>
            <w:vAlign w:val="center"/>
          </w:tcPr>
          <w:p w14:paraId="3CA196C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w:t>
            </w:r>
            <w:r>
              <w:rPr>
                <w:rFonts w:ascii="宋体" w:hAnsi="宋体" w:eastAsia="仿宋_GB2312" w:cs="仿宋"/>
                <w:bCs w:val="0"/>
                <w:color w:val="auto"/>
                <w:sz w:val="24"/>
                <w:szCs w:val="21"/>
              </w:rPr>
              <w:t>0</w:t>
            </w:r>
            <w:r>
              <w:rPr>
                <w:rFonts w:hint="eastAsia" w:ascii="宋体" w:hAnsi="宋体" w:eastAsia="仿宋_GB2312" w:cs="仿宋"/>
                <w:bCs w:val="0"/>
                <w:color w:val="auto"/>
                <w:sz w:val="24"/>
                <w:szCs w:val="21"/>
              </w:rPr>
              <w:t>—</w:t>
            </w:r>
            <w:r>
              <w:rPr>
                <w:rFonts w:ascii="宋体" w:hAnsi="宋体" w:eastAsia="仿宋_GB2312" w:cs="仿宋"/>
                <w:bCs w:val="0"/>
                <w:color w:val="auto"/>
                <w:sz w:val="24"/>
                <w:szCs w:val="21"/>
              </w:rPr>
              <w:t>20</w:t>
            </w:r>
          </w:p>
        </w:tc>
        <w:tc>
          <w:tcPr>
            <w:tcW w:w="1239" w:type="dxa"/>
            <w:vAlign w:val="center"/>
          </w:tcPr>
          <w:p w14:paraId="0E7DA42C">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r>
              <w:rPr>
                <w:rFonts w:ascii="宋体" w:hAnsi="宋体" w:eastAsia="仿宋_GB2312" w:cs="仿宋"/>
                <w:bCs w:val="0"/>
                <w:color w:val="auto"/>
                <w:sz w:val="24"/>
                <w:szCs w:val="21"/>
              </w:rPr>
              <w:t>20</w:t>
            </w:r>
          </w:p>
        </w:tc>
        <w:tc>
          <w:tcPr>
            <w:tcW w:w="1392" w:type="dxa"/>
            <w:vAlign w:val="center"/>
          </w:tcPr>
          <w:p w14:paraId="4047D020">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r>
              <w:rPr>
                <w:rFonts w:ascii="宋体" w:hAnsi="宋体" w:eastAsia="仿宋_GB2312" w:cs="仿宋"/>
                <w:bCs w:val="0"/>
                <w:color w:val="auto"/>
                <w:sz w:val="24"/>
                <w:szCs w:val="21"/>
              </w:rPr>
              <w:t>10</w:t>
            </w:r>
          </w:p>
        </w:tc>
        <w:tc>
          <w:tcPr>
            <w:tcW w:w="1016" w:type="dxa"/>
            <w:vAlign w:val="center"/>
          </w:tcPr>
          <w:p w14:paraId="0CAEA85F">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20—</w:t>
            </w:r>
            <w:r>
              <w:rPr>
                <w:rFonts w:ascii="宋体" w:hAnsi="宋体" w:eastAsia="仿宋_GB2312" w:cs="仿宋"/>
                <w:bCs w:val="0"/>
                <w:color w:val="auto"/>
                <w:sz w:val="24"/>
                <w:szCs w:val="21"/>
              </w:rPr>
              <w:t>30</w:t>
            </w:r>
          </w:p>
        </w:tc>
      </w:tr>
      <w:tr w14:paraId="5111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9061" w:type="dxa"/>
            <w:gridSpan w:val="8"/>
          </w:tcPr>
          <w:p w14:paraId="25854E8D">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注：1、人行道的最小水平照度为2～5lx；2、人行道的最小半柱面照度为2lx。</w:t>
            </w:r>
          </w:p>
        </w:tc>
      </w:tr>
    </w:tbl>
    <w:p w14:paraId="3811CFB9">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 xml:space="preserve">6 </w:t>
      </w:r>
      <w:r>
        <w:rPr>
          <w:rFonts w:hint="eastAsia" w:ascii="宋体" w:hAnsi="宋体"/>
          <w:bCs w:val="0"/>
          <w:sz w:val="24"/>
        </w:rPr>
        <w:t>公园公共活动区域的照度标准值</w:t>
      </w:r>
    </w:p>
    <w:tbl>
      <w:tblPr>
        <w:tblStyle w:val="90"/>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2751"/>
        <w:gridCol w:w="3338"/>
      </w:tblGrid>
      <w:tr w14:paraId="369C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vAlign w:val="center"/>
          </w:tcPr>
          <w:p w14:paraId="31BF1837">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区域</w:t>
            </w:r>
          </w:p>
        </w:tc>
        <w:tc>
          <w:tcPr>
            <w:tcW w:w="2751" w:type="dxa"/>
            <w:vAlign w:val="center"/>
          </w:tcPr>
          <w:p w14:paraId="0FB6A7C9">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最小平均水平照度Eh,min(lx)</w:t>
            </w:r>
          </w:p>
        </w:tc>
        <w:tc>
          <w:tcPr>
            <w:tcW w:w="3338" w:type="dxa"/>
            <w:vAlign w:val="center"/>
          </w:tcPr>
          <w:p w14:paraId="39A78AD2">
            <w:pPr>
              <w:pStyle w:val="104"/>
              <w:jc w:val="center"/>
              <w:rPr>
                <w:rFonts w:ascii="宋体" w:hAnsi="宋体" w:eastAsia="PMingLiU"/>
                <w:bCs w:val="0"/>
                <w:color w:val="auto"/>
                <w:sz w:val="24"/>
                <w:szCs w:val="21"/>
                <w:lang w:val="zh-TW" w:eastAsia="zh-TW"/>
              </w:rPr>
            </w:pPr>
            <w:r>
              <w:rPr>
                <w:rFonts w:hint="eastAsia" w:ascii="宋体" w:hAnsi="宋体" w:eastAsia="仿宋_GB2312"/>
                <w:bCs w:val="0"/>
                <w:color w:val="auto"/>
                <w:sz w:val="24"/>
                <w:szCs w:val="21"/>
                <w:lang w:val="zh-TW" w:eastAsia="zh-TW"/>
              </w:rPr>
              <w:t>最小半柱面照度</w:t>
            </w:r>
          </w:p>
          <w:p w14:paraId="35169E98">
            <w:pPr>
              <w:pStyle w:val="104"/>
              <w:jc w:val="center"/>
              <w:rPr>
                <w:rFonts w:ascii="宋体" w:hAnsi="宋体" w:eastAsia="仿宋_GB2312"/>
                <w:bCs w:val="0"/>
                <w:color w:val="auto"/>
                <w:sz w:val="24"/>
                <w:szCs w:val="21"/>
                <w:lang w:val="zh-TW" w:eastAsia="zh-TW"/>
              </w:rPr>
            </w:pPr>
            <w:r>
              <w:rPr>
                <w:rFonts w:hint="eastAsia" w:ascii="宋体" w:hAnsi="宋体" w:eastAsia="仿宋_GB2312"/>
                <w:bCs w:val="0"/>
                <w:color w:val="auto"/>
                <w:sz w:val="24"/>
                <w:szCs w:val="21"/>
                <w:lang w:val="zh-TW" w:eastAsia="zh-TW"/>
              </w:rPr>
              <w:t>Esc,min(lx)</w:t>
            </w:r>
          </w:p>
        </w:tc>
      </w:tr>
      <w:tr w14:paraId="6129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tcPr>
          <w:p w14:paraId="7E801A73">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人行道</w:t>
            </w:r>
            <w:r>
              <w:rPr>
                <w:rFonts w:ascii="宋体" w:hAnsi="宋体" w:eastAsia="仿宋_GB2312" w:cs="仿宋"/>
                <w:bCs w:val="0"/>
                <w:color w:val="auto"/>
                <w:sz w:val="24"/>
                <w:szCs w:val="21"/>
              </w:rPr>
              <w:t>、非机动车道</w:t>
            </w:r>
          </w:p>
        </w:tc>
        <w:tc>
          <w:tcPr>
            <w:tcW w:w="2751" w:type="dxa"/>
            <w:vAlign w:val="center"/>
          </w:tcPr>
          <w:p w14:paraId="5822DCAB">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c>
          <w:tcPr>
            <w:tcW w:w="3338" w:type="dxa"/>
            <w:vAlign w:val="center"/>
          </w:tcPr>
          <w:p w14:paraId="68054965">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2</w:t>
            </w:r>
          </w:p>
        </w:tc>
      </w:tr>
      <w:tr w14:paraId="4BD0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972" w:type="dxa"/>
          </w:tcPr>
          <w:p w14:paraId="0B0B3DF5">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庭园</w:t>
            </w:r>
            <w:r>
              <w:rPr>
                <w:rFonts w:ascii="宋体" w:hAnsi="宋体" w:eastAsia="仿宋_GB2312" w:cs="仿宋"/>
                <w:bCs w:val="0"/>
                <w:color w:val="auto"/>
                <w:sz w:val="24"/>
                <w:szCs w:val="21"/>
              </w:rPr>
              <w:t>、平台</w:t>
            </w:r>
          </w:p>
        </w:tc>
        <w:tc>
          <w:tcPr>
            <w:tcW w:w="2751" w:type="dxa"/>
            <w:vAlign w:val="center"/>
          </w:tcPr>
          <w:p w14:paraId="5E6CDAFE">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5</w:t>
            </w:r>
          </w:p>
        </w:tc>
        <w:tc>
          <w:tcPr>
            <w:tcW w:w="3338" w:type="dxa"/>
            <w:vAlign w:val="center"/>
          </w:tcPr>
          <w:p w14:paraId="219AB565">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3</w:t>
            </w:r>
          </w:p>
        </w:tc>
      </w:tr>
      <w:tr w14:paraId="03B2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72" w:type="dxa"/>
          </w:tcPr>
          <w:p w14:paraId="7A2B11D8">
            <w:pPr>
              <w:pStyle w:val="104"/>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儿童</w:t>
            </w:r>
            <w:r>
              <w:rPr>
                <w:rFonts w:ascii="宋体" w:hAnsi="宋体" w:eastAsia="仿宋_GB2312" w:cs="仿宋"/>
                <w:bCs w:val="0"/>
                <w:color w:val="auto"/>
                <w:sz w:val="24"/>
                <w:szCs w:val="21"/>
              </w:rPr>
              <w:t>游戏场地</w:t>
            </w:r>
          </w:p>
        </w:tc>
        <w:tc>
          <w:tcPr>
            <w:tcW w:w="2751" w:type="dxa"/>
            <w:vAlign w:val="center"/>
          </w:tcPr>
          <w:p w14:paraId="268A1A2A">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10</w:t>
            </w:r>
          </w:p>
        </w:tc>
        <w:tc>
          <w:tcPr>
            <w:tcW w:w="3338" w:type="dxa"/>
            <w:vAlign w:val="center"/>
          </w:tcPr>
          <w:p w14:paraId="507952DD">
            <w:pPr>
              <w:pStyle w:val="104"/>
              <w:jc w:val="center"/>
              <w:rPr>
                <w:rFonts w:ascii="宋体" w:hAnsi="宋体" w:eastAsia="仿宋_GB2312" w:cs="仿宋"/>
                <w:bCs w:val="0"/>
                <w:color w:val="auto"/>
                <w:sz w:val="24"/>
                <w:szCs w:val="21"/>
              </w:rPr>
            </w:pPr>
            <w:r>
              <w:rPr>
                <w:rFonts w:hint="eastAsia" w:ascii="宋体" w:hAnsi="宋体" w:eastAsia="仿宋_GB2312" w:cs="仿宋"/>
                <w:bCs w:val="0"/>
                <w:color w:val="auto"/>
                <w:sz w:val="24"/>
                <w:szCs w:val="21"/>
              </w:rPr>
              <w:t>4</w:t>
            </w:r>
          </w:p>
        </w:tc>
      </w:tr>
      <w:bookmarkEnd w:id="686"/>
    </w:tbl>
    <w:p w14:paraId="0015E9C1">
      <w:pPr>
        <w:pStyle w:val="6"/>
        <w:keepNext w:val="0"/>
        <w:keepLines w:val="0"/>
        <w:adjustRightInd w:val="0"/>
        <w:spacing w:before="0" w:beforeLines="0" w:after="0" w:afterLines="0"/>
        <w:ind w:firstLine="640" w:firstLineChars="200"/>
        <w:rPr>
          <w:rFonts w:ascii="宋体" w:hAnsi="宋体" w:eastAsia="黑体" w:cs="黑体"/>
          <w:b w:val="0"/>
          <w:sz w:val="32"/>
        </w:rPr>
      </w:pPr>
      <w:bookmarkStart w:id="693" w:name="_Toc31227"/>
      <w:bookmarkStart w:id="694" w:name="_Toc2594"/>
      <w:bookmarkStart w:id="695" w:name="_Toc88656270"/>
      <w:bookmarkStart w:id="696" w:name="_Toc9757"/>
      <w:bookmarkStart w:id="697" w:name="_Toc2512"/>
      <w:bookmarkStart w:id="698" w:name="_Toc8222"/>
      <w:bookmarkStart w:id="699" w:name="_Hlk87457008"/>
      <w:r>
        <w:rPr>
          <w:rFonts w:hint="eastAsia" w:ascii="宋体" w:hAnsi="宋体" w:eastAsia="黑体" w:cs="黑体"/>
          <w:b w:val="0"/>
          <w:sz w:val="32"/>
        </w:rPr>
        <w:t>四、广告标识亮度指标</w:t>
      </w:r>
      <w:bookmarkEnd w:id="693"/>
      <w:bookmarkEnd w:id="694"/>
      <w:bookmarkEnd w:id="695"/>
      <w:bookmarkEnd w:id="696"/>
      <w:bookmarkEnd w:id="697"/>
      <w:bookmarkEnd w:id="698"/>
      <w:r>
        <w:rPr>
          <w:rFonts w:hint="eastAsia" w:ascii="宋体" w:hAnsi="宋体" w:eastAsia="黑体" w:cs="黑体"/>
          <w:b w:val="0"/>
          <w:sz w:val="32"/>
        </w:rPr>
        <w:t xml:space="preserve"> </w:t>
      </w:r>
    </w:p>
    <w:p w14:paraId="1E3A78F5">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加强对广告标识的照明控制，平均亮度最大允许值不应大于表3</w:t>
      </w:r>
      <w:r>
        <w:rPr>
          <w:rFonts w:hint="eastAsia" w:ascii="宋体" w:hAnsi="宋体" w:eastAsia="仿宋_GB2312"/>
          <w:sz w:val="32"/>
        </w:rPr>
        <w:t>—</w:t>
      </w:r>
      <w:r>
        <w:rPr>
          <w:rFonts w:hint="eastAsia" w:ascii="宋体" w:hAnsi="宋体" w:eastAsia="仿宋_GB2312"/>
          <w:sz w:val="32"/>
          <w:lang w:eastAsia="zh-Hans"/>
        </w:rPr>
        <w:t>1</w:t>
      </w:r>
      <w:r>
        <w:rPr>
          <w:rFonts w:hint="eastAsia" w:ascii="宋体" w:hAnsi="宋体" w:eastAsia="仿宋_GB2312"/>
          <w:sz w:val="32"/>
        </w:rPr>
        <w:t>7</w:t>
      </w:r>
      <w:r>
        <w:rPr>
          <w:rFonts w:hint="eastAsia" w:ascii="宋体" w:hAnsi="宋体" w:eastAsia="仿宋_GB2312"/>
          <w:sz w:val="32"/>
          <w:lang w:eastAsia="zh-Hans"/>
        </w:rPr>
        <w:t>的规定。</w:t>
      </w:r>
    </w:p>
    <w:p w14:paraId="28966615">
      <w:pPr>
        <w:pStyle w:val="205"/>
        <w:spacing w:before="156" w:after="156"/>
        <w:rPr>
          <w:rFonts w:ascii="宋体" w:hAnsi="宋体"/>
          <w:bCs w:val="0"/>
          <w:sz w:val="24"/>
        </w:rPr>
      </w:pPr>
      <w:r>
        <w:rPr>
          <w:rFonts w:hint="eastAsia" w:ascii="宋体" w:hAnsi="宋体"/>
          <w:bCs w:val="0"/>
          <w:sz w:val="24"/>
        </w:rPr>
        <w:t>表</w:t>
      </w:r>
      <w:r>
        <w:rPr>
          <w:rFonts w:ascii="宋体" w:hAnsi="宋体"/>
          <w:bCs w:val="0"/>
          <w:sz w:val="24"/>
        </w:rPr>
        <w:t>1</w:t>
      </w:r>
      <w:r>
        <w:rPr>
          <w:rFonts w:hint="eastAsia" w:ascii="宋体" w:hAnsi="宋体"/>
          <w:bCs w:val="0"/>
          <w:sz w:val="24"/>
        </w:rPr>
        <w:t>3—1</w:t>
      </w:r>
      <w:r>
        <w:rPr>
          <w:rFonts w:ascii="宋体" w:hAnsi="宋体"/>
          <w:bCs w:val="0"/>
          <w:sz w:val="24"/>
        </w:rPr>
        <w:t xml:space="preserve">7 </w:t>
      </w:r>
      <w:bookmarkStart w:id="700" w:name="_Hlk86308613"/>
      <w:r>
        <w:rPr>
          <w:rFonts w:hint="eastAsia" w:ascii="宋体" w:hAnsi="宋体"/>
          <w:bCs w:val="0"/>
          <w:sz w:val="24"/>
        </w:rPr>
        <w:t>LED显示屏、广告标识光污染控制限值表</w:t>
      </w:r>
      <w:bookmarkEnd w:id="700"/>
    </w:p>
    <w:tbl>
      <w:tblPr>
        <w:tblStyle w:val="8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5"/>
        <w:gridCol w:w="1507"/>
        <w:gridCol w:w="1569"/>
        <w:gridCol w:w="1570"/>
        <w:gridCol w:w="1569"/>
        <w:gridCol w:w="1581"/>
      </w:tblGrid>
      <w:tr w14:paraId="6ED1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1265" w:type="dxa"/>
            <w:shd w:val="clear" w:color="auto" w:fill="auto"/>
            <w:tcMar>
              <w:top w:w="15" w:type="dxa"/>
              <w:left w:w="108" w:type="dxa"/>
              <w:bottom w:w="0" w:type="dxa"/>
              <w:right w:w="108" w:type="dxa"/>
            </w:tcMar>
            <w:vAlign w:val="center"/>
          </w:tcPr>
          <w:p w14:paraId="285C7D2B">
            <w:pPr>
              <w:pStyle w:val="190"/>
              <w:kinsoku w:val="0"/>
              <w:overflowPunct w:val="0"/>
              <w:jc w:val="center"/>
              <w:rPr>
                <w:rFonts w:ascii="宋体" w:hAnsi="宋体" w:eastAsia="仿宋_GB2312" w:cs="仿宋"/>
                <w:szCs w:val="21"/>
              </w:rPr>
            </w:pPr>
            <w:r>
              <w:rPr>
                <w:rFonts w:hint="eastAsia" w:ascii="宋体" w:hAnsi="宋体" w:eastAsia="仿宋_GB2312" w:cs="仿宋"/>
                <w:szCs w:val="21"/>
              </w:rPr>
              <w:t>控制类型</w:t>
            </w:r>
          </w:p>
        </w:tc>
        <w:tc>
          <w:tcPr>
            <w:tcW w:w="1507" w:type="dxa"/>
            <w:shd w:val="clear" w:color="auto" w:fill="auto"/>
            <w:tcMar>
              <w:top w:w="15" w:type="dxa"/>
              <w:left w:w="108" w:type="dxa"/>
              <w:bottom w:w="0" w:type="dxa"/>
              <w:right w:w="108" w:type="dxa"/>
            </w:tcMar>
            <w:vAlign w:val="center"/>
          </w:tcPr>
          <w:p w14:paraId="7E5EFD7B">
            <w:pPr>
              <w:pStyle w:val="190"/>
              <w:kinsoku w:val="0"/>
              <w:overflowPunct w:val="0"/>
              <w:jc w:val="center"/>
              <w:rPr>
                <w:rFonts w:ascii="宋体" w:hAnsi="宋体" w:eastAsia="仿宋_GB2312" w:cs="仿宋"/>
                <w:szCs w:val="21"/>
              </w:rPr>
            </w:pPr>
            <w:r>
              <w:rPr>
                <w:rFonts w:hint="eastAsia" w:ascii="宋体" w:hAnsi="宋体" w:eastAsia="仿宋_GB2312" w:cs="仿宋"/>
                <w:szCs w:val="21"/>
              </w:rPr>
              <w:t>LED显示屏</w:t>
            </w:r>
          </w:p>
        </w:tc>
        <w:tc>
          <w:tcPr>
            <w:tcW w:w="6289" w:type="dxa"/>
            <w:gridSpan w:val="4"/>
            <w:shd w:val="clear" w:color="auto" w:fill="auto"/>
            <w:tcMar>
              <w:top w:w="15" w:type="dxa"/>
              <w:left w:w="108" w:type="dxa"/>
              <w:bottom w:w="0" w:type="dxa"/>
              <w:right w:w="108" w:type="dxa"/>
            </w:tcMar>
            <w:vAlign w:val="center"/>
          </w:tcPr>
          <w:p w14:paraId="2D1D55F4">
            <w:pPr>
              <w:pStyle w:val="190"/>
              <w:kinsoku w:val="0"/>
              <w:overflowPunct w:val="0"/>
              <w:jc w:val="center"/>
              <w:rPr>
                <w:rFonts w:ascii="宋体" w:hAnsi="宋体" w:eastAsia="仿宋_GB2312" w:cs="仿宋"/>
                <w:szCs w:val="21"/>
              </w:rPr>
            </w:pPr>
            <w:r>
              <w:rPr>
                <w:rFonts w:hint="eastAsia" w:ascii="宋体" w:hAnsi="宋体" w:eastAsia="仿宋_GB2312" w:cs="仿宋"/>
                <w:szCs w:val="21"/>
              </w:rPr>
              <w:t>广告标识</w:t>
            </w:r>
          </w:p>
        </w:tc>
      </w:tr>
      <w:tr w14:paraId="6BAA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6" w:hRule="exact"/>
        </w:trPr>
        <w:tc>
          <w:tcPr>
            <w:tcW w:w="1265" w:type="dxa"/>
            <w:shd w:val="clear" w:color="auto" w:fill="auto"/>
            <w:tcMar>
              <w:top w:w="15" w:type="dxa"/>
              <w:left w:w="108" w:type="dxa"/>
              <w:bottom w:w="0" w:type="dxa"/>
              <w:right w:w="108" w:type="dxa"/>
            </w:tcMar>
            <w:vAlign w:val="center"/>
          </w:tcPr>
          <w:p w14:paraId="64ABBF3B">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照明项目</w:t>
            </w:r>
          </w:p>
        </w:tc>
        <w:tc>
          <w:tcPr>
            <w:tcW w:w="1507" w:type="dxa"/>
            <w:shd w:val="clear" w:color="auto" w:fill="auto"/>
            <w:tcMar>
              <w:top w:w="15" w:type="dxa"/>
              <w:left w:w="108" w:type="dxa"/>
              <w:bottom w:w="0" w:type="dxa"/>
              <w:right w:w="108" w:type="dxa"/>
            </w:tcMar>
            <w:vAlign w:val="center"/>
          </w:tcPr>
          <w:p w14:paraId="3D18D621">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5B106185">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69" w:type="dxa"/>
            <w:shd w:val="clear" w:color="auto" w:fill="auto"/>
            <w:tcMar>
              <w:top w:w="15" w:type="dxa"/>
              <w:left w:w="108" w:type="dxa"/>
              <w:bottom w:w="0" w:type="dxa"/>
              <w:right w:w="108" w:type="dxa"/>
            </w:tcMar>
            <w:vAlign w:val="center"/>
          </w:tcPr>
          <w:p w14:paraId="6BA0B5A0">
            <w:pPr>
              <w:pStyle w:val="190"/>
              <w:kinsoku w:val="0"/>
              <w:overflowPunct w:val="0"/>
              <w:jc w:val="center"/>
              <w:rPr>
                <w:rFonts w:ascii="宋体" w:hAnsi="宋体" w:eastAsia="仿宋_GB2312" w:cs="仿宋"/>
                <w:szCs w:val="21"/>
              </w:rPr>
            </w:pPr>
            <w:r>
              <w:rPr>
                <w:rFonts w:hint="eastAsia" w:ascii="宋体" w:hAnsi="宋体" w:eastAsia="仿宋_GB2312" w:cs="仿宋"/>
                <w:szCs w:val="21"/>
              </w:rPr>
              <w:t>S≤0.5</w:t>
            </w:r>
          </w:p>
          <w:p w14:paraId="22226215">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2A6808AA">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70" w:type="dxa"/>
            <w:shd w:val="clear" w:color="auto" w:fill="auto"/>
            <w:tcMar>
              <w:top w:w="15" w:type="dxa"/>
              <w:left w:w="108" w:type="dxa"/>
              <w:bottom w:w="0" w:type="dxa"/>
              <w:right w:w="108" w:type="dxa"/>
            </w:tcMar>
            <w:vAlign w:val="center"/>
          </w:tcPr>
          <w:p w14:paraId="4E9961BB">
            <w:pPr>
              <w:pStyle w:val="190"/>
              <w:kinsoku w:val="0"/>
              <w:overflowPunct w:val="0"/>
              <w:jc w:val="center"/>
              <w:rPr>
                <w:rFonts w:ascii="宋体" w:hAnsi="宋体" w:eastAsia="仿宋_GB2312" w:cs="仿宋"/>
                <w:szCs w:val="21"/>
              </w:rPr>
            </w:pPr>
            <w:r>
              <w:rPr>
                <w:rFonts w:hint="eastAsia" w:ascii="宋体" w:hAnsi="宋体" w:eastAsia="仿宋_GB2312" w:cs="仿宋"/>
                <w:szCs w:val="21"/>
              </w:rPr>
              <w:t>0.5＜S≤2</w:t>
            </w:r>
          </w:p>
          <w:p w14:paraId="287AC7C2">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2FB3CBA8">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69" w:type="dxa"/>
            <w:shd w:val="clear" w:color="auto" w:fill="auto"/>
            <w:tcMar>
              <w:top w:w="15" w:type="dxa"/>
              <w:left w:w="108" w:type="dxa"/>
              <w:bottom w:w="0" w:type="dxa"/>
              <w:right w:w="108" w:type="dxa"/>
            </w:tcMar>
            <w:vAlign w:val="center"/>
          </w:tcPr>
          <w:p w14:paraId="2901F34D">
            <w:pPr>
              <w:pStyle w:val="190"/>
              <w:kinsoku w:val="0"/>
              <w:overflowPunct w:val="0"/>
              <w:jc w:val="center"/>
              <w:rPr>
                <w:rFonts w:ascii="宋体" w:hAnsi="宋体" w:eastAsia="仿宋_GB2312" w:cs="仿宋"/>
                <w:szCs w:val="21"/>
              </w:rPr>
            </w:pPr>
            <w:r>
              <w:rPr>
                <w:rFonts w:hint="eastAsia" w:ascii="宋体" w:hAnsi="宋体" w:eastAsia="仿宋_GB2312" w:cs="仿宋"/>
                <w:szCs w:val="21"/>
              </w:rPr>
              <w:t>2＜S≤10</w:t>
            </w:r>
          </w:p>
          <w:p w14:paraId="28F963DB">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30D8F44A">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581" w:type="dxa"/>
            <w:shd w:val="clear" w:color="auto" w:fill="auto"/>
            <w:tcMar>
              <w:top w:w="15" w:type="dxa"/>
              <w:left w:w="108" w:type="dxa"/>
              <w:bottom w:w="0" w:type="dxa"/>
              <w:right w:w="108" w:type="dxa"/>
            </w:tcMar>
            <w:vAlign w:val="center"/>
          </w:tcPr>
          <w:p w14:paraId="430414E0">
            <w:pPr>
              <w:pStyle w:val="190"/>
              <w:kinsoku w:val="0"/>
              <w:overflowPunct w:val="0"/>
              <w:jc w:val="center"/>
              <w:rPr>
                <w:rFonts w:ascii="宋体" w:hAnsi="宋体" w:eastAsia="仿宋_GB2312" w:cs="仿宋"/>
                <w:szCs w:val="21"/>
              </w:rPr>
            </w:pPr>
            <w:r>
              <w:rPr>
                <w:rFonts w:hint="eastAsia" w:ascii="宋体" w:hAnsi="宋体" w:eastAsia="仿宋_GB2312" w:cs="仿宋"/>
                <w:szCs w:val="21"/>
              </w:rPr>
              <w:t>S＞10</w:t>
            </w:r>
          </w:p>
          <w:p w14:paraId="5E760528">
            <w:pPr>
              <w:pStyle w:val="190"/>
              <w:kinsoku w:val="0"/>
              <w:overflowPunct w:val="0"/>
              <w:jc w:val="center"/>
              <w:rPr>
                <w:rFonts w:ascii="宋体" w:hAnsi="宋体" w:eastAsia="仿宋_GB2312" w:cs="仿宋"/>
                <w:szCs w:val="21"/>
              </w:rPr>
            </w:pPr>
            <w:r>
              <w:rPr>
                <w:rFonts w:hint="eastAsia" w:ascii="宋体" w:hAnsi="宋体" w:eastAsia="仿宋_GB2312" w:cs="仿宋"/>
                <w:szCs w:val="21"/>
              </w:rPr>
              <w:t>平均亮度</w:t>
            </w:r>
          </w:p>
          <w:p w14:paraId="30845340">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r>
      <w:tr w14:paraId="07E6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14:paraId="10A45F17">
            <w:pPr>
              <w:pStyle w:val="210"/>
              <w:spacing w:line="240" w:lineRule="exact"/>
              <w:rPr>
                <w:rFonts w:ascii="宋体" w:hAnsi="宋体" w:eastAsia="仿宋_GB2312" w:cs="宋体"/>
                <w:sz w:val="24"/>
              </w:rPr>
            </w:pPr>
            <w:r>
              <w:rPr>
                <w:rFonts w:hint="eastAsia" w:ascii="宋体" w:hAnsi="宋体" w:eastAsia="仿宋_GB2312" w:cs="宋体"/>
                <w:sz w:val="24"/>
              </w:rPr>
              <w:t>IV类城市照明区</w:t>
            </w:r>
          </w:p>
        </w:tc>
        <w:tc>
          <w:tcPr>
            <w:tcW w:w="1507" w:type="dxa"/>
            <w:shd w:val="clear" w:color="auto" w:fill="auto"/>
            <w:tcMar>
              <w:top w:w="15" w:type="dxa"/>
              <w:left w:w="108" w:type="dxa"/>
              <w:bottom w:w="0" w:type="dxa"/>
              <w:right w:w="108" w:type="dxa"/>
            </w:tcMar>
            <w:vAlign w:val="center"/>
          </w:tcPr>
          <w:p w14:paraId="4A2A6CE0">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69" w:type="dxa"/>
            <w:shd w:val="clear" w:color="auto" w:fill="auto"/>
            <w:tcMar>
              <w:top w:w="15" w:type="dxa"/>
              <w:left w:w="108" w:type="dxa"/>
              <w:bottom w:w="0" w:type="dxa"/>
              <w:right w:w="108" w:type="dxa"/>
            </w:tcMar>
            <w:vAlign w:val="center"/>
          </w:tcPr>
          <w:p w14:paraId="2CE82034">
            <w:pPr>
              <w:pStyle w:val="210"/>
              <w:spacing w:line="240" w:lineRule="exact"/>
              <w:rPr>
                <w:rFonts w:ascii="宋体" w:hAnsi="宋体" w:eastAsia="仿宋_GB2312" w:cs="宋体"/>
                <w:sz w:val="24"/>
              </w:rPr>
            </w:pPr>
            <w:r>
              <w:rPr>
                <w:rFonts w:hint="eastAsia" w:ascii="宋体" w:hAnsi="宋体" w:eastAsia="仿宋_GB2312" w:cs="宋体"/>
                <w:sz w:val="24"/>
              </w:rPr>
              <w:t>1000</w:t>
            </w:r>
          </w:p>
        </w:tc>
        <w:tc>
          <w:tcPr>
            <w:tcW w:w="1570" w:type="dxa"/>
            <w:shd w:val="clear" w:color="auto" w:fill="auto"/>
            <w:tcMar>
              <w:top w:w="15" w:type="dxa"/>
              <w:left w:w="108" w:type="dxa"/>
              <w:bottom w:w="0" w:type="dxa"/>
              <w:right w:w="108" w:type="dxa"/>
            </w:tcMar>
            <w:vAlign w:val="center"/>
          </w:tcPr>
          <w:p w14:paraId="51DF25D9">
            <w:pPr>
              <w:pStyle w:val="210"/>
              <w:spacing w:line="240" w:lineRule="exact"/>
              <w:rPr>
                <w:rFonts w:ascii="宋体" w:hAnsi="宋体" w:eastAsia="仿宋_GB2312" w:cs="宋体"/>
                <w:sz w:val="24"/>
              </w:rPr>
            </w:pPr>
            <w:r>
              <w:rPr>
                <w:rFonts w:hint="eastAsia" w:ascii="宋体" w:hAnsi="宋体" w:eastAsia="仿宋_GB2312" w:cs="宋体"/>
                <w:sz w:val="24"/>
              </w:rPr>
              <w:t>800</w:t>
            </w:r>
          </w:p>
        </w:tc>
        <w:tc>
          <w:tcPr>
            <w:tcW w:w="1569" w:type="dxa"/>
            <w:shd w:val="clear" w:color="auto" w:fill="auto"/>
            <w:tcMar>
              <w:top w:w="15" w:type="dxa"/>
              <w:left w:w="108" w:type="dxa"/>
              <w:bottom w:w="0" w:type="dxa"/>
              <w:right w:w="108" w:type="dxa"/>
            </w:tcMar>
            <w:vAlign w:val="center"/>
          </w:tcPr>
          <w:p w14:paraId="079DA183">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81" w:type="dxa"/>
            <w:shd w:val="clear" w:color="auto" w:fill="auto"/>
            <w:tcMar>
              <w:top w:w="15" w:type="dxa"/>
              <w:left w:w="108" w:type="dxa"/>
              <w:bottom w:w="0" w:type="dxa"/>
              <w:right w:w="108" w:type="dxa"/>
            </w:tcMar>
            <w:vAlign w:val="center"/>
          </w:tcPr>
          <w:p w14:paraId="25BC67F1">
            <w:pPr>
              <w:pStyle w:val="210"/>
              <w:spacing w:line="240" w:lineRule="exact"/>
              <w:rPr>
                <w:rFonts w:ascii="宋体" w:hAnsi="宋体" w:eastAsia="仿宋_GB2312" w:cs="宋体"/>
                <w:sz w:val="24"/>
              </w:rPr>
            </w:pPr>
            <w:r>
              <w:rPr>
                <w:rFonts w:hint="eastAsia" w:ascii="宋体" w:hAnsi="宋体" w:eastAsia="仿宋_GB2312" w:cs="宋体"/>
                <w:sz w:val="24"/>
              </w:rPr>
              <w:t>400</w:t>
            </w:r>
          </w:p>
        </w:tc>
      </w:tr>
      <w:tr w14:paraId="61DC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14:paraId="6767D1AD">
            <w:pPr>
              <w:pStyle w:val="210"/>
              <w:spacing w:line="240" w:lineRule="exact"/>
              <w:rPr>
                <w:rFonts w:ascii="宋体" w:hAnsi="宋体" w:eastAsia="仿宋_GB2312" w:cs="宋体"/>
                <w:sz w:val="24"/>
              </w:rPr>
            </w:pPr>
            <w:r>
              <w:rPr>
                <w:rFonts w:hint="eastAsia" w:ascii="宋体" w:hAnsi="宋体" w:eastAsia="仿宋_GB2312" w:cs="宋体"/>
                <w:sz w:val="24"/>
              </w:rPr>
              <w:t>III类城市照明区</w:t>
            </w:r>
          </w:p>
        </w:tc>
        <w:tc>
          <w:tcPr>
            <w:tcW w:w="1507" w:type="dxa"/>
            <w:shd w:val="clear" w:color="auto" w:fill="auto"/>
            <w:tcMar>
              <w:top w:w="15" w:type="dxa"/>
              <w:left w:w="108" w:type="dxa"/>
              <w:bottom w:w="0" w:type="dxa"/>
              <w:right w:w="108" w:type="dxa"/>
            </w:tcMar>
            <w:vAlign w:val="center"/>
          </w:tcPr>
          <w:p w14:paraId="7282A79B">
            <w:pPr>
              <w:pStyle w:val="210"/>
              <w:spacing w:line="240" w:lineRule="exact"/>
              <w:rPr>
                <w:rFonts w:ascii="宋体" w:hAnsi="宋体" w:eastAsia="仿宋_GB2312" w:cs="宋体"/>
                <w:sz w:val="24"/>
              </w:rPr>
            </w:pPr>
            <w:r>
              <w:rPr>
                <w:rFonts w:hint="eastAsia" w:ascii="宋体" w:hAnsi="宋体" w:eastAsia="仿宋_GB2312" w:cs="宋体"/>
                <w:sz w:val="24"/>
              </w:rPr>
              <w:t>400</w:t>
            </w:r>
          </w:p>
        </w:tc>
        <w:tc>
          <w:tcPr>
            <w:tcW w:w="1569" w:type="dxa"/>
            <w:shd w:val="clear" w:color="auto" w:fill="auto"/>
            <w:tcMar>
              <w:top w:w="15" w:type="dxa"/>
              <w:left w:w="108" w:type="dxa"/>
              <w:bottom w:w="0" w:type="dxa"/>
              <w:right w:w="108" w:type="dxa"/>
            </w:tcMar>
            <w:vAlign w:val="center"/>
          </w:tcPr>
          <w:p w14:paraId="36E93DF7">
            <w:pPr>
              <w:pStyle w:val="210"/>
              <w:spacing w:line="240" w:lineRule="exact"/>
              <w:rPr>
                <w:rFonts w:ascii="宋体" w:hAnsi="宋体" w:eastAsia="仿宋_GB2312" w:cs="宋体"/>
                <w:sz w:val="24"/>
              </w:rPr>
            </w:pPr>
            <w:r>
              <w:rPr>
                <w:rFonts w:hint="eastAsia" w:ascii="宋体" w:hAnsi="宋体" w:eastAsia="仿宋_GB2312" w:cs="宋体"/>
                <w:sz w:val="24"/>
              </w:rPr>
              <w:t>800</w:t>
            </w:r>
          </w:p>
        </w:tc>
        <w:tc>
          <w:tcPr>
            <w:tcW w:w="1570" w:type="dxa"/>
            <w:shd w:val="clear" w:color="auto" w:fill="auto"/>
            <w:tcMar>
              <w:top w:w="15" w:type="dxa"/>
              <w:left w:w="108" w:type="dxa"/>
              <w:bottom w:w="0" w:type="dxa"/>
              <w:right w:w="108" w:type="dxa"/>
            </w:tcMar>
            <w:vAlign w:val="center"/>
          </w:tcPr>
          <w:p w14:paraId="633E727B">
            <w:pPr>
              <w:pStyle w:val="210"/>
              <w:spacing w:line="240" w:lineRule="exact"/>
              <w:rPr>
                <w:rFonts w:ascii="宋体" w:hAnsi="宋体" w:eastAsia="仿宋_GB2312" w:cs="宋体"/>
                <w:sz w:val="24"/>
              </w:rPr>
            </w:pPr>
            <w:r>
              <w:rPr>
                <w:rFonts w:hint="eastAsia" w:ascii="宋体" w:hAnsi="宋体" w:eastAsia="仿宋_GB2312" w:cs="宋体"/>
                <w:sz w:val="24"/>
              </w:rPr>
              <w:t>600</w:t>
            </w:r>
          </w:p>
        </w:tc>
        <w:tc>
          <w:tcPr>
            <w:tcW w:w="1569" w:type="dxa"/>
            <w:shd w:val="clear" w:color="auto" w:fill="auto"/>
            <w:tcMar>
              <w:top w:w="15" w:type="dxa"/>
              <w:left w:w="108" w:type="dxa"/>
              <w:bottom w:w="0" w:type="dxa"/>
              <w:right w:w="108" w:type="dxa"/>
            </w:tcMar>
            <w:vAlign w:val="center"/>
          </w:tcPr>
          <w:p w14:paraId="6C835511">
            <w:pPr>
              <w:pStyle w:val="210"/>
              <w:spacing w:line="240" w:lineRule="exact"/>
              <w:rPr>
                <w:rFonts w:ascii="宋体" w:hAnsi="宋体" w:eastAsia="仿宋_GB2312" w:cs="宋体"/>
                <w:sz w:val="24"/>
              </w:rPr>
            </w:pPr>
            <w:r>
              <w:rPr>
                <w:rFonts w:hint="eastAsia" w:ascii="宋体" w:hAnsi="宋体" w:eastAsia="仿宋_GB2312" w:cs="宋体"/>
                <w:sz w:val="24"/>
              </w:rPr>
              <w:t>450</w:t>
            </w:r>
          </w:p>
        </w:tc>
        <w:tc>
          <w:tcPr>
            <w:tcW w:w="1581" w:type="dxa"/>
            <w:shd w:val="clear" w:color="auto" w:fill="auto"/>
            <w:tcMar>
              <w:top w:w="15" w:type="dxa"/>
              <w:left w:w="108" w:type="dxa"/>
              <w:bottom w:w="0" w:type="dxa"/>
              <w:right w:w="108" w:type="dxa"/>
            </w:tcMar>
            <w:vAlign w:val="center"/>
          </w:tcPr>
          <w:p w14:paraId="6AD29677">
            <w:pPr>
              <w:pStyle w:val="210"/>
              <w:spacing w:line="240" w:lineRule="exact"/>
              <w:rPr>
                <w:rFonts w:ascii="宋体" w:hAnsi="宋体" w:eastAsia="仿宋_GB2312" w:cs="宋体"/>
                <w:sz w:val="24"/>
              </w:rPr>
            </w:pPr>
            <w:r>
              <w:rPr>
                <w:rFonts w:hint="eastAsia" w:ascii="宋体" w:hAnsi="宋体" w:eastAsia="仿宋_GB2312" w:cs="宋体"/>
                <w:sz w:val="24"/>
              </w:rPr>
              <w:t>300</w:t>
            </w:r>
          </w:p>
        </w:tc>
      </w:tr>
      <w:tr w14:paraId="5494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14:paraId="0789E988">
            <w:pPr>
              <w:pStyle w:val="210"/>
              <w:spacing w:line="240" w:lineRule="exact"/>
              <w:rPr>
                <w:rFonts w:ascii="宋体" w:hAnsi="宋体" w:eastAsia="仿宋_GB2312" w:cs="宋体"/>
                <w:sz w:val="24"/>
              </w:rPr>
            </w:pPr>
            <w:r>
              <w:rPr>
                <w:rFonts w:hint="eastAsia" w:ascii="宋体" w:hAnsi="宋体" w:eastAsia="仿宋_GB2312" w:cs="宋体"/>
                <w:sz w:val="24"/>
              </w:rPr>
              <w:t>II类城市照明区</w:t>
            </w:r>
          </w:p>
        </w:tc>
        <w:tc>
          <w:tcPr>
            <w:tcW w:w="1507" w:type="dxa"/>
            <w:shd w:val="clear" w:color="auto" w:fill="auto"/>
            <w:tcMar>
              <w:top w:w="15" w:type="dxa"/>
              <w:left w:w="108" w:type="dxa"/>
              <w:bottom w:w="0" w:type="dxa"/>
              <w:right w:w="108" w:type="dxa"/>
            </w:tcMar>
            <w:vAlign w:val="center"/>
          </w:tcPr>
          <w:p w14:paraId="18818FB7">
            <w:pPr>
              <w:pStyle w:val="210"/>
              <w:spacing w:line="240" w:lineRule="exact"/>
              <w:rPr>
                <w:rFonts w:ascii="宋体" w:hAnsi="宋体" w:eastAsia="仿宋_GB2312" w:cs="宋体"/>
                <w:sz w:val="24"/>
              </w:rPr>
            </w:pPr>
            <w:r>
              <w:rPr>
                <w:rFonts w:hint="eastAsia" w:ascii="宋体" w:hAnsi="宋体" w:eastAsia="仿宋_GB2312" w:cs="宋体"/>
                <w:sz w:val="24"/>
              </w:rPr>
              <w:t>200</w:t>
            </w:r>
          </w:p>
        </w:tc>
        <w:tc>
          <w:tcPr>
            <w:tcW w:w="1569" w:type="dxa"/>
            <w:shd w:val="clear" w:color="auto" w:fill="auto"/>
            <w:tcMar>
              <w:top w:w="15" w:type="dxa"/>
              <w:left w:w="108" w:type="dxa"/>
              <w:bottom w:w="0" w:type="dxa"/>
              <w:right w:w="108" w:type="dxa"/>
            </w:tcMar>
            <w:vAlign w:val="center"/>
          </w:tcPr>
          <w:p w14:paraId="689D1AD6">
            <w:pPr>
              <w:pStyle w:val="210"/>
              <w:spacing w:line="240" w:lineRule="exact"/>
              <w:rPr>
                <w:rFonts w:ascii="宋体" w:hAnsi="宋体" w:eastAsia="仿宋_GB2312" w:cs="宋体"/>
                <w:sz w:val="24"/>
              </w:rPr>
            </w:pPr>
            <w:r>
              <w:rPr>
                <w:rFonts w:hint="eastAsia" w:ascii="宋体" w:hAnsi="宋体" w:eastAsia="仿宋_GB2312" w:cs="宋体"/>
                <w:sz w:val="24"/>
              </w:rPr>
              <w:t>400</w:t>
            </w:r>
          </w:p>
        </w:tc>
        <w:tc>
          <w:tcPr>
            <w:tcW w:w="1570" w:type="dxa"/>
            <w:shd w:val="clear" w:color="auto" w:fill="auto"/>
            <w:tcMar>
              <w:top w:w="15" w:type="dxa"/>
              <w:left w:w="108" w:type="dxa"/>
              <w:bottom w:w="0" w:type="dxa"/>
              <w:right w:w="108" w:type="dxa"/>
            </w:tcMar>
            <w:vAlign w:val="center"/>
          </w:tcPr>
          <w:p w14:paraId="75C7EEC4">
            <w:pPr>
              <w:pStyle w:val="210"/>
              <w:spacing w:line="240" w:lineRule="exact"/>
              <w:rPr>
                <w:rFonts w:ascii="宋体" w:hAnsi="宋体" w:eastAsia="仿宋_GB2312" w:cs="宋体"/>
                <w:sz w:val="24"/>
              </w:rPr>
            </w:pPr>
            <w:r>
              <w:rPr>
                <w:rFonts w:hint="eastAsia" w:ascii="宋体" w:hAnsi="宋体" w:eastAsia="仿宋_GB2312" w:cs="宋体"/>
                <w:sz w:val="24"/>
              </w:rPr>
              <w:t>300</w:t>
            </w:r>
          </w:p>
        </w:tc>
        <w:tc>
          <w:tcPr>
            <w:tcW w:w="1569" w:type="dxa"/>
            <w:shd w:val="clear" w:color="auto" w:fill="auto"/>
            <w:tcMar>
              <w:top w:w="15" w:type="dxa"/>
              <w:left w:w="108" w:type="dxa"/>
              <w:bottom w:w="0" w:type="dxa"/>
              <w:right w:w="108" w:type="dxa"/>
            </w:tcMar>
            <w:vAlign w:val="center"/>
          </w:tcPr>
          <w:p w14:paraId="1353927C">
            <w:pPr>
              <w:pStyle w:val="210"/>
              <w:spacing w:line="240" w:lineRule="exact"/>
              <w:rPr>
                <w:rFonts w:ascii="宋体" w:hAnsi="宋体" w:eastAsia="仿宋_GB2312" w:cs="宋体"/>
                <w:sz w:val="24"/>
              </w:rPr>
            </w:pPr>
            <w:r>
              <w:rPr>
                <w:rFonts w:hint="eastAsia" w:ascii="宋体" w:hAnsi="宋体" w:eastAsia="仿宋_GB2312" w:cs="宋体"/>
                <w:sz w:val="24"/>
              </w:rPr>
              <w:t>250</w:t>
            </w:r>
          </w:p>
        </w:tc>
        <w:tc>
          <w:tcPr>
            <w:tcW w:w="1581" w:type="dxa"/>
            <w:shd w:val="clear" w:color="auto" w:fill="auto"/>
            <w:tcMar>
              <w:top w:w="15" w:type="dxa"/>
              <w:left w:w="108" w:type="dxa"/>
              <w:bottom w:w="0" w:type="dxa"/>
              <w:right w:w="108" w:type="dxa"/>
            </w:tcMar>
            <w:vAlign w:val="center"/>
          </w:tcPr>
          <w:p w14:paraId="04DD69A0">
            <w:pPr>
              <w:pStyle w:val="210"/>
              <w:spacing w:line="240" w:lineRule="exact"/>
              <w:rPr>
                <w:rFonts w:ascii="宋体" w:hAnsi="宋体" w:eastAsia="仿宋_GB2312" w:cs="宋体"/>
                <w:sz w:val="24"/>
              </w:rPr>
            </w:pPr>
            <w:r>
              <w:rPr>
                <w:rFonts w:hint="eastAsia" w:ascii="宋体" w:hAnsi="宋体" w:eastAsia="仿宋_GB2312" w:cs="宋体"/>
                <w:sz w:val="24"/>
              </w:rPr>
              <w:t>150</w:t>
            </w:r>
          </w:p>
        </w:tc>
      </w:tr>
      <w:tr w14:paraId="48D5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65" w:type="dxa"/>
            <w:shd w:val="clear" w:color="auto" w:fill="auto"/>
            <w:tcMar>
              <w:top w:w="15" w:type="dxa"/>
              <w:left w:w="105" w:type="dxa"/>
              <w:bottom w:w="0" w:type="dxa"/>
              <w:right w:w="105" w:type="dxa"/>
            </w:tcMar>
            <w:vAlign w:val="center"/>
          </w:tcPr>
          <w:p w14:paraId="43972590">
            <w:pPr>
              <w:pStyle w:val="210"/>
              <w:spacing w:line="240" w:lineRule="exact"/>
              <w:rPr>
                <w:rFonts w:ascii="宋体" w:hAnsi="宋体" w:eastAsia="仿宋_GB2312" w:cs="宋体"/>
                <w:sz w:val="24"/>
              </w:rPr>
            </w:pPr>
            <w:r>
              <w:rPr>
                <w:rFonts w:hint="eastAsia" w:ascii="宋体" w:hAnsi="宋体" w:eastAsia="仿宋_GB2312" w:cs="宋体"/>
                <w:sz w:val="24"/>
              </w:rPr>
              <w:t>I类城市照明区</w:t>
            </w:r>
          </w:p>
        </w:tc>
        <w:tc>
          <w:tcPr>
            <w:tcW w:w="1507" w:type="dxa"/>
            <w:shd w:val="clear" w:color="auto" w:fill="auto"/>
            <w:tcMar>
              <w:top w:w="15" w:type="dxa"/>
              <w:left w:w="105" w:type="dxa"/>
              <w:bottom w:w="0" w:type="dxa"/>
              <w:right w:w="105" w:type="dxa"/>
            </w:tcMar>
            <w:vAlign w:val="center"/>
          </w:tcPr>
          <w:p w14:paraId="227DC2EB">
            <w:pPr>
              <w:spacing w:line="240" w:lineRule="exact"/>
              <w:jc w:val="center"/>
              <w:rPr>
                <w:rFonts w:ascii="宋体" w:hAnsi="宋体" w:eastAsia="仿宋_GB2312" w:cs="宋体"/>
                <w:sz w:val="24"/>
                <w:szCs w:val="21"/>
              </w:rPr>
            </w:pPr>
            <w:r>
              <w:rPr>
                <w:rFonts w:hint="eastAsia" w:ascii="宋体" w:hAnsi="宋体" w:eastAsia="仿宋_GB2312" w:cs="宋体"/>
                <w:sz w:val="24"/>
                <w:szCs w:val="21"/>
              </w:rPr>
              <w:t>不宜设置</w:t>
            </w:r>
          </w:p>
        </w:tc>
        <w:tc>
          <w:tcPr>
            <w:tcW w:w="1569" w:type="dxa"/>
            <w:shd w:val="clear" w:color="auto" w:fill="auto"/>
            <w:tcMar>
              <w:top w:w="15" w:type="dxa"/>
              <w:left w:w="105" w:type="dxa"/>
              <w:bottom w:w="0" w:type="dxa"/>
              <w:right w:w="105" w:type="dxa"/>
            </w:tcMar>
            <w:vAlign w:val="center"/>
          </w:tcPr>
          <w:p w14:paraId="64DCBB7B">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50</w:t>
            </w:r>
          </w:p>
        </w:tc>
        <w:tc>
          <w:tcPr>
            <w:tcW w:w="1570" w:type="dxa"/>
            <w:shd w:val="clear" w:color="auto" w:fill="auto"/>
            <w:tcMar>
              <w:top w:w="15" w:type="dxa"/>
              <w:left w:w="105" w:type="dxa"/>
              <w:bottom w:w="0" w:type="dxa"/>
              <w:right w:w="105" w:type="dxa"/>
            </w:tcMar>
            <w:vAlign w:val="center"/>
          </w:tcPr>
          <w:p w14:paraId="4E07D97D">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40</w:t>
            </w:r>
          </w:p>
        </w:tc>
        <w:tc>
          <w:tcPr>
            <w:tcW w:w="1569" w:type="dxa"/>
            <w:shd w:val="clear" w:color="auto" w:fill="auto"/>
            <w:tcMar>
              <w:top w:w="15" w:type="dxa"/>
              <w:left w:w="105" w:type="dxa"/>
              <w:bottom w:w="0" w:type="dxa"/>
              <w:right w:w="105" w:type="dxa"/>
            </w:tcMar>
            <w:vAlign w:val="center"/>
          </w:tcPr>
          <w:p w14:paraId="6B603CBE">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30</w:t>
            </w:r>
          </w:p>
        </w:tc>
        <w:tc>
          <w:tcPr>
            <w:tcW w:w="1581" w:type="dxa"/>
            <w:shd w:val="clear" w:color="auto" w:fill="auto"/>
            <w:tcMar>
              <w:top w:w="15" w:type="dxa"/>
              <w:left w:w="105" w:type="dxa"/>
              <w:bottom w:w="0" w:type="dxa"/>
              <w:right w:w="105" w:type="dxa"/>
            </w:tcMar>
            <w:vAlign w:val="center"/>
          </w:tcPr>
          <w:p w14:paraId="3DACF3B8">
            <w:pPr>
              <w:pStyle w:val="210"/>
              <w:spacing w:line="240" w:lineRule="exact"/>
              <w:rPr>
                <w:rFonts w:ascii="宋体" w:hAnsi="宋体" w:eastAsia="仿宋_GB2312" w:cs="宋体"/>
                <w:sz w:val="24"/>
                <w:szCs w:val="21"/>
              </w:rPr>
            </w:pPr>
            <w:r>
              <w:rPr>
                <w:rFonts w:hint="eastAsia" w:ascii="宋体" w:hAnsi="宋体" w:eastAsia="仿宋_GB2312" w:cs="宋体"/>
                <w:sz w:val="24"/>
                <w:szCs w:val="21"/>
              </w:rPr>
              <w:t>不宜设置</w:t>
            </w:r>
          </w:p>
        </w:tc>
      </w:tr>
      <w:tr w14:paraId="1084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061" w:type="dxa"/>
            <w:gridSpan w:val="6"/>
            <w:shd w:val="clear" w:color="auto" w:fill="auto"/>
            <w:tcMar>
              <w:top w:w="15" w:type="dxa"/>
              <w:left w:w="105" w:type="dxa"/>
              <w:bottom w:w="0" w:type="dxa"/>
              <w:right w:w="105" w:type="dxa"/>
            </w:tcMar>
            <w:vAlign w:val="center"/>
          </w:tcPr>
          <w:p w14:paraId="76E33CCC">
            <w:pPr>
              <w:spacing w:line="240" w:lineRule="exact"/>
              <w:rPr>
                <w:rFonts w:ascii="宋体" w:hAnsi="宋体" w:eastAsia="仿宋_GB2312" w:cs="宋体"/>
                <w:sz w:val="24"/>
                <w:szCs w:val="21"/>
              </w:rPr>
            </w:pPr>
            <w:r>
              <w:rPr>
                <w:rFonts w:hint="eastAsia" w:ascii="宋体" w:hAnsi="宋体" w:eastAsia="仿宋_GB2312"/>
                <w:sz w:val="24"/>
              </w:rPr>
              <w:t>注：表中S为广告标识的面积（单位：㎡）。</w:t>
            </w:r>
          </w:p>
        </w:tc>
      </w:tr>
    </w:tbl>
    <w:p w14:paraId="14DDEE6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701" w:name="_Toc88656271"/>
      <w:bookmarkStart w:id="702" w:name="_Toc31933"/>
      <w:bookmarkStart w:id="703" w:name="_Toc1794"/>
      <w:bookmarkStart w:id="704" w:name="_Toc12857"/>
      <w:bookmarkStart w:id="705" w:name="_Toc3422"/>
      <w:bookmarkStart w:id="706" w:name="_Toc28085"/>
      <w:r>
        <w:rPr>
          <w:rFonts w:hint="eastAsia" w:ascii="宋体" w:hAnsi="宋体" w:eastAsia="黑体" w:cs="黑体"/>
          <w:b w:val="0"/>
          <w:sz w:val="32"/>
        </w:rPr>
        <w:t>五、“暗天空”保护控制指标</w:t>
      </w:r>
      <w:bookmarkEnd w:id="701"/>
      <w:bookmarkEnd w:id="702"/>
      <w:bookmarkEnd w:id="703"/>
      <w:bookmarkEnd w:id="704"/>
      <w:bookmarkEnd w:id="705"/>
      <w:bookmarkEnd w:id="706"/>
      <w:r>
        <w:rPr>
          <w:rFonts w:hint="eastAsia" w:ascii="宋体" w:hAnsi="宋体" w:eastAsia="黑体" w:cs="黑体"/>
          <w:b w:val="0"/>
          <w:sz w:val="32"/>
        </w:rPr>
        <w:t xml:space="preserve">  </w:t>
      </w:r>
    </w:p>
    <w:p w14:paraId="7441F1E1">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将城市载体按用地性质划分成四类环境区，专门设立</w:t>
      </w:r>
      <w:r>
        <w:rPr>
          <w:rFonts w:hint="eastAsia" w:ascii="宋体" w:hAnsi="宋体" w:eastAsia="仿宋_GB2312"/>
          <w:sz w:val="32"/>
        </w:rPr>
        <w:t>“暗天空”</w:t>
      </w:r>
      <w:r>
        <w:rPr>
          <w:rFonts w:hint="eastAsia" w:ascii="宋体" w:hAnsi="宋体" w:eastAsia="仿宋_GB2312"/>
          <w:sz w:val="32"/>
          <w:lang w:eastAsia="zh-Hans"/>
        </w:rPr>
        <w:t>保护区（P1区），严格控制景观照明及上射光。</w:t>
      </w:r>
    </w:p>
    <w:p w14:paraId="04439953">
      <w:pPr>
        <w:pStyle w:val="205"/>
        <w:spacing w:before="156" w:after="156"/>
        <w:rPr>
          <w:rFonts w:ascii="宋体" w:hAnsi="宋体"/>
          <w:bCs w:val="0"/>
          <w:sz w:val="24"/>
        </w:rPr>
      </w:pPr>
      <w:r>
        <w:rPr>
          <w:rFonts w:hint="eastAsia" w:ascii="宋体" w:hAnsi="宋体"/>
          <w:bCs w:val="0"/>
          <w:sz w:val="24"/>
        </w:rPr>
        <w:t>表13—1</w:t>
      </w:r>
      <w:r>
        <w:rPr>
          <w:rFonts w:ascii="宋体" w:hAnsi="宋体"/>
          <w:bCs w:val="0"/>
          <w:sz w:val="24"/>
        </w:rPr>
        <w:t>8</w:t>
      </w:r>
      <w:r>
        <w:rPr>
          <w:rFonts w:hint="eastAsia" w:ascii="宋体" w:hAnsi="宋体"/>
          <w:bCs w:val="0"/>
          <w:sz w:val="24"/>
        </w:rPr>
        <w:t>“暗天空”保护区分区</w:t>
      </w:r>
    </w:p>
    <w:tbl>
      <w:tblPr>
        <w:tblStyle w:val="89"/>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3"/>
        <w:gridCol w:w="5312"/>
        <w:gridCol w:w="2738"/>
      </w:tblGrid>
      <w:tr w14:paraId="353A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83" w:type="dxa"/>
            <w:shd w:val="clear" w:color="auto" w:fill="auto"/>
            <w:tcMar>
              <w:top w:w="72" w:type="dxa"/>
              <w:left w:w="144" w:type="dxa"/>
              <w:bottom w:w="72" w:type="dxa"/>
              <w:right w:w="144" w:type="dxa"/>
            </w:tcMar>
            <w:vAlign w:val="center"/>
          </w:tcPr>
          <w:p w14:paraId="4C8B5DB4">
            <w:pPr>
              <w:pStyle w:val="190"/>
              <w:kinsoku w:val="0"/>
              <w:overflowPunct w:val="0"/>
              <w:jc w:val="center"/>
              <w:rPr>
                <w:rFonts w:ascii="宋体" w:hAnsi="宋体" w:eastAsia="仿宋_GB2312" w:cs="仿宋"/>
                <w:szCs w:val="21"/>
              </w:rPr>
            </w:pPr>
            <w:r>
              <w:rPr>
                <w:rFonts w:hint="eastAsia" w:ascii="宋体" w:hAnsi="宋体" w:eastAsia="仿宋_GB2312" w:cs="仿宋"/>
                <w:szCs w:val="21"/>
              </w:rPr>
              <w:t>光污染分区</w:t>
            </w:r>
          </w:p>
        </w:tc>
        <w:tc>
          <w:tcPr>
            <w:tcW w:w="5312" w:type="dxa"/>
            <w:shd w:val="clear" w:color="auto" w:fill="auto"/>
            <w:tcMar>
              <w:top w:w="72" w:type="dxa"/>
              <w:left w:w="144" w:type="dxa"/>
              <w:bottom w:w="72" w:type="dxa"/>
              <w:right w:w="144" w:type="dxa"/>
            </w:tcMar>
            <w:vAlign w:val="center"/>
          </w:tcPr>
          <w:p w14:paraId="67FFAD69">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对应用地分类</w:t>
            </w:r>
          </w:p>
        </w:tc>
        <w:tc>
          <w:tcPr>
            <w:tcW w:w="2738" w:type="dxa"/>
            <w:shd w:val="clear" w:color="auto" w:fill="auto"/>
            <w:tcMar>
              <w:top w:w="72" w:type="dxa"/>
              <w:left w:w="144" w:type="dxa"/>
              <w:bottom w:w="72" w:type="dxa"/>
              <w:right w:w="144" w:type="dxa"/>
            </w:tcMar>
            <w:vAlign w:val="center"/>
          </w:tcPr>
          <w:p w14:paraId="31663B0C">
            <w:pPr>
              <w:pStyle w:val="190"/>
              <w:kinsoku w:val="0"/>
              <w:overflowPunct w:val="0"/>
              <w:jc w:val="center"/>
              <w:rPr>
                <w:rFonts w:ascii="宋体" w:hAnsi="宋体" w:eastAsia="仿宋_GB2312" w:cs="仿宋"/>
                <w:szCs w:val="21"/>
              </w:rPr>
            </w:pPr>
            <w:r>
              <w:rPr>
                <w:rFonts w:hint="eastAsia" w:ascii="宋体" w:hAnsi="宋体" w:eastAsia="仿宋_GB2312" w:cs="仿宋"/>
                <w:szCs w:val="21"/>
              </w:rPr>
              <w:t>亮度环境描述</w:t>
            </w:r>
          </w:p>
        </w:tc>
      </w:tr>
      <w:tr w14:paraId="4886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0" w:hRule="atLeast"/>
        </w:trPr>
        <w:tc>
          <w:tcPr>
            <w:tcW w:w="1083" w:type="dxa"/>
            <w:shd w:val="clear" w:color="auto" w:fill="auto"/>
            <w:tcMar>
              <w:top w:w="72" w:type="dxa"/>
              <w:left w:w="144" w:type="dxa"/>
              <w:bottom w:w="72" w:type="dxa"/>
              <w:right w:w="144" w:type="dxa"/>
            </w:tcMar>
            <w:vAlign w:val="center"/>
          </w:tcPr>
          <w:p w14:paraId="4BC0760D">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P4</w:t>
            </w:r>
          </w:p>
          <w:p w14:paraId="6D4699AD">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高亮度环境区</w:t>
            </w:r>
          </w:p>
        </w:tc>
        <w:tc>
          <w:tcPr>
            <w:tcW w:w="5312" w:type="dxa"/>
            <w:shd w:val="clear" w:color="auto" w:fill="auto"/>
            <w:tcMar>
              <w:top w:w="72" w:type="dxa"/>
              <w:left w:w="144" w:type="dxa"/>
              <w:bottom w:w="72" w:type="dxa"/>
              <w:right w:w="144" w:type="dxa"/>
            </w:tcMar>
            <w:vAlign w:val="center"/>
          </w:tcPr>
          <w:p w14:paraId="6A35A817">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A4体育用地、B1商业用地、B2商务用地、</w:t>
            </w:r>
          </w:p>
          <w:p w14:paraId="5095B025">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B3娱乐康体用地、B4综合性商业金融服务业用地</w:t>
            </w:r>
          </w:p>
        </w:tc>
        <w:tc>
          <w:tcPr>
            <w:tcW w:w="2738" w:type="dxa"/>
            <w:shd w:val="clear" w:color="auto" w:fill="auto"/>
            <w:tcMar>
              <w:top w:w="72" w:type="dxa"/>
              <w:left w:w="144" w:type="dxa"/>
              <w:bottom w:w="72" w:type="dxa"/>
              <w:right w:w="144" w:type="dxa"/>
            </w:tcMar>
            <w:vAlign w:val="center"/>
          </w:tcPr>
          <w:p w14:paraId="0BCF5536">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夜间大量商业、娱乐活动，人流集中，能充分体现城市的活力，照明重点建设区域。</w:t>
            </w:r>
          </w:p>
        </w:tc>
      </w:tr>
      <w:tr w14:paraId="0AFE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0" w:hRule="atLeast"/>
        </w:trPr>
        <w:tc>
          <w:tcPr>
            <w:tcW w:w="1083" w:type="dxa"/>
            <w:shd w:val="clear" w:color="auto" w:fill="auto"/>
            <w:tcMar>
              <w:top w:w="72" w:type="dxa"/>
              <w:left w:w="144" w:type="dxa"/>
              <w:bottom w:w="72" w:type="dxa"/>
              <w:right w:w="144" w:type="dxa"/>
            </w:tcMar>
            <w:vAlign w:val="center"/>
          </w:tcPr>
          <w:p w14:paraId="487652D2">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P3</w:t>
            </w:r>
          </w:p>
          <w:p w14:paraId="1BAA4F6E">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中亮度环境区</w:t>
            </w:r>
          </w:p>
        </w:tc>
        <w:tc>
          <w:tcPr>
            <w:tcW w:w="5312" w:type="dxa"/>
            <w:shd w:val="clear" w:color="auto" w:fill="auto"/>
            <w:tcMar>
              <w:top w:w="72" w:type="dxa"/>
              <w:left w:w="144" w:type="dxa"/>
              <w:bottom w:w="72" w:type="dxa"/>
              <w:right w:w="144" w:type="dxa"/>
            </w:tcMar>
            <w:vAlign w:val="center"/>
          </w:tcPr>
          <w:p w14:paraId="5D415242">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A1行政办公用地、A2文化设施用地、B9其他服务设施用地、F2公建混合住宅用地、F3其他类多功能用地、G1公园绿地、G3广场用地</w:t>
            </w:r>
          </w:p>
        </w:tc>
        <w:tc>
          <w:tcPr>
            <w:tcW w:w="2738" w:type="dxa"/>
            <w:shd w:val="clear" w:color="auto" w:fill="auto"/>
            <w:tcMar>
              <w:top w:w="72" w:type="dxa"/>
              <w:left w:w="144" w:type="dxa"/>
              <w:bottom w:w="72" w:type="dxa"/>
              <w:right w:w="144" w:type="dxa"/>
            </w:tcMar>
            <w:vAlign w:val="center"/>
          </w:tcPr>
          <w:p w14:paraId="15A858A7">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夜间人流量适中，但是城市夜间景观的重要组成部分，可根据夜间观景需求适当照明建设。</w:t>
            </w:r>
          </w:p>
        </w:tc>
      </w:tr>
      <w:tr w14:paraId="4951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trPr>
        <w:tc>
          <w:tcPr>
            <w:tcW w:w="1083" w:type="dxa"/>
            <w:shd w:val="clear" w:color="auto" w:fill="auto"/>
            <w:tcMar>
              <w:top w:w="72" w:type="dxa"/>
              <w:left w:w="144" w:type="dxa"/>
              <w:bottom w:w="72" w:type="dxa"/>
              <w:right w:w="144" w:type="dxa"/>
            </w:tcMar>
            <w:vAlign w:val="center"/>
          </w:tcPr>
          <w:p w14:paraId="495B0716">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P2</w:t>
            </w:r>
          </w:p>
          <w:p w14:paraId="4FC8AFD2">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低亮度环境区</w:t>
            </w:r>
          </w:p>
        </w:tc>
        <w:tc>
          <w:tcPr>
            <w:tcW w:w="5312" w:type="dxa"/>
            <w:shd w:val="clear" w:color="auto" w:fill="auto"/>
            <w:tcMar>
              <w:top w:w="72" w:type="dxa"/>
              <w:left w:w="144" w:type="dxa"/>
              <w:bottom w:w="72" w:type="dxa"/>
              <w:right w:w="144" w:type="dxa"/>
            </w:tcMar>
            <w:vAlign w:val="center"/>
          </w:tcPr>
          <w:p w14:paraId="42622963">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A3教育科研用地、A5医疗卫生用地、A6社会福利用地、A7文物古迹用地、A8社区综合服务设施用地、A9宗教用地、D2外事用地、F1混合公建用地、F8绿隔政策区生产经营用地、R1一类居住用地、R2二类居住用地、R3三类居住用地、S1城市道路用地、S3地面公共交通场站用地、T3港口用地、S2城市轨道交通用地、S4社会停车场用地、S5加油加气站用地、S9其他城市交通设施用地、T1铁路用地、T2公路用地、T4机场用地、T6区域综合交通枢纽用地、W1物流用地、C1村民住宅用地、C2村庄公共服务设施用地、C3村庄产业用地、C4村庄基础设施用地、C9村庄其他建设用地</w:t>
            </w:r>
          </w:p>
        </w:tc>
        <w:tc>
          <w:tcPr>
            <w:tcW w:w="2738" w:type="dxa"/>
            <w:shd w:val="clear" w:color="auto" w:fill="auto"/>
            <w:tcMar>
              <w:top w:w="72" w:type="dxa"/>
              <w:left w:w="144" w:type="dxa"/>
              <w:bottom w:w="72" w:type="dxa"/>
              <w:right w:w="144" w:type="dxa"/>
            </w:tcMar>
            <w:vAlign w:val="center"/>
          </w:tcPr>
          <w:p w14:paraId="28130CE2">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夜间人流量小，以功能照明需求为主，城市景观照明限制区。</w:t>
            </w:r>
          </w:p>
        </w:tc>
      </w:tr>
      <w:tr w14:paraId="3DFB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1" w:hRule="atLeast"/>
        </w:trPr>
        <w:tc>
          <w:tcPr>
            <w:tcW w:w="1083" w:type="dxa"/>
            <w:shd w:val="clear" w:color="auto" w:fill="auto"/>
            <w:tcMar>
              <w:top w:w="72" w:type="dxa"/>
              <w:left w:w="144" w:type="dxa"/>
              <w:bottom w:w="72" w:type="dxa"/>
              <w:right w:w="144" w:type="dxa"/>
            </w:tcMar>
            <w:vAlign w:val="center"/>
          </w:tcPr>
          <w:p w14:paraId="45362217">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P1</w:t>
            </w:r>
          </w:p>
          <w:p w14:paraId="0B30514B">
            <w:pPr>
              <w:pStyle w:val="204"/>
              <w:spacing w:after="0" w:afterLines="0" w:line="280" w:lineRule="exact"/>
              <w:ind w:firstLine="0" w:firstLineChars="0"/>
              <w:jc w:val="center"/>
              <w:rPr>
                <w:rFonts w:ascii="宋体" w:hAnsi="宋体" w:eastAsia="仿宋_GB2312"/>
                <w:sz w:val="24"/>
                <w:szCs w:val="21"/>
              </w:rPr>
            </w:pPr>
            <w:r>
              <w:rPr>
                <w:rFonts w:hint="eastAsia" w:ascii="宋体" w:hAnsi="宋体" w:eastAsia="仿宋_GB2312"/>
                <w:sz w:val="24"/>
                <w:szCs w:val="21"/>
              </w:rPr>
              <w:t>“暗天空”保护区</w:t>
            </w:r>
          </w:p>
        </w:tc>
        <w:tc>
          <w:tcPr>
            <w:tcW w:w="5312" w:type="dxa"/>
            <w:shd w:val="clear" w:color="auto" w:fill="auto"/>
            <w:tcMar>
              <w:top w:w="72" w:type="dxa"/>
              <w:left w:w="144" w:type="dxa"/>
              <w:bottom w:w="72" w:type="dxa"/>
              <w:right w:w="144" w:type="dxa"/>
            </w:tcMar>
            <w:vAlign w:val="center"/>
          </w:tcPr>
          <w:p w14:paraId="52660755">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D1军事用地、D3安保用地、G4生态景观用地、G2防护绿地、G4园林生产绿地、H5采矿用地、M1一类工业用地、M2二类工业用地、M3二类工业工地、M4四类工业用地、P保护区用地、T5管道运输用地、U1供应设施用地、U2环境设施用地、U3安全设施用地、U4殡葬设施用地、U9其他公用设施用地、W2普通仓储用地、W3特殊仓储用地、X待深入研究用地、H9其他建设用地、E1水域、E2农林用地、E9其他非建设用地</w:t>
            </w:r>
          </w:p>
        </w:tc>
        <w:tc>
          <w:tcPr>
            <w:tcW w:w="2738" w:type="dxa"/>
            <w:shd w:val="clear" w:color="auto" w:fill="auto"/>
            <w:tcMar>
              <w:top w:w="72" w:type="dxa"/>
              <w:left w:w="144" w:type="dxa"/>
              <w:bottom w:w="72" w:type="dxa"/>
              <w:right w:w="144" w:type="dxa"/>
            </w:tcMar>
            <w:vAlign w:val="center"/>
          </w:tcPr>
          <w:p w14:paraId="20FF5862">
            <w:pPr>
              <w:pStyle w:val="204"/>
              <w:spacing w:after="0" w:afterLines="0" w:line="280" w:lineRule="exact"/>
              <w:ind w:firstLine="0" w:firstLineChars="0"/>
              <w:rPr>
                <w:rFonts w:ascii="宋体" w:hAnsi="宋体" w:eastAsia="仿宋_GB2312"/>
                <w:sz w:val="24"/>
                <w:szCs w:val="21"/>
              </w:rPr>
            </w:pPr>
            <w:r>
              <w:rPr>
                <w:rFonts w:hint="eastAsia" w:ascii="宋体" w:hAnsi="宋体" w:eastAsia="仿宋_GB2312"/>
                <w:sz w:val="24"/>
                <w:szCs w:val="21"/>
              </w:rPr>
              <w:t>环境亮度严格控制区，禁止景观照明建设，保护城市“暗天空”。</w:t>
            </w:r>
          </w:p>
        </w:tc>
      </w:tr>
    </w:tbl>
    <w:p w14:paraId="7E70B922">
      <w:pPr>
        <w:pStyle w:val="6"/>
        <w:keepNext w:val="0"/>
        <w:keepLines w:val="0"/>
        <w:adjustRightInd w:val="0"/>
        <w:spacing w:before="0" w:beforeLines="0" w:after="0" w:afterLines="0"/>
        <w:ind w:firstLine="640" w:firstLineChars="200"/>
        <w:rPr>
          <w:rFonts w:ascii="宋体" w:hAnsi="宋体" w:eastAsia="黑体" w:cs="黑体"/>
          <w:b w:val="0"/>
          <w:sz w:val="32"/>
        </w:rPr>
      </w:pPr>
      <w:bookmarkStart w:id="707" w:name="_Toc30360"/>
      <w:bookmarkStart w:id="708" w:name="_Toc16120"/>
      <w:bookmarkStart w:id="709" w:name="_Toc88656272"/>
      <w:bookmarkStart w:id="710" w:name="_Toc19384"/>
      <w:bookmarkStart w:id="711" w:name="_Toc1235"/>
      <w:bookmarkStart w:id="712" w:name="_Toc3878"/>
      <w:r>
        <w:rPr>
          <w:rFonts w:hint="eastAsia" w:ascii="宋体" w:hAnsi="宋体" w:eastAsia="黑体" w:cs="黑体"/>
          <w:b w:val="0"/>
          <w:sz w:val="32"/>
        </w:rPr>
        <w:t>六、光污染防治控制指标</w:t>
      </w:r>
      <w:bookmarkEnd w:id="707"/>
      <w:bookmarkEnd w:id="708"/>
      <w:bookmarkEnd w:id="709"/>
      <w:bookmarkEnd w:id="710"/>
      <w:bookmarkEnd w:id="711"/>
      <w:bookmarkEnd w:id="712"/>
    </w:p>
    <w:p w14:paraId="678A506B">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光污染防治需提升居住区周边光污染治理能力。</w:t>
      </w:r>
    </w:p>
    <w:p w14:paraId="361A505D">
      <w:pPr>
        <w:pStyle w:val="204"/>
        <w:adjustRightInd w:val="0"/>
        <w:spacing w:after="0" w:afterLines="0"/>
        <w:ind w:firstLine="640"/>
        <w:rPr>
          <w:rFonts w:ascii="宋体" w:hAnsi="宋体" w:eastAsia="仿宋_GB2312"/>
          <w:sz w:val="32"/>
          <w:lang w:eastAsia="zh-Hans"/>
        </w:rPr>
      </w:pPr>
      <w:r>
        <w:rPr>
          <w:rFonts w:hint="eastAsia" w:ascii="宋体" w:hAnsi="宋体" w:eastAsia="仿宋_GB2312"/>
          <w:sz w:val="32"/>
          <w:lang w:eastAsia="zh-Hans"/>
        </w:rPr>
        <w:t>执行</w:t>
      </w:r>
      <w:r>
        <w:rPr>
          <w:rFonts w:hint="eastAsia" w:ascii="宋体" w:hAnsi="宋体" w:eastAsia="仿宋_GB2312"/>
          <w:sz w:val="32"/>
        </w:rPr>
        <w:t>住房和城乡建设部</w:t>
      </w:r>
      <w:r>
        <w:rPr>
          <w:rFonts w:hint="eastAsia" w:ascii="宋体" w:hAnsi="宋体" w:eastAsia="仿宋_GB2312"/>
          <w:sz w:val="32"/>
          <w:lang w:eastAsia="zh-Hans"/>
        </w:rPr>
        <w:t>《绿色照明检测及评价标准》（GB/T 51268</w:t>
      </w:r>
      <w:r>
        <w:rPr>
          <w:rFonts w:hint="eastAsia" w:ascii="宋体" w:hAnsi="宋体" w:eastAsia="仿宋_GB2312"/>
          <w:sz w:val="32"/>
        </w:rPr>
        <w:t>—</w:t>
      </w:r>
      <w:r>
        <w:rPr>
          <w:rFonts w:hint="eastAsia" w:ascii="宋体" w:hAnsi="宋体" w:eastAsia="仿宋_GB2312"/>
          <w:sz w:val="32"/>
          <w:lang w:eastAsia="zh-Hans"/>
        </w:rPr>
        <w:t>2017）和《室外照明干扰光限制规范》（GB/T35626</w:t>
      </w:r>
      <w:r>
        <w:rPr>
          <w:rFonts w:hint="eastAsia" w:ascii="宋体" w:hAnsi="宋体" w:eastAsia="仿宋_GB2312"/>
          <w:sz w:val="32"/>
        </w:rPr>
        <w:t>—</w:t>
      </w:r>
      <w:r>
        <w:rPr>
          <w:rFonts w:hint="eastAsia" w:ascii="宋体" w:hAnsi="宋体" w:eastAsia="仿宋_GB2312"/>
          <w:sz w:val="32"/>
          <w:lang w:eastAsia="zh-Hans"/>
        </w:rPr>
        <w:t>2017）中对于居住区居室窗户外表面上垂直照度的限制，逐步完善居住区周边光污染防治工作。</w:t>
      </w:r>
    </w:p>
    <w:p w14:paraId="2FF59BE0">
      <w:pPr>
        <w:pStyle w:val="204"/>
        <w:adjustRightInd w:val="0"/>
        <w:spacing w:after="0" w:afterLines="0"/>
        <w:ind w:firstLine="640"/>
        <w:rPr>
          <w:rFonts w:ascii="宋体" w:hAnsi="宋体" w:eastAsia="仿宋_GB2312"/>
          <w:sz w:val="32"/>
          <w:lang w:eastAsia="zh-Hans"/>
        </w:rPr>
      </w:pPr>
    </w:p>
    <w:p w14:paraId="4801D723">
      <w:pPr>
        <w:pStyle w:val="205"/>
        <w:spacing w:before="156" w:after="156"/>
        <w:rPr>
          <w:rFonts w:ascii="宋体" w:hAnsi="宋体"/>
          <w:bCs w:val="0"/>
          <w:sz w:val="24"/>
          <w:szCs w:val="24"/>
        </w:rPr>
      </w:pPr>
      <w:r>
        <w:rPr>
          <w:rFonts w:hint="eastAsia" w:ascii="宋体" w:hAnsi="宋体"/>
          <w:bCs w:val="0"/>
          <w:sz w:val="24"/>
          <w:szCs w:val="24"/>
        </w:rPr>
        <w:t>表13—</w:t>
      </w:r>
      <w:r>
        <w:rPr>
          <w:rFonts w:ascii="宋体" w:hAnsi="宋体"/>
          <w:bCs w:val="0"/>
          <w:sz w:val="24"/>
          <w:szCs w:val="24"/>
        </w:rPr>
        <w:t>19</w:t>
      </w:r>
      <w:r>
        <w:rPr>
          <w:rFonts w:hint="eastAsia" w:ascii="宋体" w:hAnsi="宋体"/>
          <w:bCs w:val="0"/>
          <w:sz w:val="24"/>
          <w:szCs w:val="24"/>
        </w:rPr>
        <w:t>照明设施对行人、居住区的干扰光以及夜空光污染</w:t>
      </w:r>
    </w:p>
    <w:tbl>
      <w:tblPr>
        <w:tblStyle w:val="89"/>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1"/>
        <w:gridCol w:w="906"/>
        <w:gridCol w:w="906"/>
        <w:gridCol w:w="908"/>
        <w:gridCol w:w="1055"/>
        <w:gridCol w:w="906"/>
        <w:gridCol w:w="1057"/>
        <w:gridCol w:w="1055"/>
        <w:gridCol w:w="841"/>
      </w:tblGrid>
      <w:tr w14:paraId="3427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trPr>
        <w:tc>
          <w:tcPr>
            <w:tcW w:w="1201" w:type="dxa"/>
            <w:shd w:val="clear" w:color="auto" w:fill="auto"/>
            <w:tcMar>
              <w:top w:w="15" w:type="dxa"/>
              <w:left w:w="108" w:type="dxa"/>
              <w:bottom w:w="0" w:type="dxa"/>
              <w:right w:w="108" w:type="dxa"/>
            </w:tcMar>
            <w:vAlign w:val="center"/>
          </w:tcPr>
          <w:p w14:paraId="03C7AEBB">
            <w:pPr>
              <w:pStyle w:val="190"/>
              <w:kinsoku w:val="0"/>
              <w:overflowPunct w:val="0"/>
              <w:jc w:val="center"/>
              <w:rPr>
                <w:rFonts w:ascii="宋体" w:hAnsi="宋体" w:eastAsia="仿宋_GB2312" w:cs="仿宋"/>
                <w:szCs w:val="21"/>
              </w:rPr>
            </w:pPr>
            <w:r>
              <w:rPr>
                <w:rFonts w:hint="eastAsia" w:ascii="宋体" w:hAnsi="宋体" w:eastAsia="仿宋_GB2312" w:cs="仿宋"/>
                <w:szCs w:val="21"/>
              </w:rPr>
              <w:t>控制类型</w:t>
            </w:r>
          </w:p>
        </w:tc>
        <w:tc>
          <w:tcPr>
            <w:tcW w:w="2720" w:type="dxa"/>
            <w:gridSpan w:val="3"/>
            <w:shd w:val="clear" w:color="auto" w:fill="auto"/>
            <w:tcMar>
              <w:top w:w="15" w:type="dxa"/>
              <w:left w:w="108" w:type="dxa"/>
              <w:bottom w:w="0" w:type="dxa"/>
              <w:right w:w="108" w:type="dxa"/>
            </w:tcMar>
            <w:vAlign w:val="center"/>
          </w:tcPr>
          <w:p w14:paraId="0D9C6DCC">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对行人的干扰光</w:t>
            </w:r>
          </w:p>
        </w:tc>
        <w:tc>
          <w:tcPr>
            <w:tcW w:w="4073" w:type="dxa"/>
            <w:gridSpan w:val="4"/>
            <w:shd w:val="clear" w:color="auto" w:fill="auto"/>
            <w:tcMar>
              <w:top w:w="15" w:type="dxa"/>
              <w:left w:w="108" w:type="dxa"/>
              <w:bottom w:w="0" w:type="dxa"/>
              <w:right w:w="108" w:type="dxa"/>
            </w:tcMar>
            <w:vAlign w:val="center"/>
          </w:tcPr>
          <w:p w14:paraId="7F331799">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对居住区干扰光</w:t>
            </w:r>
          </w:p>
        </w:tc>
        <w:tc>
          <w:tcPr>
            <w:tcW w:w="841" w:type="dxa"/>
            <w:shd w:val="clear" w:color="auto" w:fill="auto"/>
            <w:tcMar>
              <w:top w:w="15" w:type="dxa"/>
              <w:left w:w="108" w:type="dxa"/>
              <w:bottom w:w="0" w:type="dxa"/>
              <w:right w:w="108" w:type="dxa"/>
            </w:tcMar>
            <w:vAlign w:val="center"/>
          </w:tcPr>
          <w:p w14:paraId="082136D1">
            <w:pPr>
              <w:pStyle w:val="190"/>
              <w:kinsoku w:val="0"/>
              <w:overflowPunct w:val="0"/>
              <w:jc w:val="center"/>
              <w:rPr>
                <w:rFonts w:ascii="宋体" w:hAnsi="宋体" w:eastAsia="仿宋_GB2312" w:cs="仿宋"/>
                <w:szCs w:val="21"/>
              </w:rPr>
            </w:pPr>
            <w:r>
              <w:rPr>
                <w:rFonts w:hint="eastAsia" w:ascii="宋体" w:hAnsi="宋体" w:eastAsia="仿宋_GB2312" w:cs="仿宋"/>
                <w:szCs w:val="21"/>
              </w:rPr>
              <w:t>对夜空光污染</w:t>
            </w:r>
          </w:p>
        </w:tc>
      </w:tr>
      <w:tr w14:paraId="3005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4" w:hRule="exact"/>
        </w:trPr>
        <w:tc>
          <w:tcPr>
            <w:tcW w:w="1201" w:type="dxa"/>
            <w:vMerge w:val="restart"/>
            <w:shd w:val="clear" w:color="auto" w:fill="auto"/>
            <w:tcMar>
              <w:top w:w="15" w:type="dxa"/>
              <w:left w:w="108" w:type="dxa"/>
              <w:bottom w:w="0" w:type="dxa"/>
              <w:right w:w="108" w:type="dxa"/>
            </w:tcMar>
            <w:vAlign w:val="center"/>
          </w:tcPr>
          <w:p w14:paraId="2457FBD7">
            <w:pPr>
              <w:pStyle w:val="190"/>
              <w:kinsoku w:val="0"/>
              <w:overflowPunct w:val="0"/>
              <w:jc w:val="center"/>
              <w:rPr>
                <w:rFonts w:ascii="宋体" w:hAnsi="宋体" w:eastAsia="仿宋_GB2312" w:cs="仿宋"/>
                <w:szCs w:val="21"/>
              </w:rPr>
            </w:pPr>
            <w:r>
              <w:rPr>
                <w:rFonts w:hint="eastAsia" w:ascii="宋体" w:hAnsi="宋体" w:eastAsia="仿宋_GB2312" w:cs="仿宋"/>
                <w:szCs w:val="21"/>
              </w:rPr>
              <w:t>照明分区</w:t>
            </w:r>
          </w:p>
        </w:tc>
        <w:tc>
          <w:tcPr>
            <w:tcW w:w="2720" w:type="dxa"/>
            <w:gridSpan w:val="3"/>
            <w:shd w:val="clear" w:color="auto" w:fill="auto"/>
            <w:tcMar>
              <w:top w:w="15" w:type="dxa"/>
              <w:left w:w="108" w:type="dxa"/>
              <w:bottom w:w="0" w:type="dxa"/>
              <w:right w:w="108" w:type="dxa"/>
            </w:tcMar>
            <w:vAlign w:val="center"/>
          </w:tcPr>
          <w:p w14:paraId="762AFB12">
            <w:pPr>
              <w:pStyle w:val="190"/>
              <w:kinsoku w:val="0"/>
              <w:overflowPunct w:val="0"/>
              <w:jc w:val="center"/>
              <w:rPr>
                <w:rFonts w:ascii="宋体" w:hAnsi="宋体" w:eastAsia="仿宋_GB2312" w:cs="仿宋"/>
                <w:szCs w:val="21"/>
              </w:rPr>
            </w:pPr>
            <w:r>
              <w:rPr>
                <w:rFonts w:hint="eastAsia" w:ascii="宋体" w:hAnsi="宋体" w:eastAsia="仿宋_GB2312" w:cs="仿宋"/>
                <w:szCs w:val="21"/>
              </w:rPr>
              <w:t>LA0.5</w:t>
            </w:r>
          </w:p>
        </w:tc>
        <w:tc>
          <w:tcPr>
            <w:tcW w:w="1055" w:type="dxa"/>
            <w:vMerge w:val="restart"/>
            <w:shd w:val="clear" w:color="auto" w:fill="auto"/>
            <w:tcMar>
              <w:top w:w="15" w:type="dxa"/>
              <w:left w:w="108" w:type="dxa"/>
              <w:bottom w:w="0" w:type="dxa"/>
              <w:right w:w="108" w:type="dxa"/>
            </w:tcMar>
            <w:vAlign w:val="center"/>
          </w:tcPr>
          <w:p w14:paraId="6B6D521D">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熄灯时段前窗户外表面垂直照度</w:t>
            </w:r>
          </w:p>
          <w:p w14:paraId="0C41BB3F">
            <w:pPr>
              <w:pStyle w:val="190"/>
              <w:kinsoku w:val="0"/>
              <w:overflowPunct w:val="0"/>
              <w:jc w:val="center"/>
              <w:rPr>
                <w:rFonts w:ascii="宋体" w:hAnsi="宋体" w:eastAsia="仿宋_GB2312" w:cs="仿宋"/>
                <w:szCs w:val="21"/>
              </w:rPr>
            </w:pPr>
            <w:r>
              <w:rPr>
                <w:rFonts w:hint="eastAsia" w:ascii="宋体" w:hAnsi="宋体" w:eastAsia="仿宋_GB2312" w:cs="仿宋"/>
                <w:szCs w:val="21"/>
              </w:rPr>
              <w:t>（lx）</w:t>
            </w:r>
          </w:p>
        </w:tc>
        <w:tc>
          <w:tcPr>
            <w:tcW w:w="906" w:type="dxa"/>
            <w:vMerge w:val="restart"/>
            <w:shd w:val="clear" w:color="auto" w:fill="auto"/>
            <w:tcMar>
              <w:top w:w="15" w:type="dxa"/>
              <w:left w:w="108" w:type="dxa"/>
              <w:bottom w:w="0" w:type="dxa"/>
              <w:right w:w="108" w:type="dxa"/>
            </w:tcMar>
            <w:vAlign w:val="center"/>
          </w:tcPr>
          <w:p w14:paraId="031DF3CC">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熄灯时段窗户外表面</w:t>
            </w:r>
          </w:p>
          <w:p w14:paraId="4FE084F9">
            <w:pPr>
              <w:pStyle w:val="190"/>
              <w:kinsoku w:val="0"/>
              <w:overflowPunct w:val="0"/>
              <w:jc w:val="center"/>
              <w:rPr>
                <w:rFonts w:ascii="宋体" w:hAnsi="宋体" w:eastAsia="仿宋_GB2312" w:cs="仿宋"/>
                <w:szCs w:val="21"/>
              </w:rPr>
            </w:pPr>
            <w:r>
              <w:rPr>
                <w:rFonts w:hint="eastAsia" w:ascii="宋体" w:hAnsi="宋体" w:eastAsia="仿宋_GB2312" w:cs="仿宋"/>
                <w:szCs w:val="21"/>
              </w:rPr>
              <w:t>垂直照度</w:t>
            </w:r>
          </w:p>
          <w:p w14:paraId="3183638D">
            <w:pPr>
              <w:pStyle w:val="190"/>
              <w:kinsoku w:val="0"/>
              <w:overflowPunct w:val="0"/>
              <w:jc w:val="center"/>
              <w:rPr>
                <w:rFonts w:ascii="宋体" w:hAnsi="宋体" w:eastAsia="仿宋_GB2312" w:cs="仿宋"/>
                <w:szCs w:val="21"/>
              </w:rPr>
            </w:pPr>
            <w:r>
              <w:rPr>
                <w:rFonts w:hint="eastAsia" w:ascii="宋体" w:hAnsi="宋体" w:eastAsia="仿宋_GB2312" w:cs="仿宋"/>
                <w:szCs w:val="21"/>
              </w:rPr>
              <w:t>（lx）</w:t>
            </w:r>
          </w:p>
        </w:tc>
        <w:tc>
          <w:tcPr>
            <w:tcW w:w="1057" w:type="dxa"/>
            <w:vMerge w:val="restart"/>
            <w:shd w:val="clear" w:color="auto" w:fill="auto"/>
            <w:tcMar>
              <w:top w:w="15" w:type="dxa"/>
              <w:left w:w="108" w:type="dxa"/>
              <w:bottom w:w="0" w:type="dxa"/>
              <w:right w:w="108" w:type="dxa"/>
            </w:tcMar>
            <w:vAlign w:val="center"/>
          </w:tcPr>
          <w:p w14:paraId="46487670">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熄灯时段前朝向窗户方向的光强限值</w:t>
            </w:r>
          </w:p>
          <w:p w14:paraId="3F2BFC0F">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1055" w:type="dxa"/>
            <w:vMerge w:val="restart"/>
            <w:shd w:val="clear" w:color="auto" w:fill="auto"/>
            <w:tcMar>
              <w:top w:w="15" w:type="dxa"/>
              <w:left w:w="108" w:type="dxa"/>
              <w:bottom w:w="0" w:type="dxa"/>
              <w:right w:w="108" w:type="dxa"/>
            </w:tcMar>
            <w:vAlign w:val="center"/>
          </w:tcPr>
          <w:p w14:paraId="04419CF1">
            <w:pPr>
              <w:pStyle w:val="190"/>
              <w:kinsoku w:val="0"/>
              <w:overflowPunct w:val="0"/>
              <w:jc w:val="center"/>
              <w:rPr>
                <w:rFonts w:ascii="宋体" w:hAnsi="宋体" w:eastAsia="仿宋_GB2312" w:cs="仿宋"/>
                <w:szCs w:val="21"/>
              </w:rPr>
            </w:pPr>
            <w:r>
              <w:rPr>
                <w:rFonts w:hint="eastAsia" w:ascii="宋体" w:hAnsi="宋体" w:eastAsia="仿宋_GB2312" w:cs="仿宋"/>
                <w:szCs w:val="21"/>
              </w:rPr>
              <w:t>熄灯时段朝向窗户方向的光强限值</w:t>
            </w:r>
          </w:p>
          <w:p w14:paraId="2C44E218">
            <w:pPr>
              <w:pStyle w:val="190"/>
              <w:kinsoku w:val="0"/>
              <w:overflowPunct w:val="0"/>
              <w:jc w:val="center"/>
              <w:rPr>
                <w:rFonts w:ascii="宋体" w:hAnsi="宋体" w:eastAsia="仿宋_GB2312" w:cs="仿宋"/>
                <w:szCs w:val="21"/>
              </w:rPr>
            </w:pPr>
            <w:r>
              <w:rPr>
                <w:rFonts w:hint="eastAsia" w:ascii="宋体" w:hAnsi="宋体" w:eastAsia="仿宋_GB2312" w:cs="仿宋"/>
                <w:szCs w:val="21"/>
              </w:rPr>
              <w:t>（cd）</w:t>
            </w:r>
          </w:p>
        </w:tc>
        <w:tc>
          <w:tcPr>
            <w:tcW w:w="841" w:type="dxa"/>
            <w:vMerge w:val="restart"/>
            <w:shd w:val="clear" w:color="auto" w:fill="auto"/>
            <w:tcMar>
              <w:top w:w="15" w:type="dxa"/>
              <w:left w:w="108" w:type="dxa"/>
              <w:bottom w:w="0" w:type="dxa"/>
              <w:right w:w="108" w:type="dxa"/>
            </w:tcMar>
            <w:vAlign w:val="center"/>
          </w:tcPr>
          <w:p w14:paraId="121FAF7B">
            <w:pPr>
              <w:pStyle w:val="190"/>
              <w:kinsoku w:val="0"/>
              <w:overflowPunct w:val="0"/>
              <w:jc w:val="center"/>
              <w:rPr>
                <w:rFonts w:ascii="宋体" w:hAnsi="宋体" w:eastAsia="仿宋_GB2312" w:cs="仿宋"/>
                <w:szCs w:val="21"/>
              </w:rPr>
            </w:pPr>
            <w:r>
              <w:rPr>
                <w:rFonts w:hint="eastAsia" w:ascii="宋体" w:hAnsi="宋体" w:eastAsia="仿宋_GB2312" w:cs="仿宋"/>
                <w:szCs w:val="21"/>
              </w:rPr>
              <w:t>上射光通比</w:t>
            </w:r>
          </w:p>
          <w:p w14:paraId="6EAFEFFC">
            <w:pPr>
              <w:pStyle w:val="190"/>
              <w:kinsoku w:val="0"/>
              <w:overflowPunct w:val="0"/>
              <w:jc w:val="center"/>
              <w:rPr>
                <w:rFonts w:ascii="宋体" w:hAnsi="宋体" w:eastAsia="仿宋_GB2312" w:cs="仿宋"/>
                <w:szCs w:val="21"/>
              </w:rPr>
            </w:pPr>
            <w:r>
              <w:rPr>
                <w:rFonts w:hint="eastAsia" w:ascii="宋体" w:hAnsi="宋体" w:eastAsia="仿宋_GB2312" w:cs="仿宋"/>
                <w:szCs w:val="21"/>
              </w:rPr>
              <w:t>（%）</w:t>
            </w:r>
          </w:p>
        </w:tc>
      </w:tr>
      <w:tr w14:paraId="0323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9" w:hRule="exact"/>
        </w:trPr>
        <w:tc>
          <w:tcPr>
            <w:tcW w:w="1201" w:type="dxa"/>
            <w:vMerge w:val="continue"/>
            <w:shd w:val="clear" w:color="auto" w:fill="auto"/>
            <w:tcMar>
              <w:top w:w="15" w:type="dxa"/>
              <w:left w:w="108" w:type="dxa"/>
              <w:bottom w:w="0" w:type="dxa"/>
              <w:right w:w="108" w:type="dxa"/>
            </w:tcMar>
            <w:vAlign w:val="center"/>
          </w:tcPr>
          <w:p w14:paraId="5FB4C8C9">
            <w:pPr>
              <w:pStyle w:val="190"/>
              <w:kinsoku w:val="0"/>
              <w:overflowPunct w:val="0"/>
              <w:jc w:val="center"/>
              <w:rPr>
                <w:rFonts w:ascii="宋体" w:hAnsi="宋体" w:eastAsia="仿宋_GB2312" w:cs="仿宋"/>
                <w:szCs w:val="21"/>
              </w:rPr>
            </w:pPr>
          </w:p>
        </w:tc>
        <w:tc>
          <w:tcPr>
            <w:tcW w:w="906" w:type="dxa"/>
            <w:shd w:val="clear" w:color="auto" w:fill="auto"/>
            <w:tcMar>
              <w:top w:w="15" w:type="dxa"/>
              <w:left w:w="108" w:type="dxa"/>
              <w:bottom w:w="0" w:type="dxa"/>
              <w:right w:w="108" w:type="dxa"/>
            </w:tcMar>
            <w:vAlign w:val="center"/>
          </w:tcPr>
          <w:p w14:paraId="1EFD5959">
            <w:pPr>
              <w:pStyle w:val="190"/>
              <w:kinsoku w:val="0"/>
              <w:overflowPunct w:val="0"/>
              <w:jc w:val="center"/>
              <w:rPr>
                <w:rFonts w:ascii="宋体" w:hAnsi="宋体" w:eastAsia="仿宋_GB2312" w:cs="仿宋"/>
                <w:szCs w:val="21"/>
              </w:rPr>
            </w:pPr>
            <w:r>
              <w:rPr>
                <w:rFonts w:hint="eastAsia" w:ascii="宋体" w:hAnsi="宋体" w:eastAsia="仿宋_GB2312" w:cs="仿宋"/>
                <w:szCs w:val="21"/>
              </w:rPr>
              <w:t>H≤4.5</w:t>
            </w:r>
          </w:p>
        </w:tc>
        <w:tc>
          <w:tcPr>
            <w:tcW w:w="906" w:type="dxa"/>
            <w:shd w:val="clear" w:color="auto" w:fill="auto"/>
            <w:tcMar>
              <w:top w:w="15" w:type="dxa"/>
              <w:left w:w="108" w:type="dxa"/>
              <w:bottom w:w="0" w:type="dxa"/>
              <w:right w:w="108" w:type="dxa"/>
            </w:tcMar>
            <w:vAlign w:val="center"/>
          </w:tcPr>
          <w:p w14:paraId="24CF70BF">
            <w:pPr>
              <w:pStyle w:val="190"/>
              <w:kinsoku w:val="0"/>
              <w:overflowPunct w:val="0"/>
              <w:jc w:val="center"/>
              <w:rPr>
                <w:rFonts w:ascii="宋体" w:hAnsi="宋体" w:eastAsia="仿宋_GB2312" w:cs="仿宋"/>
                <w:szCs w:val="21"/>
              </w:rPr>
            </w:pPr>
            <w:r>
              <w:rPr>
                <w:rFonts w:hint="eastAsia" w:ascii="宋体" w:hAnsi="宋体" w:eastAsia="仿宋_GB2312" w:cs="仿宋"/>
                <w:szCs w:val="21"/>
              </w:rPr>
              <w:t>4.5＜</w:t>
            </w:r>
          </w:p>
          <w:p w14:paraId="2B108BC1">
            <w:pPr>
              <w:pStyle w:val="190"/>
              <w:kinsoku w:val="0"/>
              <w:overflowPunct w:val="0"/>
              <w:jc w:val="center"/>
              <w:rPr>
                <w:rFonts w:ascii="宋体" w:hAnsi="宋体" w:eastAsia="仿宋_GB2312" w:cs="仿宋"/>
                <w:szCs w:val="21"/>
              </w:rPr>
            </w:pPr>
            <w:r>
              <w:rPr>
                <w:rFonts w:hint="eastAsia" w:ascii="宋体" w:hAnsi="宋体" w:eastAsia="仿宋_GB2312" w:cs="仿宋"/>
                <w:szCs w:val="21"/>
              </w:rPr>
              <w:t>H≤6</w:t>
            </w:r>
          </w:p>
        </w:tc>
        <w:tc>
          <w:tcPr>
            <w:tcW w:w="908" w:type="dxa"/>
            <w:shd w:val="clear" w:color="auto" w:fill="auto"/>
            <w:tcMar>
              <w:top w:w="15" w:type="dxa"/>
              <w:left w:w="108" w:type="dxa"/>
              <w:bottom w:w="0" w:type="dxa"/>
              <w:right w:w="108" w:type="dxa"/>
            </w:tcMar>
            <w:vAlign w:val="center"/>
          </w:tcPr>
          <w:p w14:paraId="7F51DABF">
            <w:pPr>
              <w:pStyle w:val="190"/>
              <w:kinsoku w:val="0"/>
              <w:overflowPunct w:val="0"/>
              <w:jc w:val="center"/>
              <w:rPr>
                <w:rFonts w:ascii="宋体" w:hAnsi="宋体" w:eastAsia="仿宋_GB2312" w:cs="仿宋"/>
                <w:szCs w:val="21"/>
              </w:rPr>
            </w:pPr>
            <w:r>
              <w:rPr>
                <w:rFonts w:hint="eastAsia" w:ascii="宋体" w:hAnsi="宋体" w:eastAsia="仿宋_GB2312" w:cs="仿宋"/>
                <w:szCs w:val="21"/>
              </w:rPr>
              <w:t>H＞6</w:t>
            </w:r>
          </w:p>
        </w:tc>
        <w:tc>
          <w:tcPr>
            <w:tcW w:w="1055" w:type="dxa"/>
            <w:vMerge w:val="continue"/>
            <w:shd w:val="clear" w:color="auto" w:fill="auto"/>
            <w:tcMar>
              <w:top w:w="15" w:type="dxa"/>
              <w:left w:w="108" w:type="dxa"/>
              <w:bottom w:w="0" w:type="dxa"/>
              <w:right w:w="108" w:type="dxa"/>
            </w:tcMar>
            <w:vAlign w:val="center"/>
          </w:tcPr>
          <w:p w14:paraId="1C57D549">
            <w:pPr>
              <w:pStyle w:val="210"/>
              <w:spacing w:line="240" w:lineRule="atLeast"/>
              <w:rPr>
                <w:rFonts w:ascii="宋体" w:hAnsi="宋体" w:eastAsia="仿宋_GB2312"/>
                <w:sz w:val="24"/>
              </w:rPr>
            </w:pPr>
          </w:p>
        </w:tc>
        <w:tc>
          <w:tcPr>
            <w:tcW w:w="906" w:type="dxa"/>
            <w:vMerge w:val="continue"/>
            <w:shd w:val="clear" w:color="auto" w:fill="auto"/>
            <w:tcMar>
              <w:top w:w="15" w:type="dxa"/>
              <w:left w:w="108" w:type="dxa"/>
              <w:bottom w:w="0" w:type="dxa"/>
              <w:right w:w="108" w:type="dxa"/>
            </w:tcMar>
            <w:vAlign w:val="center"/>
          </w:tcPr>
          <w:p w14:paraId="5C6D8D76">
            <w:pPr>
              <w:pStyle w:val="210"/>
              <w:spacing w:line="240" w:lineRule="atLeast"/>
              <w:rPr>
                <w:rFonts w:ascii="宋体" w:hAnsi="宋体" w:eastAsia="仿宋_GB2312"/>
                <w:sz w:val="24"/>
              </w:rPr>
            </w:pPr>
          </w:p>
        </w:tc>
        <w:tc>
          <w:tcPr>
            <w:tcW w:w="1057" w:type="dxa"/>
            <w:vMerge w:val="continue"/>
            <w:shd w:val="clear" w:color="auto" w:fill="auto"/>
            <w:tcMar>
              <w:top w:w="15" w:type="dxa"/>
              <w:left w:w="108" w:type="dxa"/>
              <w:bottom w:w="0" w:type="dxa"/>
              <w:right w:w="108" w:type="dxa"/>
            </w:tcMar>
            <w:vAlign w:val="center"/>
          </w:tcPr>
          <w:p w14:paraId="79B5927D">
            <w:pPr>
              <w:pStyle w:val="210"/>
              <w:spacing w:line="240" w:lineRule="atLeast"/>
              <w:rPr>
                <w:rFonts w:ascii="宋体" w:hAnsi="宋体" w:eastAsia="仿宋_GB2312"/>
                <w:sz w:val="24"/>
              </w:rPr>
            </w:pPr>
          </w:p>
        </w:tc>
        <w:tc>
          <w:tcPr>
            <w:tcW w:w="1055" w:type="dxa"/>
            <w:vMerge w:val="continue"/>
            <w:shd w:val="clear" w:color="auto" w:fill="auto"/>
            <w:tcMar>
              <w:top w:w="15" w:type="dxa"/>
              <w:left w:w="108" w:type="dxa"/>
              <w:bottom w:w="0" w:type="dxa"/>
              <w:right w:w="108" w:type="dxa"/>
            </w:tcMar>
            <w:vAlign w:val="center"/>
          </w:tcPr>
          <w:p w14:paraId="5298E837">
            <w:pPr>
              <w:pStyle w:val="210"/>
              <w:spacing w:line="240" w:lineRule="atLeast"/>
              <w:rPr>
                <w:rFonts w:ascii="宋体" w:hAnsi="宋体" w:eastAsia="仿宋_GB2312"/>
                <w:sz w:val="24"/>
              </w:rPr>
            </w:pPr>
          </w:p>
        </w:tc>
        <w:tc>
          <w:tcPr>
            <w:tcW w:w="841" w:type="dxa"/>
            <w:vMerge w:val="continue"/>
            <w:shd w:val="clear" w:color="auto" w:fill="auto"/>
            <w:tcMar>
              <w:top w:w="15" w:type="dxa"/>
              <w:left w:w="108" w:type="dxa"/>
              <w:bottom w:w="0" w:type="dxa"/>
              <w:right w:w="108" w:type="dxa"/>
            </w:tcMar>
            <w:vAlign w:val="center"/>
          </w:tcPr>
          <w:p w14:paraId="22E759FA">
            <w:pPr>
              <w:pStyle w:val="210"/>
              <w:spacing w:line="240" w:lineRule="atLeast"/>
              <w:rPr>
                <w:rFonts w:ascii="宋体" w:hAnsi="宋体" w:eastAsia="仿宋_GB2312"/>
                <w:sz w:val="24"/>
              </w:rPr>
            </w:pPr>
          </w:p>
        </w:tc>
      </w:tr>
      <w:tr w14:paraId="4707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1201" w:type="dxa"/>
            <w:shd w:val="clear" w:color="auto" w:fill="auto"/>
            <w:tcMar>
              <w:top w:w="15" w:type="dxa"/>
              <w:left w:w="108" w:type="dxa"/>
              <w:bottom w:w="0" w:type="dxa"/>
              <w:right w:w="108" w:type="dxa"/>
            </w:tcMar>
            <w:vAlign w:val="center"/>
          </w:tcPr>
          <w:p w14:paraId="4A975617">
            <w:pPr>
              <w:pStyle w:val="210"/>
              <w:spacing w:line="240" w:lineRule="atLeast"/>
              <w:rPr>
                <w:rFonts w:ascii="宋体" w:hAnsi="宋体" w:eastAsia="仿宋_GB2312" w:cs="仿宋"/>
                <w:sz w:val="24"/>
                <w:szCs w:val="21"/>
              </w:rPr>
            </w:pPr>
            <w:r>
              <w:rPr>
                <w:rFonts w:ascii="宋体" w:hAnsi="宋体" w:eastAsia="仿宋_GB2312" w:cs="仿宋"/>
                <w:sz w:val="24"/>
                <w:szCs w:val="21"/>
              </w:rPr>
              <w:t>IV</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14:paraId="265373FD">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14:paraId="18AC2E4D">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14:paraId="30588C9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14:paraId="1ED4E541">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w:t>
            </w:r>
          </w:p>
        </w:tc>
        <w:tc>
          <w:tcPr>
            <w:tcW w:w="906" w:type="dxa"/>
            <w:shd w:val="clear" w:color="auto" w:fill="auto"/>
            <w:tcMar>
              <w:top w:w="15" w:type="dxa"/>
              <w:left w:w="108" w:type="dxa"/>
              <w:bottom w:w="0" w:type="dxa"/>
              <w:right w:w="108" w:type="dxa"/>
            </w:tcMar>
            <w:vAlign w:val="center"/>
          </w:tcPr>
          <w:p w14:paraId="201AE6C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c>
          <w:tcPr>
            <w:tcW w:w="1057" w:type="dxa"/>
            <w:shd w:val="clear" w:color="auto" w:fill="auto"/>
            <w:tcMar>
              <w:top w:w="15" w:type="dxa"/>
              <w:left w:w="108" w:type="dxa"/>
              <w:bottom w:w="0" w:type="dxa"/>
              <w:right w:w="108" w:type="dxa"/>
            </w:tcMar>
            <w:vAlign w:val="center"/>
          </w:tcPr>
          <w:p w14:paraId="39C8AF6E">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25000</w:t>
            </w:r>
          </w:p>
        </w:tc>
        <w:tc>
          <w:tcPr>
            <w:tcW w:w="1055" w:type="dxa"/>
            <w:shd w:val="clear" w:color="auto" w:fill="auto"/>
            <w:tcMar>
              <w:top w:w="15" w:type="dxa"/>
              <w:left w:w="108" w:type="dxa"/>
              <w:bottom w:w="0" w:type="dxa"/>
              <w:right w:w="108" w:type="dxa"/>
            </w:tcMar>
            <w:vAlign w:val="center"/>
          </w:tcPr>
          <w:p w14:paraId="77A31F45">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w:t>
            </w:r>
          </w:p>
        </w:tc>
        <w:tc>
          <w:tcPr>
            <w:tcW w:w="841" w:type="dxa"/>
            <w:shd w:val="clear" w:color="auto" w:fill="auto"/>
            <w:tcMar>
              <w:top w:w="15" w:type="dxa"/>
              <w:left w:w="108" w:type="dxa"/>
              <w:bottom w:w="0" w:type="dxa"/>
              <w:right w:w="108" w:type="dxa"/>
            </w:tcMar>
            <w:vAlign w:val="center"/>
          </w:tcPr>
          <w:p w14:paraId="1423299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w:t>
            </w:r>
          </w:p>
        </w:tc>
      </w:tr>
      <w:tr w14:paraId="1D00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 w:hRule="atLeast"/>
        </w:trPr>
        <w:tc>
          <w:tcPr>
            <w:tcW w:w="1201" w:type="dxa"/>
            <w:shd w:val="clear" w:color="auto" w:fill="auto"/>
            <w:tcMar>
              <w:top w:w="15" w:type="dxa"/>
              <w:left w:w="108" w:type="dxa"/>
              <w:bottom w:w="0" w:type="dxa"/>
              <w:right w:w="108" w:type="dxa"/>
            </w:tcMar>
            <w:vAlign w:val="center"/>
          </w:tcPr>
          <w:p w14:paraId="4344FADD">
            <w:pPr>
              <w:pStyle w:val="210"/>
              <w:spacing w:line="240" w:lineRule="atLeast"/>
              <w:rPr>
                <w:rFonts w:ascii="宋体" w:hAnsi="宋体" w:eastAsia="仿宋_GB2312" w:cs="仿宋"/>
                <w:sz w:val="24"/>
                <w:szCs w:val="21"/>
              </w:rPr>
            </w:pPr>
            <w:r>
              <w:rPr>
                <w:rFonts w:ascii="宋体" w:hAnsi="宋体" w:eastAsia="仿宋_GB2312" w:cs="仿宋"/>
                <w:sz w:val="24"/>
                <w:szCs w:val="21"/>
              </w:rPr>
              <w:t>III</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14:paraId="086681A9">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14:paraId="48BA649D">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14:paraId="0EDDC743">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14:paraId="0A37274D">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w:t>
            </w:r>
          </w:p>
        </w:tc>
        <w:tc>
          <w:tcPr>
            <w:tcW w:w="906" w:type="dxa"/>
            <w:shd w:val="clear" w:color="auto" w:fill="auto"/>
            <w:tcMar>
              <w:top w:w="15" w:type="dxa"/>
              <w:left w:w="108" w:type="dxa"/>
              <w:bottom w:w="0" w:type="dxa"/>
              <w:right w:w="108" w:type="dxa"/>
            </w:tcMar>
            <w:vAlign w:val="center"/>
          </w:tcPr>
          <w:p w14:paraId="4ABB64B4">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w:t>
            </w:r>
          </w:p>
        </w:tc>
        <w:tc>
          <w:tcPr>
            <w:tcW w:w="1057" w:type="dxa"/>
            <w:shd w:val="clear" w:color="auto" w:fill="auto"/>
            <w:tcMar>
              <w:top w:w="15" w:type="dxa"/>
              <w:left w:w="108" w:type="dxa"/>
              <w:bottom w:w="0" w:type="dxa"/>
              <w:right w:w="108" w:type="dxa"/>
            </w:tcMar>
            <w:vAlign w:val="center"/>
          </w:tcPr>
          <w:p w14:paraId="1099C1F9">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10000</w:t>
            </w:r>
          </w:p>
        </w:tc>
        <w:tc>
          <w:tcPr>
            <w:tcW w:w="1055" w:type="dxa"/>
            <w:shd w:val="clear" w:color="auto" w:fill="auto"/>
            <w:tcMar>
              <w:top w:w="15" w:type="dxa"/>
              <w:left w:w="108" w:type="dxa"/>
              <w:bottom w:w="0" w:type="dxa"/>
              <w:right w:w="108" w:type="dxa"/>
            </w:tcMar>
            <w:vAlign w:val="center"/>
          </w:tcPr>
          <w:p w14:paraId="219FF87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1000</w:t>
            </w:r>
          </w:p>
        </w:tc>
        <w:tc>
          <w:tcPr>
            <w:tcW w:w="841" w:type="dxa"/>
            <w:shd w:val="clear" w:color="auto" w:fill="auto"/>
            <w:tcMar>
              <w:top w:w="15" w:type="dxa"/>
              <w:left w:w="108" w:type="dxa"/>
              <w:bottom w:w="0" w:type="dxa"/>
              <w:right w:w="108" w:type="dxa"/>
            </w:tcMar>
            <w:vAlign w:val="center"/>
          </w:tcPr>
          <w:p w14:paraId="41503EE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15</w:t>
            </w:r>
          </w:p>
        </w:tc>
      </w:tr>
      <w:tr w14:paraId="4A39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01" w:type="dxa"/>
            <w:shd w:val="clear" w:color="auto" w:fill="auto"/>
            <w:tcMar>
              <w:top w:w="15" w:type="dxa"/>
              <w:left w:w="108" w:type="dxa"/>
              <w:bottom w:w="0" w:type="dxa"/>
              <w:right w:w="108" w:type="dxa"/>
            </w:tcMar>
            <w:vAlign w:val="center"/>
          </w:tcPr>
          <w:p w14:paraId="085547C9">
            <w:pPr>
              <w:pStyle w:val="210"/>
              <w:spacing w:line="240" w:lineRule="atLeast"/>
              <w:rPr>
                <w:rFonts w:ascii="宋体" w:hAnsi="宋体" w:eastAsia="仿宋_GB2312" w:cs="仿宋"/>
                <w:sz w:val="24"/>
                <w:szCs w:val="21"/>
              </w:rPr>
            </w:pPr>
            <w:r>
              <w:rPr>
                <w:rFonts w:ascii="宋体" w:hAnsi="宋体" w:eastAsia="仿宋_GB2312" w:cs="仿宋"/>
                <w:sz w:val="24"/>
                <w:szCs w:val="21"/>
              </w:rPr>
              <w:t>II</w:t>
            </w:r>
            <w:r>
              <w:rPr>
                <w:rFonts w:hint="eastAsia" w:ascii="宋体" w:hAnsi="宋体" w:eastAsia="仿宋_GB2312" w:cs="仿宋"/>
                <w:sz w:val="24"/>
                <w:szCs w:val="21"/>
              </w:rPr>
              <w:t>类城市照明区</w:t>
            </w:r>
          </w:p>
        </w:tc>
        <w:tc>
          <w:tcPr>
            <w:tcW w:w="906" w:type="dxa"/>
            <w:shd w:val="clear" w:color="auto" w:fill="auto"/>
            <w:tcMar>
              <w:top w:w="15" w:type="dxa"/>
              <w:left w:w="108" w:type="dxa"/>
              <w:bottom w:w="0" w:type="dxa"/>
              <w:right w:w="108" w:type="dxa"/>
            </w:tcMar>
            <w:vAlign w:val="center"/>
          </w:tcPr>
          <w:p w14:paraId="711B02D2">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8" w:type="dxa"/>
              <w:bottom w:w="0" w:type="dxa"/>
              <w:right w:w="108" w:type="dxa"/>
            </w:tcMar>
            <w:vAlign w:val="center"/>
          </w:tcPr>
          <w:p w14:paraId="04A54D4B">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8" w:type="dxa"/>
              <w:bottom w:w="0" w:type="dxa"/>
              <w:right w:w="108" w:type="dxa"/>
            </w:tcMar>
            <w:vAlign w:val="center"/>
          </w:tcPr>
          <w:p w14:paraId="047DAE9F">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8" w:type="dxa"/>
              <w:bottom w:w="0" w:type="dxa"/>
              <w:right w:w="108" w:type="dxa"/>
            </w:tcMar>
            <w:vAlign w:val="center"/>
          </w:tcPr>
          <w:p w14:paraId="5D294A20">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c>
          <w:tcPr>
            <w:tcW w:w="906" w:type="dxa"/>
            <w:shd w:val="clear" w:color="auto" w:fill="auto"/>
            <w:tcMar>
              <w:top w:w="15" w:type="dxa"/>
              <w:left w:w="108" w:type="dxa"/>
              <w:bottom w:w="0" w:type="dxa"/>
              <w:right w:w="108" w:type="dxa"/>
            </w:tcMar>
            <w:vAlign w:val="center"/>
          </w:tcPr>
          <w:p w14:paraId="71EF592E">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w:t>
            </w:r>
          </w:p>
        </w:tc>
        <w:tc>
          <w:tcPr>
            <w:tcW w:w="1057" w:type="dxa"/>
            <w:shd w:val="clear" w:color="auto" w:fill="auto"/>
            <w:tcMar>
              <w:top w:w="15" w:type="dxa"/>
              <w:left w:w="108" w:type="dxa"/>
              <w:bottom w:w="0" w:type="dxa"/>
              <w:right w:w="108" w:type="dxa"/>
            </w:tcMar>
            <w:vAlign w:val="center"/>
          </w:tcPr>
          <w:p w14:paraId="5F70877B">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7500</w:t>
            </w:r>
          </w:p>
        </w:tc>
        <w:tc>
          <w:tcPr>
            <w:tcW w:w="1055" w:type="dxa"/>
            <w:shd w:val="clear" w:color="auto" w:fill="auto"/>
            <w:tcMar>
              <w:top w:w="15" w:type="dxa"/>
              <w:left w:w="108" w:type="dxa"/>
              <w:bottom w:w="0" w:type="dxa"/>
              <w:right w:w="108" w:type="dxa"/>
            </w:tcMar>
            <w:vAlign w:val="center"/>
          </w:tcPr>
          <w:p w14:paraId="54BE4DE2">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500</w:t>
            </w:r>
          </w:p>
        </w:tc>
        <w:tc>
          <w:tcPr>
            <w:tcW w:w="841" w:type="dxa"/>
            <w:shd w:val="clear" w:color="auto" w:fill="auto"/>
            <w:tcMar>
              <w:top w:w="15" w:type="dxa"/>
              <w:left w:w="108" w:type="dxa"/>
              <w:bottom w:w="0" w:type="dxa"/>
              <w:right w:w="108" w:type="dxa"/>
            </w:tcMar>
            <w:vAlign w:val="center"/>
          </w:tcPr>
          <w:p w14:paraId="3024CBD5">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w:t>
            </w:r>
          </w:p>
        </w:tc>
      </w:tr>
      <w:tr w14:paraId="75FC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01" w:type="dxa"/>
            <w:shd w:val="clear" w:color="auto" w:fill="auto"/>
            <w:tcMar>
              <w:top w:w="15" w:type="dxa"/>
              <w:left w:w="105" w:type="dxa"/>
              <w:bottom w:w="0" w:type="dxa"/>
              <w:right w:w="105" w:type="dxa"/>
            </w:tcMar>
            <w:vAlign w:val="center"/>
          </w:tcPr>
          <w:p w14:paraId="1912CCAC">
            <w:pPr>
              <w:pStyle w:val="210"/>
              <w:spacing w:line="240" w:lineRule="atLeast"/>
              <w:rPr>
                <w:rFonts w:ascii="宋体" w:hAnsi="宋体" w:eastAsia="仿宋_GB2312" w:cs="仿宋"/>
                <w:sz w:val="24"/>
                <w:szCs w:val="21"/>
              </w:rPr>
            </w:pPr>
            <w:r>
              <w:rPr>
                <w:rFonts w:ascii="宋体" w:hAnsi="宋体" w:eastAsia="仿宋_GB2312" w:cs="仿宋"/>
                <w:sz w:val="24"/>
                <w:szCs w:val="21"/>
              </w:rPr>
              <w:t>I</w:t>
            </w:r>
            <w:r>
              <w:rPr>
                <w:rFonts w:hint="eastAsia" w:ascii="宋体" w:hAnsi="宋体" w:eastAsia="仿宋_GB2312" w:cs="仿宋"/>
                <w:sz w:val="24"/>
                <w:szCs w:val="21"/>
              </w:rPr>
              <w:t>类城市照明区</w:t>
            </w:r>
          </w:p>
        </w:tc>
        <w:tc>
          <w:tcPr>
            <w:tcW w:w="906" w:type="dxa"/>
            <w:shd w:val="clear" w:color="auto" w:fill="auto"/>
            <w:tcMar>
              <w:top w:w="15" w:type="dxa"/>
              <w:left w:w="105" w:type="dxa"/>
              <w:bottom w:w="0" w:type="dxa"/>
              <w:right w:w="105" w:type="dxa"/>
            </w:tcMar>
            <w:vAlign w:val="center"/>
          </w:tcPr>
          <w:p w14:paraId="23DE86E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4000</w:t>
            </w:r>
          </w:p>
        </w:tc>
        <w:tc>
          <w:tcPr>
            <w:tcW w:w="906" w:type="dxa"/>
            <w:shd w:val="clear" w:color="auto" w:fill="auto"/>
            <w:tcMar>
              <w:top w:w="15" w:type="dxa"/>
              <w:left w:w="105" w:type="dxa"/>
              <w:bottom w:w="0" w:type="dxa"/>
              <w:right w:w="105" w:type="dxa"/>
            </w:tcMar>
            <w:vAlign w:val="center"/>
          </w:tcPr>
          <w:p w14:paraId="13D3E6D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5500</w:t>
            </w:r>
          </w:p>
        </w:tc>
        <w:tc>
          <w:tcPr>
            <w:tcW w:w="908" w:type="dxa"/>
            <w:shd w:val="clear" w:color="auto" w:fill="auto"/>
            <w:tcMar>
              <w:top w:w="15" w:type="dxa"/>
              <w:left w:w="105" w:type="dxa"/>
              <w:bottom w:w="0" w:type="dxa"/>
              <w:right w:w="105" w:type="dxa"/>
            </w:tcMar>
            <w:vAlign w:val="center"/>
          </w:tcPr>
          <w:p w14:paraId="4F3C2A2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7000</w:t>
            </w:r>
          </w:p>
        </w:tc>
        <w:tc>
          <w:tcPr>
            <w:tcW w:w="1055" w:type="dxa"/>
            <w:shd w:val="clear" w:color="auto" w:fill="auto"/>
            <w:tcMar>
              <w:top w:w="15" w:type="dxa"/>
              <w:left w:w="105" w:type="dxa"/>
              <w:bottom w:w="0" w:type="dxa"/>
              <w:right w:w="105" w:type="dxa"/>
            </w:tcMar>
            <w:vAlign w:val="center"/>
          </w:tcPr>
          <w:p w14:paraId="2535AD8B">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w:t>
            </w:r>
          </w:p>
        </w:tc>
        <w:tc>
          <w:tcPr>
            <w:tcW w:w="906" w:type="dxa"/>
            <w:shd w:val="clear" w:color="auto" w:fill="auto"/>
            <w:tcMar>
              <w:top w:w="15" w:type="dxa"/>
              <w:left w:w="105" w:type="dxa"/>
              <w:bottom w:w="0" w:type="dxa"/>
              <w:right w:w="105" w:type="dxa"/>
            </w:tcMar>
            <w:vAlign w:val="center"/>
          </w:tcPr>
          <w:p w14:paraId="3EC87176">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0a</w:t>
            </w:r>
          </w:p>
        </w:tc>
        <w:tc>
          <w:tcPr>
            <w:tcW w:w="1057" w:type="dxa"/>
            <w:shd w:val="clear" w:color="auto" w:fill="auto"/>
            <w:tcMar>
              <w:top w:w="15" w:type="dxa"/>
              <w:left w:w="105" w:type="dxa"/>
              <w:bottom w:w="0" w:type="dxa"/>
              <w:right w:w="105" w:type="dxa"/>
            </w:tcMar>
            <w:vAlign w:val="center"/>
          </w:tcPr>
          <w:p w14:paraId="2BEB3552">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2500</w:t>
            </w:r>
          </w:p>
        </w:tc>
        <w:tc>
          <w:tcPr>
            <w:tcW w:w="1055" w:type="dxa"/>
            <w:shd w:val="clear" w:color="auto" w:fill="auto"/>
            <w:tcMar>
              <w:top w:w="15" w:type="dxa"/>
              <w:left w:w="105" w:type="dxa"/>
              <w:bottom w:w="0" w:type="dxa"/>
              <w:right w:w="105" w:type="dxa"/>
            </w:tcMar>
            <w:vAlign w:val="center"/>
          </w:tcPr>
          <w:p w14:paraId="2743BEFC">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10a</w:t>
            </w:r>
          </w:p>
        </w:tc>
        <w:tc>
          <w:tcPr>
            <w:tcW w:w="841" w:type="dxa"/>
            <w:shd w:val="clear" w:color="auto" w:fill="auto"/>
            <w:tcMar>
              <w:top w:w="15" w:type="dxa"/>
              <w:left w:w="105" w:type="dxa"/>
              <w:bottom w:w="0" w:type="dxa"/>
              <w:right w:w="105" w:type="dxa"/>
            </w:tcMar>
            <w:vAlign w:val="center"/>
          </w:tcPr>
          <w:p w14:paraId="05D83367">
            <w:pPr>
              <w:pStyle w:val="210"/>
              <w:spacing w:line="240" w:lineRule="atLeast"/>
              <w:rPr>
                <w:rFonts w:ascii="宋体" w:hAnsi="宋体" w:eastAsia="仿宋_GB2312" w:cs="仿宋"/>
                <w:sz w:val="24"/>
                <w:szCs w:val="21"/>
              </w:rPr>
            </w:pPr>
            <w:r>
              <w:rPr>
                <w:rFonts w:hint="eastAsia" w:ascii="宋体" w:hAnsi="宋体" w:eastAsia="仿宋_GB2312" w:cs="仿宋"/>
                <w:sz w:val="24"/>
                <w:szCs w:val="21"/>
              </w:rPr>
              <w:t>0</w:t>
            </w:r>
          </w:p>
        </w:tc>
      </w:tr>
      <w:tr w14:paraId="22A6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835" w:type="dxa"/>
            <w:gridSpan w:val="9"/>
            <w:shd w:val="clear" w:color="auto" w:fill="auto"/>
            <w:tcMar>
              <w:top w:w="15" w:type="dxa"/>
              <w:left w:w="105" w:type="dxa"/>
              <w:bottom w:w="0" w:type="dxa"/>
              <w:right w:w="105" w:type="dxa"/>
            </w:tcMar>
            <w:vAlign w:val="center"/>
          </w:tcPr>
          <w:p w14:paraId="69E94331">
            <w:pPr>
              <w:rPr>
                <w:rFonts w:ascii="宋体" w:hAnsi="宋体" w:eastAsia="仿宋_GB2312" w:cs="仿宋"/>
                <w:sz w:val="24"/>
                <w:szCs w:val="21"/>
              </w:rPr>
            </w:pPr>
            <w:r>
              <w:rPr>
                <w:rFonts w:hint="eastAsia" w:ascii="宋体" w:hAnsi="宋体" w:eastAsia="仿宋_GB2312" w:cs="仿宋"/>
                <w:sz w:val="24"/>
                <w:szCs w:val="21"/>
              </w:rPr>
              <w:t>注：H为照明设施的安装高度（单位：m）；L为灯具向下垂线成85°和90°方向间的最大平均亮度（单位：cd/㎡）；A为灯具向下垂线成85°和90°方向间的所有出光面积（单位：㎡），a：如果是道路照明产生的影响，此限值可提高至1lx或500cd。</w:t>
            </w:r>
          </w:p>
        </w:tc>
      </w:tr>
    </w:tbl>
    <w:p w14:paraId="3F5D6060">
      <w:pPr>
        <w:rPr>
          <w:rFonts w:ascii="宋体" w:hAnsi="宋体"/>
        </w:rPr>
      </w:pPr>
    </w:p>
    <w:bookmarkEnd w:id="699"/>
    <w:p w14:paraId="3DC9D376">
      <w:pPr>
        <w:pStyle w:val="2"/>
        <w:numPr>
          <w:ilvl w:val="255"/>
          <w:numId w:val="0"/>
        </w:numPr>
        <w:spacing w:before="156" w:after="156" w:line="20" w:lineRule="exact"/>
        <w:rPr>
          <w:rFonts w:ascii="宋体" w:hAnsi="宋体" w:eastAsia="黑体" w:cs="黑体"/>
          <w:b w:val="0"/>
          <w:color w:val="auto"/>
        </w:rPr>
      </w:pPr>
    </w:p>
    <w:sectPr>
      <w:footerReference r:id="rId14" w:type="first"/>
      <w:footerReference r:id="rId13" w:type="default"/>
      <w:pgSz w:w="11906" w:h="16838"/>
      <w:pgMar w:top="2098" w:right="1474" w:bottom="1984" w:left="1587" w:header="850" w:footer="158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9E51A1-8D5C-46B5-B95A-2C7FC5033F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B3478236-C767-4E29-B6DC-77BEEE9F96AC}"/>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方正小标宋简体">
    <w:panose1 w:val="02000000000000000000"/>
    <w:charset w:val="86"/>
    <w:family w:val="auto"/>
    <w:pitch w:val="default"/>
    <w:sig w:usb0="00000001" w:usb1="080E0000" w:usb2="00000000" w:usb3="00000000" w:csb0="00040000" w:csb1="00000000"/>
    <w:embedRegular r:id="rId3" w:fontKey="{89E33BBE-CC95-4D63-8A66-638E99B1A81F}"/>
  </w:font>
  <w:font w:name="ˎ̥">
    <w:altName w:val="Cambria"/>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4" w:fontKey="{546EC4F5-73D5-43FD-8711-A64A53CFB54B}"/>
  </w:font>
  <w:font w:name="幼圆">
    <w:panose1 w:val="02010509060101010101"/>
    <w:charset w:val="86"/>
    <w:family w:val="modern"/>
    <w:pitch w:val="default"/>
    <w:sig w:usb0="00000001" w:usb1="080E0000" w:usb2="00000000" w:usb3="00000000" w:csb0="00040000" w:csb1="00000000"/>
    <w:embedRegular r:id="rId5" w:fontKey="{8418BD17-D69C-4F16-900E-4A4DC8E044DC}"/>
  </w:font>
  <w:font w:name="华文仿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Times New Roman Bold">
    <w:altName w:val="Times New Roman"/>
    <w:panose1 w:val="02020803070505020304"/>
    <w:charset w:val="00"/>
    <w:family w:val="auto"/>
    <w:pitch w:val="default"/>
    <w:sig w:usb0="00000000" w:usb1="00000000" w:usb2="00000001" w:usb3="00000000" w:csb0="400001BF" w:csb1="DFF70000"/>
  </w:font>
  <w:font w:name="楷体_GB2312">
    <w:altName w:val="楷体"/>
    <w:panose1 w:val="02010609030101010101"/>
    <w:charset w:val="86"/>
    <w:family w:val="auto"/>
    <w:pitch w:val="default"/>
    <w:sig w:usb0="00000000" w:usb1="00000000" w:usb2="00000000" w:usb3="00000000" w:csb0="00040000" w:csb1="00000000"/>
    <w:embedRegular r:id="rId6" w:fontKey="{A9F59C19-ECDB-44E7-AFB9-0D921455072B}"/>
  </w:font>
  <w:font w:name="微软雅黑">
    <w:panose1 w:val="020B0503020204020204"/>
    <w:charset w:val="86"/>
    <w:family w:val="auto"/>
    <w:pitch w:val="default"/>
    <w:sig w:usb0="80000287" w:usb1="2ACF3C50" w:usb2="00000016" w:usb3="00000000" w:csb0="0004001F" w:csb1="00000000"/>
    <w:embedRegular r:id="rId7" w:fontKey="{4C2AEF93-FF31-4D97-A1A8-BC30F07C9B6D}"/>
  </w:font>
  <w:font w:name="PMingLiU">
    <w:altName w:val="PMingLiU-ExtB"/>
    <w:panose1 w:val="02020500000000000000"/>
    <w:charset w:val="88"/>
    <w:family w:val="roman"/>
    <w:pitch w:val="default"/>
    <w:sig w:usb0="00000000" w:usb1="00000000" w:usb2="00000016" w:usb3="00000000" w:csb0="00100001" w:csb1="00000000"/>
    <w:embedRegular r:id="rId8" w:fontKey="{B328FAD5-6CB9-46B0-BDF5-1CE1413367F3}"/>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059FC">
    <w:pPr>
      <w:pStyle w:val="56"/>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7B080">
    <w:pPr>
      <w:pStyle w:val="56"/>
    </w:pP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-57150</wp:posOffset>
              </wp:positionV>
              <wp:extent cx="725170" cy="3956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25170" cy="395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D709F">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4.5pt;height:31.15pt;width:57.1pt;mso-position-horizontal:inside;mso-position-horizontal-relative:margin;z-index:251662336;mso-width-relative:page;mso-height-relative:page;" filled="f" stroked="f" coordsize="21600,21600" o:gfxdata="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LJ7X1gAAAAYBAAAPAAAAAAAAAAEAIAAAACIAAABkcnMvZG93bnJldi54bWxQ&#10;SwECFAAUAAAACACHTuJA0TNn1zICAABXBAAADgAAAAAAAAABACAAAAAlAQAAZHJzL2Uyb0RvYy54&#10;bWxQSwUGAAAAAAYABgBZAQAAyQUAAAAA&#10;">
              <v:fill on="f" focussize="0,0"/>
              <v:stroke on="f" weight="0.5pt"/>
              <v:imagedata o:title=""/>
              <o:lock v:ext="edit" aspectratio="f"/>
              <v:textbox inset="0mm,0mm,0mm,0mm">
                <w:txbxContent>
                  <w:p w14:paraId="502D709F">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F172C">
    <w:pPr>
      <w:pStyle w:val="5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E9C48">
    <w:pPr>
      <w:pStyle w:val="56"/>
      <w:jc w:val="right"/>
    </w:pP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284FA">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41284FA">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D633F">
    <w:pPr>
      <w:pStyle w:val="56"/>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18D7D">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018D7D">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6651398"/>
    </w:sdtPr>
    <w:sdtContent>
      <w:p w14:paraId="6AC80FDE">
        <w:pPr>
          <w:pStyle w:val="56"/>
          <w:jc w:val="right"/>
        </w:pPr>
        <w:r>
          <w:drawing>
            <wp:anchor distT="0" distB="0" distL="114300" distR="114300" simplePos="0" relativeHeight="251659264" behindDoc="1" locked="0" layoutInCell="1" allowOverlap="1">
              <wp:simplePos x="0" y="0"/>
              <wp:positionH relativeFrom="margin">
                <wp:posOffset>7818755</wp:posOffset>
              </wp:positionH>
              <wp:positionV relativeFrom="paragraph">
                <wp:posOffset>-161290</wp:posOffset>
              </wp:positionV>
              <wp:extent cx="6414135" cy="4572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4135" cy="457200"/>
                      </a:xfrm>
                      <a:prstGeom prst="rect">
                        <a:avLst/>
                      </a:prstGeom>
                    </pic:spPr>
                  </pic:pic>
                </a:graphicData>
              </a:graphic>
            </wp:anchor>
          </w:drawing>
        </w:r>
        <w:r>
          <w:fldChar w:fldCharType="begin"/>
        </w:r>
        <w:r>
          <w:instrText xml:space="preserve">PAGE   \* MERGEFORMAT</w:instrText>
        </w:r>
        <w:r>
          <w:fldChar w:fldCharType="separate"/>
        </w:r>
        <w:r>
          <w:rPr>
            <w:lang w:val="zh-CN"/>
          </w:rPr>
          <w:t>88</w:t>
        </w:r>
        <w:r>
          <w:fldChar w:fldCharType="end"/>
        </w:r>
      </w:p>
    </w:sdtContent>
  </w:sdt>
  <w:p w14:paraId="57DDA2FF">
    <w:pPr>
      <w:pStyle w:val="56"/>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081B8">
    <w:pPr>
      <w:pStyle w:val="56"/>
    </w:pPr>
    <w:r>
      <mc:AlternateContent>
        <mc:Choice Requires="wps">
          <w:drawing>
            <wp:anchor distT="0" distB="0" distL="114300" distR="114300" simplePos="0" relativeHeight="251665408" behindDoc="0" locked="0" layoutInCell="1" allowOverlap="1">
              <wp:simplePos x="0" y="0"/>
              <wp:positionH relativeFrom="margin">
                <wp:align>inside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48B05">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F748B05">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66719">
    <w:pPr>
      <w:pStyle w:val="56"/>
    </w:pPr>
    <w: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A26E1">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AFA26E1">
                    <w:pPr>
                      <w:snapToGrid w:val="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20E23">
    <w:pPr>
      <w:pStyle w:val="56"/>
    </w:pPr>
    <w:r>
      <mc:AlternateContent>
        <mc:Choice Requires="wps">
          <w:drawing>
            <wp:anchor distT="0" distB="0" distL="114300" distR="114300" simplePos="0" relativeHeight="251666432" behindDoc="0" locked="0" layoutInCell="1" allowOverlap="1">
              <wp:simplePos x="0" y="0"/>
              <wp:positionH relativeFrom="margin">
                <wp:align>inside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2029C">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732029C">
                    <w:pPr>
                      <w:snapToGrid w:val="0"/>
                      <w:rPr>
                        <w:sz w:val="1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23053">
    <w:pPr>
      <w:pStyle w:val="56"/>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6464A">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4516464A">
                    <w:pPr>
                      <w:snapToGrid w:val="0"/>
                      <w:rPr>
                        <w:rFonts w:asciiTheme="minorEastAsia" w:hAnsi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0</w:t>
                    </w:r>
                    <w:r>
                      <w:rPr>
                        <w:rFonts w:hint="eastAsia" w:asciiTheme="minorEastAsia" w:hAnsi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AB056">
    <w:pPr>
      <w:pStyle w:val="5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CF765">
    <w:pPr>
      <w:pStyle w:val="5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6"/>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5"/>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2"/>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6"/>
      <w:lvlText w:val=""/>
      <w:lvlJc w:val="left"/>
      <w:pPr>
        <w:tabs>
          <w:tab w:val="left" w:pos="360"/>
        </w:tabs>
        <w:ind w:left="360" w:hanging="360" w:hangingChars="200"/>
      </w:pPr>
      <w:rPr>
        <w:rFonts w:hint="default" w:ascii="Wingdings" w:hAnsi="Wingdings"/>
      </w:rPr>
    </w:lvl>
  </w:abstractNum>
  <w:abstractNum w:abstractNumId="10">
    <w:nsid w:val="0D9947BE"/>
    <w:multiLevelType w:val="multilevel"/>
    <w:tmpl w:val="0D9947BE"/>
    <w:lvl w:ilvl="0" w:tentative="0">
      <w:start w:val="1"/>
      <w:numFmt w:val="chineseCountingThousand"/>
      <w:suff w:val="nothing"/>
      <w:lvlText w:val="第%1章"/>
      <w:lvlJc w:val="left"/>
      <w:pPr>
        <w:ind w:left="2978" w:firstLine="0"/>
      </w:pPr>
      <w:rPr>
        <w:rFonts w:hint="eastAsia"/>
        <w:lang w:val="en-US"/>
      </w:rPr>
    </w:lvl>
    <w:lvl w:ilvl="1" w:tentative="0">
      <w:start w:val="1"/>
      <w:numFmt w:val="decimal"/>
      <w:pStyle w:val="102"/>
      <w:lvlText w:val="第%2条"/>
      <w:lvlJc w:val="left"/>
      <w:pPr>
        <w:tabs>
          <w:tab w:val="left" w:pos="851"/>
        </w:tabs>
        <w:ind w:left="851" w:firstLine="0"/>
      </w:pPr>
      <w:rPr>
        <w:rFonts w:hint="default" w:ascii="Times New Roman" w:hAnsi="Times New Roman" w:eastAsia="华文中宋"/>
        <w:b/>
        <w:i w:val="0"/>
        <w:color w:val="auto"/>
        <w:sz w:val="28"/>
        <w:szCs w:val="28"/>
        <w:lang w:val="en-US"/>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1">
    <w:nsid w:val="22B94BA5"/>
    <w:multiLevelType w:val="multilevel"/>
    <w:tmpl w:val="22B94BA5"/>
    <w:lvl w:ilvl="0" w:tentative="0">
      <w:start w:val="1"/>
      <w:numFmt w:val="chineseCountingThousand"/>
      <w:pStyle w:val="5"/>
      <w:suff w:val="space"/>
      <w:lvlText w:val="第%1章 "/>
      <w:lvlJc w:val="left"/>
      <w:pPr>
        <w:ind w:left="420" w:hanging="420"/>
      </w:pPr>
      <w:rPr>
        <w:rFonts w:hint="eastAsia"/>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EA51195"/>
    <w:multiLevelType w:val="multilevel"/>
    <w:tmpl w:val="3EA51195"/>
    <w:lvl w:ilvl="0" w:tentative="0">
      <w:start w:val="1"/>
      <w:numFmt w:val="chineseCountingThousand"/>
      <w:pStyle w:val="2"/>
      <w:suff w:val="space"/>
      <w:lvlText w:val="(%1)"/>
      <w:lvlJc w:val="left"/>
      <w:pPr>
        <w:ind w:left="0" w:firstLine="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43A83BD6"/>
    <w:multiLevelType w:val="multilevel"/>
    <w:tmpl w:val="43A83BD6"/>
    <w:lvl w:ilvl="0" w:tentative="0">
      <w:start w:val="1"/>
      <w:numFmt w:val="decimal"/>
      <w:pStyle w:val="8"/>
      <w:suff w:val="space"/>
      <w:lvlText w:val="%1."/>
      <w:lvlJc w:val="left"/>
      <w:pPr>
        <w:ind w:left="420" w:hanging="420"/>
      </w:pPr>
      <w:rPr>
        <w:rFonts w:hint="eastAsia"/>
        <w:b/>
        <w:i w:val="0"/>
      </w:rPr>
    </w:lvl>
    <w:lvl w:ilvl="1" w:tentative="0">
      <w:start w:val="2"/>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A822E0D"/>
    <w:multiLevelType w:val="multilevel"/>
    <w:tmpl w:val="4A822E0D"/>
    <w:lvl w:ilvl="0" w:tentative="0">
      <w:start w:val="1"/>
      <w:numFmt w:val="decimal"/>
      <w:pStyle w:val="187"/>
      <w:lvlText w:val="第%1条"/>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1349B8A"/>
    <w:multiLevelType w:val="multilevel"/>
    <w:tmpl w:val="61349B8A"/>
    <w:lvl w:ilvl="0" w:tentative="0">
      <w:start w:val="1"/>
      <w:numFmt w:val="decimal"/>
      <w:pStyle w:val="201"/>
      <w:suff w:val="nothing"/>
      <w:lvlText w:val="第%1条  "/>
      <w:lvlJc w:val="left"/>
      <w:pPr>
        <w:tabs>
          <w:tab w:val="left" w:pos="591"/>
        </w:tabs>
        <w:ind w:left="591" w:firstLine="402"/>
      </w:pPr>
      <w:rPr>
        <w:rFonts w:hint="eastAsia" w:ascii="宋体" w:hAnsi="宋体" w:eastAsia="宋体" w:cs="宋体"/>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6">
    <w:nsid w:val="73491886"/>
    <w:multiLevelType w:val="multilevel"/>
    <w:tmpl w:val="73491886"/>
    <w:lvl w:ilvl="0" w:tentative="0">
      <w:start w:val="1"/>
      <w:numFmt w:val="decimal"/>
      <w:pStyle w:val="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BE836F4"/>
    <w:multiLevelType w:val="multilevel"/>
    <w:tmpl w:val="7BE836F4"/>
    <w:lvl w:ilvl="0" w:tentative="0">
      <w:start w:val="1"/>
      <w:numFmt w:val="chineseCountingThousand"/>
      <w:pStyle w:val="80"/>
      <w:lvlText w:val="第%1章"/>
      <w:lvlJc w:val="center"/>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3"/>
  </w:num>
  <w:num w:numId="3">
    <w:abstractNumId w:val="16"/>
  </w:num>
  <w:num w:numId="4">
    <w:abstractNumId w:val="12"/>
  </w:num>
  <w:num w:numId="5">
    <w:abstractNumId w:val="3"/>
  </w:num>
  <w:num w:numId="6">
    <w:abstractNumId w:val="5"/>
  </w:num>
  <w:num w:numId="7">
    <w:abstractNumId w:val="8"/>
  </w:num>
  <w:num w:numId="8">
    <w:abstractNumId w:val="9"/>
  </w:num>
  <w:num w:numId="9">
    <w:abstractNumId w:val="6"/>
  </w:num>
  <w:num w:numId="10">
    <w:abstractNumId w:val="2"/>
  </w:num>
  <w:num w:numId="11">
    <w:abstractNumId w:val="7"/>
  </w:num>
  <w:num w:numId="12">
    <w:abstractNumId w:val="4"/>
  </w:num>
  <w:num w:numId="13">
    <w:abstractNumId w:val="1"/>
  </w:num>
  <w:num w:numId="14">
    <w:abstractNumId w:val="0"/>
  </w:num>
  <w:num w:numId="15">
    <w:abstractNumId w:val="17"/>
  </w:num>
  <w:num w:numId="16">
    <w:abstractNumId w:val="10"/>
  </w:num>
  <w:num w:numId="17">
    <w:abstractNumId w:val="14"/>
  </w:num>
  <w:num w:numId="18">
    <w:abstractNumId w:val="15"/>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4MGFkYTkwNjZjODA3YTU3OGUyNDFjZDZiMjMyMWMifQ=="/>
  </w:docVars>
  <w:rsids>
    <w:rsidRoot w:val="00E414F7"/>
    <w:rsid w:val="00000922"/>
    <w:rsid w:val="000009AA"/>
    <w:rsid w:val="0000178A"/>
    <w:rsid w:val="00002671"/>
    <w:rsid w:val="000026AA"/>
    <w:rsid w:val="000035B1"/>
    <w:rsid w:val="000057B7"/>
    <w:rsid w:val="00007FD6"/>
    <w:rsid w:val="00010AF8"/>
    <w:rsid w:val="00012491"/>
    <w:rsid w:val="00013058"/>
    <w:rsid w:val="000137B0"/>
    <w:rsid w:val="00013AA8"/>
    <w:rsid w:val="000149D6"/>
    <w:rsid w:val="00015526"/>
    <w:rsid w:val="0001559F"/>
    <w:rsid w:val="00016001"/>
    <w:rsid w:val="00016FCD"/>
    <w:rsid w:val="00017890"/>
    <w:rsid w:val="00017A54"/>
    <w:rsid w:val="00020BD5"/>
    <w:rsid w:val="00020D8A"/>
    <w:rsid w:val="00021A26"/>
    <w:rsid w:val="00021F61"/>
    <w:rsid w:val="000223BA"/>
    <w:rsid w:val="00022A21"/>
    <w:rsid w:val="00024909"/>
    <w:rsid w:val="00024A6C"/>
    <w:rsid w:val="000271AD"/>
    <w:rsid w:val="00027AAB"/>
    <w:rsid w:val="00027B9F"/>
    <w:rsid w:val="0003098C"/>
    <w:rsid w:val="00031285"/>
    <w:rsid w:val="00031A8F"/>
    <w:rsid w:val="000328A8"/>
    <w:rsid w:val="00032E13"/>
    <w:rsid w:val="00033267"/>
    <w:rsid w:val="00033C80"/>
    <w:rsid w:val="00034BD5"/>
    <w:rsid w:val="0003552C"/>
    <w:rsid w:val="00035A37"/>
    <w:rsid w:val="00035B6D"/>
    <w:rsid w:val="00035FF2"/>
    <w:rsid w:val="00041B24"/>
    <w:rsid w:val="00042E7D"/>
    <w:rsid w:val="00042F23"/>
    <w:rsid w:val="00043BE7"/>
    <w:rsid w:val="00043C69"/>
    <w:rsid w:val="00044937"/>
    <w:rsid w:val="00045F76"/>
    <w:rsid w:val="00050426"/>
    <w:rsid w:val="000506DC"/>
    <w:rsid w:val="00050E41"/>
    <w:rsid w:val="0005131C"/>
    <w:rsid w:val="00052316"/>
    <w:rsid w:val="00052CA6"/>
    <w:rsid w:val="00053BD7"/>
    <w:rsid w:val="00053D90"/>
    <w:rsid w:val="00054F82"/>
    <w:rsid w:val="0005572A"/>
    <w:rsid w:val="000573B5"/>
    <w:rsid w:val="00057759"/>
    <w:rsid w:val="000578CF"/>
    <w:rsid w:val="000610C2"/>
    <w:rsid w:val="000624C9"/>
    <w:rsid w:val="000626E0"/>
    <w:rsid w:val="00063242"/>
    <w:rsid w:val="00063525"/>
    <w:rsid w:val="00063E93"/>
    <w:rsid w:val="00064101"/>
    <w:rsid w:val="0006482B"/>
    <w:rsid w:val="00064C2F"/>
    <w:rsid w:val="00070F55"/>
    <w:rsid w:val="000713F2"/>
    <w:rsid w:val="00072AB4"/>
    <w:rsid w:val="0007359A"/>
    <w:rsid w:val="00073D8E"/>
    <w:rsid w:val="000757D0"/>
    <w:rsid w:val="00077F02"/>
    <w:rsid w:val="000821AB"/>
    <w:rsid w:val="000825CF"/>
    <w:rsid w:val="00082D24"/>
    <w:rsid w:val="000845C7"/>
    <w:rsid w:val="000846D3"/>
    <w:rsid w:val="00085060"/>
    <w:rsid w:val="00087268"/>
    <w:rsid w:val="00087491"/>
    <w:rsid w:val="000900A4"/>
    <w:rsid w:val="00090B80"/>
    <w:rsid w:val="0009289D"/>
    <w:rsid w:val="00092B9D"/>
    <w:rsid w:val="00093508"/>
    <w:rsid w:val="000939CB"/>
    <w:rsid w:val="00094113"/>
    <w:rsid w:val="00094617"/>
    <w:rsid w:val="00095500"/>
    <w:rsid w:val="00095792"/>
    <w:rsid w:val="00095AB8"/>
    <w:rsid w:val="00095B66"/>
    <w:rsid w:val="000961F1"/>
    <w:rsid w:val="000A1A86"/>
    <w:rsid w:val="000A31D3"/>
    <w:rsid w:val="000A349B"/>
    <w:rsid w:val="000A392B"/>
    <w:rsid w:val="000A4B44"/>
    <w:rsid w:val="000A7046"/>
    <w:rsid w:val="000A725D"/>
    <w:rsid w:val="000A7CE0"/>
    <w:rsid w:val="000B08B1"/>
    <w:rsid w:val="000B1092"/>
    <w:rsid w:val="000B1599"/>
    <w:rsid w:val="000B1627"/>
    <w:rsid w:val="000B167F"/>
    <w:rsid w:val="000B1D8D"/>
    <w:rsid w:val="000B247F"/>
    <w:rsid w:val="000B28CA"/>
    <w:rsid w:val="000B2B6F"/>
    <w:rsid w:val="000B2F7E"/>
    <w:rsid w:val="000B349E"/>
    <w:rsid w:val="000B4CA0"/>
    <w:rsid w:val="000B5222"/>
    <w:rsid w:val="000B7F7B"/>
    <w:rsid w:val="000C2294"/>
    <w:rsid w:val="000C31A8"/>
    <w:rsid w:val="000C40DC"/>
    <w:rsid w:val="000C5BA2"/>
    <w:rsid w:val="000C643D"/>
    <w:rsid w:val="000C68BC"/>
    <w:rsid w:val="000C71C9"/>
    <w:rsid w:val="000D1208"/>
    <w:rsid w:val="000D23B3"/>
    <w:rsid w:val="000D2DB8"/>
    <w:rsid w:val="000D31B8"/>
    <w:rsid w:val="000D3384"/>
    <w:rsid w:val="000D40E4"/>
    <w:rsid w:val="000D4DA3"/>
    <w:rsid w:val="000D4E15"/>
    <w:rsid w:val="000D4E82"/>
    <w:rsid w:val="000D66F2"/>
    <w:rsid w:val="000D6982"/>
    <w:rsid w:val="000D6D27"/>
    <w:rsid w:val="000D70BF"/>
    <w:rsid w:val="000D75D6"/>
    <w:rsid w:val="000E14DB"/>
    <w:rsid w:val="000E2CBE"/>
    <w:rsid w:val="000E308A"/>
    <w:rsid w:val="000E4432"/>
    <w:rsid w:val="000E49E6"/>
    <w:rsid w:val="000F0382"/>
    <w:rsid w:val="000F083D"/>
    <w:rsid w:val="000F278E"/>
    <w:rsid w:val="000F2CC2"/>
    <w:rsid w:val="000F3927"/>
    <w:rsid w:val="000F46CE"/>
    <w:rsid w:val="000F6065"/>
    <w:rsid w:val="000F750D"/>
    <w:rsid w:val="00100663"/>
    <w:rsid w:val="00100943"/>
    <w:rsid w:val="00100ADD"/>
    <w:rsid w:val="00100B8E"/>
    <w:rsid w:val="00100D9B"/>
    <w:rsid w:val="00101399"/>
    <w:rsid w:val="00102029"/>
    <w:rsid w:val="00102933"/>
    <w:rsid w:val="00103969"/>
    <w:rsid w:val="00103F5E"/>
    <w:rsid w:val="001042F9"/>
    <w:rsid w:val="00104DA7"/>
    <w:rsid w:val="001059ED"/>
    <w:rsid w:val="00106B78"/>
    <w:rsid w:val="00106D5E"/>
    <w:rsid w:val="0010708B"/>
    <w:rsid w:val="001101B0"/>
    <w:rsid w:val="00112E22"/>
    <w:rsid w:val="00116737"/>
    <w:rsid w:val="00116C50"/>
    <w:rsid w:val="0012020F"/>
    <w:rsid w:val="00120CA9"/>
    <w:rsid w:val="0012149C"/>
    <w:rsid w:val="001230E3"/>
    <w:rsid w:val="0012329A"/>
    <w:rsid w:val="001233E4"/>
    <w:rsid w:val="001245FF"/>
    <w:rsid w:val="00125185"/>
    <w:rsid w:val="0012591E"/>
    <w:rsid w:val="00125DDB"/>
    <w:rsid w:val="00126136"/>
    <w:rsid w:val="00126521"/>
    <w:rsid w:val="00126787"/>
    <w:rsid w:val="00126A5B"/>
    <w:rsid w:val="00126D90"/>
    <w:rsid w:val="0012729E"/>
    <w:rsid w:val="001304E8"/>
    <w:rsid w:val="00131083"/>
    <w:rsid w:val="00131729"/>
    <w:rsid w:val="00132D62"/>
    <w:rsid w:val="00135E34"/>
    <w:rsid w:val="00136189"/>
    <w:rsid w:val="00136528"/>
    <w:rsid w:val="00136539"/>
    <w:rsid w:val="00137182"/>
    <w:rsid w:val="00137BD2"/>
    <w:rsid w:val="00140BFA"/>
    <w:rsid w:val="0014175D"/>
    <w:rsid w:val="00142EB5"/>
    <w:rsid w:val="0014396F"/>
    <w:rsid w:val="00143BD8"/>
    <w:rsid w:val="00144CCC"/>
    <w:rsid w:val="00146232"/>
    <w:rsid w:val="00146C0A"/>
    <w:rsid w:val="00147978"/>
    <w:rsid w:val="00151C0A"/>
    <w:rsid w:val="00152977"/>
    <w:rsid w:val="0015485F"/>
    <w:rsid w:val="00154D4F"/>
    <w:rsid w:val="0015650D"/>
    <w:rsid w:val="001577AE"/>
    <w:rsid w:val="00160FC0"/>
    <w:rsid w:val="00161F53"/>
    <w:rsid w:val="001636A1"/>
    <w:rsid w:val="001637C3"/>
    <w:rsid w:val="001643CC"/>
    <w:rsid w:val="00164527"/>
    <w:rsid w:val="00166021"/>
    <w:rsid w:val="00166BB4"/>
    <w:rsid w:val="001670EC"/>
    <w:rsid w:val="0016766B"/>
    <w:rsid w:val="00167DDD"/>
    <w:rsid w:val="00167DF8"/>
    <w:rsid w:val="001704E5"/>
    <w:rsid w:val="00170B82"/>
    <w:rsid w:val="00170FFA"/>
    <w:rsid w:val="00171AC6"/>
    <w:rsid w:val="00172737"/>
    <w:rsid w:val="001732A2"/>
    <w:rsid w:val="00174001"/>
    <w:rsid w:val="00174856"/>
    <w:rsid w:val="00175545"/>
    <w:rsid w:val="0017561A"/>
    <w:rsid w:val="00177BD3"/>
    <w:rsid w:val="00177DEB"/>
    <w:rsid w:val="00182C51"/>
    <w:rsid w:val="0018390D"/>
    <w:rsid w:val="001858D7"/>
    <w:rsid w:val="00185E37"/>
    <w:rsid w:val="00185EE7"/>
    <w:rsid w:val="00187603"/>
    <w:rsid w:val="00187818"/>
    <w:rsid w:val="00187E55"/>
    <w:rsid w:val="00187F68"/>
    <w:rsid w:val="00187FA6"/>
    <w:rsid w:val="00190040"/>
    <w:rsid w:val="001916B5"/>
    <w:rsid w:val="001925A0"/>
    <w:rsid w:val="00192B9A"/>
    <w:rsid w:val="00193FBB"/>
    <w:rsid w:val="00194650"/>
    <w:rsid w:val="00195A9D"/>
    <w:rsid w:val="00195BC8"/>
    <w:rsid w:val="00196553"/>
    <w:rsid w:val="00196706"/>
    <w:rsid w:val="001A0273"/>
    <w:rsid w:val="001A0D95"/>
    <w:rsid w:val="001A21B7"/>
    <w:rsid w:val="001A2459"/>
    <w:rsid w:val="001A3441"/>
    <w:rsid w:val="001A350D"/>
    <w:rsid w:val="001A4100"/>
    <w:rsid w:val="001A4143"/>
    <w:rsid w:val="001A471D"/>
    <w:rsid w:val="001A4906"/>
    <w:rsid w:val="001A6AA0"/>
    <w:rsid w:val="001A7165"/>
    <w:rsid w:val="001A789A"/>
    <w:rsid w:val="001A7B3B"/>
    <w:rsid w:val="001A7C56"/>
    <w:rsid w:val="001B0565"/>
    <w:rsid w:val="001B163B"/>
    <w:rsid w:val="001B2237"/>
    <w:rsid w:val="001B23C6"/>
    <w:rsid w:val="001B472C"/>
    <w:rsid w:val="001B6FE2"/>
    <w:rsid w:val="001B7846"/>
    <w:rsid w:val="001C1EE6"/>
    <w:rsid w:val="001C4740"/>
    <w:rsid w:val="001C4857"/>
    <w:rsid w:val="001C4F46"/>
    <w:rsid w:val="001C54B5"/>
    <w:rsid w:val="001C614D"/>
    <w:rsid w:val="001D05C3"/>
    <w:rsid w:val="001D1571"/>
    <w:rsid w:val="001D19E2"/>
    <w:rsid w:val="001D2438"/>
    <w:rsid w:val="001D311B"/>
    <w:rsid w:val="001D4CB3"/>
    <w:rsid w:val="001D50F8"/>
    <w:rsid w:val="001D54B8"/>
    <w:rsid w:val="001D5522"/>
    <w:rsid w:val="001D5A90"/>
    <w:rsid w:val="001D63BB"/>
    <w:rsid w:val="001D6591"/>
    <w:rsid w:val="001D717C"/>
    <w:rsid w:val="001E04DD"/>
    <w:rsid w:val="001E1E74"/>
    <w:rsid w:val="001E4A9F"/>
    <w:rsid w:val="001E4DB2"/>
    <w:rsid w:val="001E6071"/>
    <w:rsid w:val="001E68AA"/>
    <w:rsid w:val="001E6C8F"/>
    <w:rsid w:val="001E7682"/>
    <w:rsid w:val="001F004E"/>
    <w:rsid w:val="001F0718"/>
    <w:rsid w:val="001F1186"/>
    <w:rsid w:val="001F1442"/>
    <w:rsid w:val="001F16BE"/>
    <w:rsid w:val="001F1EF0"/>
    <w:rsid w:val="001F2AAC"/>
    <w:rsid w:val="001F2BBF"/>
    <w:rsid w:val="001F3C48"/>
    <w:rsid w:val="001F5149"/>
    <w:rsid w:val="001F70DE"/>
    <w:rsid w:val="0020021A"/>
    <w:rsid w:val="00200438"/>
    <w:rsid w:val="00200929"/>
    <w:rsid w:val="002024EB"/>
    <w:rsid w:val="00203232"/>
    <w:rsid w:val="00203B55"/>
    <w:rsid w:val="00204129"/>
    <w:rsid w:val="002046BA"/>
    <w:rsid w:val="00204DAD"/>
    <w:rsid w:val="0020504F"/>
    <w:rsid w:val="002052F4"/>
    <w:rsid w:val="00206FD7"/>
    <w:rsid w:val="002072E3"/>
    <w:rsid w:val="00211505"/>
    <w:rsid w:val="002116A1"/>
    <w:rsid w:val="00213791"/>
    <w:rsid w:val="00215D52"/>
    <w:rsid w:val="00217F74"/>
    <w:rsid w:val="00220E9D"/>
    <w:rsid w:val="002223CE"/>
    <w:rsid w:val="00222502"/>
    <w:rsid w:val="002226F8"/>
    <w:rsid w:val="00222C3F"/>
    <w:rsid w:val="00225305"/>
    <w:rsid w:val="002266CC"/>
    <w:rsid w:val="00230021"/>
    <w:rsid w:val="0023003E"/>
    <w:rsid w:val="00230259"/>
    <w:rsid w:val="002306F5"/>
    <w:rsid w:val="00230941"/>
    <w:rsid w:val="00231559"/>
    <w:rsid w:val="00232093"/>
    <w:rsid w:val="002329B5"/>
    <w:rsid w:val="002333F2"/>
    <w:rsid w:val="00233AC4"/>
    <w:rsid w:val="00233BDC"/>
    <w:rsid w:val="002347F8"/>
    <w:rsid w:val="002354FE"/>
    <w:rsid w:val="0023569E"/>
    <w:rsid w:val="0023771E"/>
    <w:rsid w:val="0024160C"/>
    <w:rsid w:val="0024196E"/>
    <w:rsid w:val="00241A23"/>
    <w:rsid w:val="002427F8"/>
    <w:rsid w:val="00243834"/>
    <w:rsid w:val="00243842"/>
    <w:rsid w:val="00243AF8"/>
    <w:rsid w:val="00244152"/>
    <w:rsid w:val="0024449F"/>
    <w:rsid w:val="00245201"/>
    <w:rsid w:val="00245205"/>
    <w:rsid w:val="0024576D"/>
    <w:rsid w:val="00245E59"/>
    <w:rsid w:val="002503DF"/>
    <w:rsid w:val="00250960"/>
    <w:rsid w:val="00251448"/>
    <w:rsid w:val="00251B59"/>
    <w:rsid w:val="0025229A"/>
    <w:rsid w:val="002557CA"/>
    <w:rsid w:val="00255ED2"/>
    <w:rsid w:val="00256C39"/>
    <w:rsid w:val="002573B5"/>
    <w:rsid w:val="002576F3"/>
    <w:rsid w:val="00260184"/>
    <w:rsid w:val="00260759"/>
    <w:rsid w:val="00260C02"/>
    <w:rsid w:val="0026185A"/>
    <w:rsid w:val="00261D85"/>
    <w:rsid w:val="002622E4"/>
    <w:rsid w:val="0026289F"/>
    <w:rsid w:val="002637C3"/>
    <w:rsid w:val="0026469E"/>
    <w:rsid w:val="0026569E"/>
    <w:rsid w:val="00265FB9"/>
    <w:rsid w:val="00267769"/>
    <w:rsid w:val="00267BD6"/>
    <w:rsid w:val="0027078D"/>
    <w:rsid w:val="0027138B"/>
    <w:rsid w:val="00271795"/>
    <w:rsid w:val="002719A0"/>
    <w:rsid w:val="00272A4B"/>
    <w:rsid w:val="00272FFA"/>
    <w:rsid w:val="0027366E"/>
    <w:rsid w:val="00273F97"/>
    <w:rsid w:val="002744A8"/>
    <w:rsid w:val="00274A52"/>
    <w:rsid w:val="00274C17"/>
    <w:rsid w:val="00277456"/>
    <w:rsid w:val="00280421"/>
    <w:rsid w:val="00280505"/>
    <w:rsid w:val="002815DC"/>
    <w:rsid w:val="00282174"/>
    <w:rsid w:val="00282813"/>
    <w:rsid w:val="00282BED"/>
    <w:rsid w:val="00282CC5"/>
    <w:rsid w:val="00282DB2"/>
    <w:rsid w:val="00283092"/>
    <w:rsid w:val="00285BBC"/>
    <w:rsid w:val="00286631"/>
    <w:rsid w:val="002870C9"/>
    <w:rsid w:val="002872DF"/>
    <w:rsid w:val="00287F72"/>
    <w:rsid w:val="00290054"/>
    <w:rsid w:val="002900D8"/>
    <w:rsid w:val="0029225C"/>
    <w:rsid w:val="002940AB"/>
    <w:rsid w:val="00294726"/>
    <w:rsid w:val="00294A04"/>
    <w:rsid w:val="002950CD"/>
    <w:rsid w:val="0029584E"/>
    <w:rsid w:val="00296750"/>
    <w:rsid w:val="00296F38"/>
    <w:rsid w:val="00297183"/>
    <w:rsid w:val="00297961"/>
    <w:rsid w:val="00297B91"/>
    <w:rsid w:val="00297F0A"/>
    <w:rsid w:val="002A239C"/>
    <w:rsid w:val="002A2725"/>
    <w:rsid w:val="002A274D"/>
    <w:rsid w:val="002A299F"/>
    <w:rsid w:val="002A3DA1"/>
    <w:rsid w:val="002A476E"/>
    <w:rsid w:val="002A4C7E"/>
    <w:rsid w:val="002A5F5B"/>
    <w:rsid w:val="002A72A3"/>
    <w:rsid w:val="002A76C7"/>
    <w:rsid w:val="002B0201"/>
    <w:rsid w:val="002B090A"/>
    <w:rsid w:val="002B095A"/>
    <w:rsid w:val="002B2917"/>
    <w:rsid w:val="002B3A8A"/>
    <w:rsid w:val="002B3D37"/>
    <w:rsid w:val="002B460A"/>
    <w:rsid w:val="002B4CE6"/>
    <w:rsid w:val="002B57D2"/>
    <w:rsid w:val="002B72C1"/>
    <w:rsid w:val="002B760D"/>
    <w:rsid w:val="002B7788"/>
    <w:rsid w:val="002C11B0"/>
    <w:rsid w:val="002C1D24"/>
    <w:rsid w:val="002C1F41"/>
    <w:rsid w:val="002C2911"/>
    <w:rsid w:val="002C39A8"/>
    <w:rsid w:val="002C537A"/>
    <w:rsid w:val="002C55FB"/>
    <w:rsid w:val="002C5E53"/>
    <w:rsid w:val="002D0422"/>
    <w:rsid w:val="002D0D45"/>
    <w:rsid w:val="002D1274"/>
    <w:rsid w:val="002D1B57"/>
    <w:rsid w:val="002D2517"/>
    <w:rsid w:val="002D2FC8"/>
    <w:rsid w:val="002D3CFA"/>
    <w:rsid w:val="002D3EF4"/>
    <w:rsid w:val="002D4E30"/>
    <w:rsid w:val="002D4EA9"/>
    <w:rsid w:val="002D6511"/>
    <w:rsid w:val="002D6ADF"/>
    <w:rsid w:val="002E0408"/>
    <w:rsid w:val="002E1E05"/>
    <w:rsid w:val="002E2508"/>
    <w:rsid w:val="002E27D1"/>
    <w:rsid w:val="002E2AD8"/>
    <w:rsid w:val="002E30B3"/>
    <w:rsid w:val="002E33A9"/>
    <w:rsid w:val="002E53BC"/>
    <w:rsid w:val="002E64B6"/>
    <w:rsid w:val="002E72FF"/>
    <w:rsid w:val="002E7C3E"/>
    <w:rsid w:val="002F0FCA"/>
    <w:rsid w:val="002F13E3"/>
    <w:rsid w:val="002F1A80"/>
    <w:rsid w:val="002F1D40"/>
    <w:rsid w:val="002F21AC"/>
    <w:rsid w:val="002F23E9"/>
    <w:rsid w:val="002F375D"/>
    <w:rsid w:val="002F4289"/>
    <w:rsid w:val="002F4DA4"/>
    <w:rsid w:val="002F531B"/>
    <w:rsid w:val="002F7F93"/>
    <w:rsid w:val="003003C6"/>
    <w:rsid w:val="003029DA"/>
    <w:rsid w:val="00304116"/>
    <w:rsid w:val="00304422"/>
    <w:rsid w:val="00304A6F"/>
    <w:rsid w:val="003077A1"/>
    <w:rsid w:val="003078C8"/>
    <w:rsid w:val="00307E7F"/>
    <w:rsid w:val="003124E5"/>
    <w:rsid w:val="00312666"/>
    <w:rsid w:val="00312A9F"/>
    <w:rsid w:val="003157B5"/>
    <w:rsid w:val="0031673C"/>
    <w:rsid w:val="003172E1"/>
    <w:rsid w:val="00317600"/>
    <w:rsid w:val="00320E31"/>
    <w:rsid w:val="00320F98"/>
    <w:rsid w:val="0032239E"/>
    <w:rsid w:val="003245B5"/>
    <w:rsid w:val="0032468D"/>
    <w:rsid w:val="003262D7"/>
    <w:rsid w:val="003268D9"/>
    <w:rsid w:val="003269DD"/>
    <w:rsid w:val="00326BD8"/>
    <w:rsid w:val="00327688"/>
    <w:rsid w:val="003302CD"/>
    <w:rsid w:val="00330874"/>
    <w:rsid w:val="00330E68"/>
    <w:rsid w:val="00331C17"/>
    <w:rsid w:val="00333215"/>
    <w:rsid w:val="00333250"/>
    <w:rsid w:val="00333F6D"/>
    <w:rsid w:val="00333FDB"/>
    <w:rsid w:val="00334218"/>
    <w:rsid w:val="00334E50"/>
    <w:rsid w:val="00335B80"/>
    <w:rsid w:val="00341205"/>
    <w:rsid w:val="00341525"/>
    <w:rsid w:val="00342980"/>
    <w:rsid w:val="003434A4"/>
    <w:rsid w:val="0034379F"/>
    <w:rsid w:val="00345223"/>
    <w:rsid w:val="003457D7"/>
    <w:rsid w:val="0034656A"/>
    <w:rsid w:val="003471F5"/>
    <w:rsid w:val="00347C32"/>
    <w:rsid w:val="003509C0"/>
    <w:rsid w:val="0035207B"/>
    <w:rsid w:val="00354429"/>
    <w:rsid w:val="00354839"/>
    <w:rsid w:val="00354C2C"/>
    <w:rsid w:val="00355C03"/>
    <w:rsid w:val="003578BF"/>
    <w:rsid w:val="00357CE1"/>
    <w:rsid w:val="00357F07"/>
    <w:rsid w:val="0036047E"/>
    <w:rsid w:val="00360B85"/>
    <w:rsid w:val="00360BFD"/>
    <w:rsid w:val="00360CF8"/>
    <w:rsid w:val="003622F3"/>
    <w:rsid w:val="00364EB7"/>
    <w:rsid w:val="0036518D"/>
    <w:rsid w:val="00365F62"/>
    <w:rsid w:val="00366A4C"/>
    <w:rsid w:val="003672B3"/>
    <w:rsid w:val="0036736E"/>
    <w:rsid w:val="003701C2"/>
    <w:rsid w:val="00370360"/>
    <w:rsid w:val="00370A8D"/>
    <w:rsid w:val="0037154E"/>
    <w:rsid w:val="00371B6A"/>
    <w:rsid w:val="00372188"/>
    <w:rsid w:val="00373473"/>
    <w:rsid w:val="0037404F"/>
    <w:rsid w:val="003747C8"/>
    <w:rsid w:val="0037566B"/>
    <w:rsid w:val="0037613B"/>
    <w:rsid w:val="003774BD"/>
    <w:rsid w:val="003779AF"/>
    <w:rsid w:val="00377C5B"/>
    <w:rsid w:val="00380446"/>
    <w:rsid w:val="003806AB"/>
    <w:rsid w:val="003806D5"/>
    <w:rsid w:val="00381B1F"/>
    <w:rsid w:val="00382190"/>
    <w:rsid w:val="0038289B"/>
    <w:rsid w:val="00383E7C"/>
    <w:rsid w:val="00385BC0"/>
    <w:rsid w:val="003870AF"/>
    <w:rsid w:val="00387DAB"/>
    <w:rsid w:val="00390244"/>
    <w:rsid w:val="00390840"/>
    <w:rsid w:val="003910AF"/>
    <w:rsid w:val="0039185A"/>
    <w:rsid w:val="00393ABA"/>
    <w:rsid w:val="00395607"/>
    <w:rsid w:val="00395819"/>
    <w:rsid w:val="00396067"/>
    <w:rsid w:val="00396374"/>
    <w:rsid w:val="003970B4"/>
    <w:rsid w:val="0039790A"/>
    <w:rsid w:val="00397CDF"/>
    <w:rsid w:val="003A0CB5"/>
    <w:rsid w:val="003A39A7"/>
    <w:rsid w:val="003A4297"/>
    <w:rsid w:val="003A453B"/>
    <w:rsid w:val="003A5AF0"/>
    <w:rsid w:val="003A5E3F"/>
    <w:rsid w:val="003A60E0"/>
    <w:rsid w:val="003A6528"/>
    <w:rsid w:val="003A69CA"/>
    <w:rsid w:val="003B28A7"/>
    <w:rsid w:val="003B309E"/>
    <w:rsid w:val="003B365B"/>
    <w:rsid w:val="003B3D42"/>
    <w:rsid w:val="003B3F3C"/>
    <w:rsid w:val="003B4882"/>
    <w:rsid w:val="003B5BF0"/>
    <w:rsid w:val="003B5C21"/>
    <w:rsid w:val="003B7DB6"/>
    <w:rsid w:val="003C08FC"/>
    <w:rsid w:val="003C11DA"/>
    <w:rsid w:val="003C13BB"/>
    <w:rsid w:val="003C14F9"/>
    <w:rsid w:val="003C3071"/>
    <w:rsid w:val="003C311F"/>
    <w:rsid w:val="003C3FF8"/>
    <w:rsid w:val="003C6858"/>
    <w:rsid w:val="003C6EAA"/>
    <w:rsid w:val="003D0A9D"/>
    <w:rsid w:val="003D146A"/>
    <w:rsid w:val="003D17AC"/>
    <w:rsid w:val="003D189E"/>
    <w:rsid w:val="003D23E8"/>
    <w:rsid w:val="003D2929"/>
    <w:rsid w:val="003D33AF"/>
    <w:rsid w:val="003D3A5D"/>
    <w:rsid w:val="003D3FCC"/>
    <w:rsid w:val="003D433A"/>
    <w:rsid w:val="003D4FA2"/>
    <w:rsid w:val="003D5BD2"/>
    <w:rsid w:val="003D5BFC"/>
    <w:rsid w:val="003D7187"/>
    <w:rsid w:val="003E00DD"/>
    <w:rsid w:val="003E028E"/>
    <w:rsid w:val="003E1225"/>
    <w:rsid w:val="003E2EFC"/>
    <w:rsid w:val="003E3A08"/>
    <w:rsid w:val="003E3D03"/>
    <w:rsid w:val="003E3F09"/>
    <w:rsid w:val="003E40C8"/>
    <w:rsid w:val="003E423F"/>
    <w:rsid w:val="003E4331"/>
    <w:rsid w:val="003E4ED9"/>
    <w:rsid w:val="003E5308"/>
    <w:rsid w:val="003E6439"/>
    <w:rsid w:val="003E70EB"/>
    <w:rsid w:val="003E76FE"/>
    <w:rsid w:val="003E7CC9"/>
    <w:rsid w:val="003F02CA"/>
    <w:rsid w:val="003F0F75"/>
    <w:rsid w:val="003F1808"/>
    <w:rsid w:val="003F2CE0"/>
    <w:rsid w:val="003F4DDF"/>
    <w:rsid w:val="003F628C"/>
    <w:rsid w:val="003F71EF"/>
    <w:rsid w:val="00400E55"/>
    <w:rsid w:val="00402123"/>
    <w:rsid w:val="00402624"/>
    <w:rsid w:val="00402674"/>
    <w:rsid w:val="004027ED"/>
    <w:rsid w:val="00402A5E"/>
    <w:rsid w:val="00403A37"/>
    <w:rsid w:val="0040430B"/>
    <w:rsid w:val="00404A4D"/>
    <w:rsid w:val="00405707"/>
    <w:rsid w:val="00405C45"/>
    <w:rsid w:val="00406365"/>
    <w:rsid w:val="00407D41"/>
    <w:rsid w:val="00410474"/>
    <w:rsid w:val="00411EBC"/>
    <w:rsid w:val="00412316"/>
    <w:rsid w:val="0041268E"/>
    <w:rsid w:val="0041274D"/>
    <w:rsid w:val="004136CE"/>
    <w:rsid w:val="00420D26"/>
    <w:rsid w:val="004226F2"/>
    <w:rsid w:val="00422E88"/>
    <w:rsid w:val="00423821"/>
    <w:rsid w:val="00423A46"/>
    <w:rsid w:val="004242EA"/>
    <w:rsid w:val="00424869"/>
    <w:rsid w:val="00424F5F"/>
    <w:rsid w:val="004251A2"/>
    <w:rsid w:val="00426250"/>
    <w:rsid w:val="00426648"/>
    <w:rsid w:val="004269B7"/>
    <w:rsid w:val="00427193"/>
    <w:rsid w:val="004275E5"/>
    <w:rsid w:val="0043078D"/>
    <w:rsid w:val="00431547"/>
    <w:rsid w:val="00431E1B"/>
    <w:rsid w:val="00432053"/>
    <w:rsid w:val="00432C8C"/>
    <w:rsid w:val="00432D2C"/>
    <w:rsid w:val="0043303D"/>
    <w:rsid w:val="004336D8"/>
    <w:rsid w:val="004337D3"/>
    <w:rsid w:val="004339AB"/>
    <w:rsid w:val="00435084"/>
    <w:rsid w:val="00435487"/>
    <w:rsid w:val="00436176"/>
    <w:rsid w:val="00437F3A"/>
    <w:rsid w:val="00440869"/>
    <w:rsid w:val="0044172B"/>
    <w:rsid w:val="0044182A"/>
    <w:rsid w:val="00442A64"/>
    <w:rsid w:val="00443C85"/>
    <w:rsid w:val="00444427"/>
    <w:rsid w:val="004447BA"/>
    <w:rsid w:val="0044502F"/>
    <w:rsid w:val="00445AA6"/>
    <w:rsid w:val="00445B39"/>
    <w:rsid w:val="00447070"/>
    <w:rsid w:val="00447109"/>
    <w:rsid w:val="00447DAB"/>
    <w:rsid w:val="00450649"/>
    <w:rsid w:val="004507C5"/>
    <w:rsid w:val="00450919"/>
    <w:rsid w:val="00450C86"/>
    <w:rsid w:val="00452CE0"/>
    <w:rsid w:val="00453208"/>
    <w:rsid w:val="00454361"/>
    <w:rsid w:val="00457E51"/>
    <w:rsid w:val="004617C1"/>
    <w:rsid w:val="00461D96"/>
    <w:rsid w:val="00462C9D"/>
    <w:rsid w:val="0046304E"/>
    <w:rsid w:val="004633F9"/>
    <w:rsid w:val="004639D0"/>
    <w:rsid w:val="00465281"/>
    <w:rsid w:val="004658E5"/>
    <w:rsid w:val="00465B7F"/>
    <w:rsid w:val="00466181"/>
    <w:rsid w:val="00466D2A"/>
    <w:rsid w:val="004678C1"/>
    <w:rsid w:val="00470049"/>
    <w:rsid w:val="00470273"/>
    <w:rsid w:val="00471476"/>
    <w:rsid w:val="00471F03"/>
    <w:rsid w:val="00472964"/>
    <w:rsid w:val="00473EE9"/>
    <w:rsid w:val="004767E9"/>
    <w:rsid w:val="00476FDD"/>
    <w:rsid w:val="00477383"/>
    <w:rsid w:val="0047783B"/>
    <w:rsid w:val="00477A7D"/>
    <w:rsid w:val="00480C40"/>
    <w:rsid w:val="004810AC"/>
    <w:rsid w:val="00482DDF"/>
    <w:rsid w:val="00483DD6"/>
    <w:rsid w:val="00485DC7"/>
    <w:rsid w:val="00487F38"/>
    <w:rsid w:val="00490A6D"/>
    <w:rsid w:val="00490BD5"/>
    <w:rsid w:val="00491341"/>
    <w:rsid w:val="00491CEC"/>
    <w:rsid w:val="0049205E"/>
    <w:rsid w:val="00494895"/>
    <w:rsid w:val="004958BC"/>
    <w:rsid w:val="004974ED"/>
    <w:rsid w:val="004A0CCA"/>
    <w:rsid w:val="004A15E2"/>
    <w:rsid w:val="004A3DC2"/>
    <w:rsid w:val="004A43BD"/>
    <w:rsid w:val="004A5DDB"/>
    <w:rsid w:val="004A5E4F"/>
    <w:rsid w:val="004A7E5F"/>
    <w:rsid w:val="004B0E00"/>
    <w:rsid w:val="004B15BB"/>
    <w:rsid w:val="004B1610"/>
    <w:rsid w:val="004B248F"/>
    <w:rsid w:val="004B28AE"/>
    <w:rsid w:val="004B2AEF"/>
    <w:rsid w:val="004B3256"/>
    <w:rsid w:val="004B45C9"/>
    <w:rsid w:val="004B46AC"/>
    <w:rsid w:val="004B4E55"/>
    <w:rsid w:val="004B5096"/>
    <w:rsid w:val="004B60F4"/>
    <w:rsid w:val="004B7359"/>
    <w:rsid w:val="004C0BCC"/>
    <w:rsid w:val="004C1C87"/>
    <w:rsid w:val="004C1E90"/>
    <w:rsid w:val="004C230D"/>
    <w:rsid w:val="004C2791"/>
    <w:rsid w:val="004C2FD6"/>
    <w:rsid w:val="004C3C03"/>
    <w:rsid w:val="004C4BF1"/>
    <w:rsid w:val="004C4C0E"/>
    <w:rsid w:val="004C52AD"/>
    <w:rsid w:val="004C53A7"/>
    <w:rsid w:val="004C626A"/>
    <w:rsid w:val="004C630F"/>
    <w:rsid w:val="004C7469"/>
    <w:rsid w:val="004C7692"/>
    <w:rsid w:val="004D06A4"/>
    <w:rsid w:val="004D177E"/>
    <w:rsid w:val="004D1E8C"/>
    <w:rsid w:val="004D381D"/>
    <w:rsid w:val="004D4DDE"/>
    <w:rsid w:val="004D5097"/>
    <w:rsid w:val="004D5762"/>
    <w:rsid w:val="004D6A10"/>
    <w:rsid w:val="004D6D9A"/>
    <w:rsid w:val="004E2F0F"/>
    <w:rsid w:val="004E3301"/>
    <w:rsid w:val="004E3A4C"/>
    <w:rsid w:val="004E4238"/>
    <w:rsid w:val="004E42DF"/>
    <w:rsid w:val="004E50D9"/>
    <w:rsid w:val="004F078E"/>
    <w:rsid w:val="004F17AD"/>
    <w:rsid w:val="004F183D"/>
    <w:rsid w:val="004F1EF1"/>
    <w:rsid w:val="004F2325"/>
    <w:rsid w:val="004F28A2"/>
    <w:rsid w:val="004F28BB"/>
    <w:rsid w:val="004F3098"/>
    <w:rsid w:val="004F31FE"/>
    <w:rsid w:val="004F3B16"/>
    <w:rsid w:val="004F4562"/>
    <w:rsid w:val="004F4D55"/>
    <w:rsid w:val="004F69D2"/>
    <w:rsid w:val="004F729C"/>
    <w:rsid w:val="004F72C0"/>
    <w:rsid w:val="004F784C"/>
    <w:rsid w:val="00500C81"/>
    <w:rsid w:val="005011D6"/>
    <w:rsid w:val="00502CBC"/>
    <w:rsid w:val="00503076"/>
    <w:rsid w:val="00504D68"/>
    <w:rsid w:val="005050FC"/>
    <w:rsid w:val="005051D2"/>
    <w:rsid w:val="00505F35"/>
    <w:rsid w:val="00506197"/>
    <w:rsid w:val="00506667"/>
    <w:rsid w:val="00510980"/>
    <w:rsid w:val="00515F88"/>
    <w:rsid w:val="00516215"/>
    <w:rsid w:val="00516B55"/>
    <w:rsid w:val="00516DFA"/>
    <w:rsid w:val="00516F1A"/>
    <w:rsid w:val="005221BF"/>
    <w:rsid w:val="00522588"/>
    <w:rsid w:val="005231A3"/>
    <w:rsid w:val="00524460"/>
    <w:rsid w:val="00524681"/>
    <w:rsid w:val="00525102"/>
    <w:rsid w:val="005266D5"/>
    <w:rsid w:val="00526B5F"/>
    <w:rsid w:val="00527E4C"/>
    <w:rsid w:val="0053008E"/>
    <w:rsid w:val="00530414"/>
    <w:rsid w:val="00530480"/>
    <w:rsid w:val="00530CFB"/>
    <w:rsid w:val="005314E9"/>
    <w:rsid w:val="00532104"/>
    <w:rsid w:val="00532B95"/>
    <w:rsid w:val="005352E3"/>
    <w:rsid w:val="00535477"/>
    <w:rsid w:val="0053655F"/>
    <w:rsid w:val="00536F4A"/>
    <w:rsid w:val="005413B9"/>
    <w:rsid w:val="00543990"/>
    <w:rsid w:val="00543B98"/>
    <w:rsid w:val="005448F6"/>
    <w:rsid w:val="005469B8"/>
    <w:rsid w:val="00546D99"/>
    <w:rsid w:val="00547332"/>
    <w:rsid w:val="00551ACA"/>
    <w:rsid w:val="005522E5"/>
    <w:rsid w:val="00553181"/>
    <w:rsid w:val="00553A2B"/>
    <w:rsid w:val="0055564F"/>
    <w:rsid w:val="00555F1B"/>
    <w:rsid w:val="0055773A"/>
    <w:rsid w:val="005600AD"/>
    <w:rsid w:val="00562DC5"/>
    <w:rsid w:val="00562E46"/>
    <w:rsid w:val="00564273"/>
    <w:rsid w:val="00565971"/>
    <w:rsid w:val="00565EBE"/>
    <w:rsid w:val="00566B77"/>
    <w:rsid w:val="00566E00"/>
    <w:rsid w:val="0057078B"/>
    <w:rsid w:val="00570E64"/>
    <w:rsid w:val="005714B9"/>
    <w:rsid w:val="00571869"/>
    <w:rsid w:val="005719D8"/>
    <w:rsid w:val="00573354"/>
    <w:rsid w:val="005757C4"/>
    <w:rsid w:val="00576357"/>
    <w:rsid w:val="00576636"/>
    <w:rsid w:val="00577A6D"/>
    <w:rsid w:val="005804C3"/>
    <w:rsid w:val="00581933"/>
    <w:rsid w:val="00582CD9"/>
    <w:rsid w:val="005845BE"/>
    <w:rsid w:val="00586545"/>
    <w:rsid w:val="005868E0"/>
    <w:rsid w:val="005874C6"/>
    <w:rsid w:val="00590944"/>
    <w:rsid w:val="00591DDD"/>
    <w:rsid w:val="00592618"/>
    <w:rsid w:val="005928CC"/>
    <w:rsid w:val="00592E0B"/>
    <w:rsid w:val="00593283"/>
    <w:rsid w:val="005936A4"/>
    <w:rsid w:val="00594221"/>
    <w:rsid w:val="00594774"/>
    <w:rsid w:val="00595538"/>
    <w:rsid w:val="00595D8C"/>
    <w:rsid w:val="0059691F"/>
    <w:rsid w:val="005A0AA7"/>
    <w:rsid w:val="005A140C"/>
    <w:rsid w:val="005A1465"/>
    <w:rsid w:val="005A3274"/>
    <w:rsid w:val="005A377D"/>
    <w:rsid w:val="005A3DA0"/>
    <w:rsid w:val="005A3F6B"/>
    <w:rsid w:val="005A427D"/>
    <w:rsid w:val="005A6233"/>
    <w:rsid w:val="005A6563"/>
    <w:rsid w:val="005A6BB1"/>
    <w:rsid w:val="005A6D8F"/>
    <w:rsid w:val="005A7536"/>
    <w:rsid w:val="005B01EB"/>
    <w:rsid w:val="005B0706"/>
    <w:rsid w:val="005B11A8"/>
    <w:rsid w:val="005B14EC"/>
    <w:rsid w:val="005B25CC"/>
    <w:rsid w:val="005B277C"/>
    <w:rsid w:val="005B326F"/>
    <w:rsid w:val="005B47A4"/>
    <w:rsid w:val="005B4B72"/>
    <w:rsid w:val="005B581B"/>
    <w:rsid w:val="005C034F"/>
    <w:rsid w:val="005C321B"/>
    <w:rsid w:val="005C34CC"/>
    <w:rsid w:val="005C404D"/>
    <w:rsid w:val="005C5CCB"/>
    <w:rsid w:val="005C5F4F"/>
    <w:rsid w:val="005C683D"/>
    <w:rsid w:val="005C7199"/>
    <w:rsid w:val="005D0127"/>
    <w:rsid w:val="005D1152"/>
    <w:rsid w:val="005D2807"/>
    <w:rsid w:val="005D3248"/>
    <w:rsid w:val="005D5463"/>
    <w:rsid w:val="005D554C"/>
    <w:rsid w:val="005D757D"/>
    <w:rsid w:val="005D7F78"/>
    <w:rsid w:val="005E0E72"/>
    <w:rsid w:val="005E1453"/>
    <w:rsid w:val="005E215C"/>
    <w:rsid w:val="005E2307"/>
    <w:rsid w:val="005E2368"/>
    <w:rsid w:val="005E3622"/>
    <w:rsid w:val="005E38AE"/>
    <w:rsid w:val="005E44A1"/>
    <w:rsid w:val="005E4766"/>
    <w:rsid w:val="005E4843"/>
    <w:rsid w:val="005E511B"/>
    <w:rsid w:val="005E5A73"/>
    <w:rsid w:val="005E5E83"/>
    <w:rsid w:val="005E6796"/>
    <w:rsid w:val="005F03A8"/>
    <w:rsid w:val="005F1200"/>
    <w:rsid w:val="005F2D32"/>
    <w:rsid w:val="005F362A"/>
    <w:rsid w:val="005F5018"/>
    <w:rsid w:val="005F655C"/>
    <w:rsid w:val="005F6AB4"/>
    <w:rsid w:val="0060065E"/>
    <w:rsid w:val="0060070B"/>
    <w:rsid w:val="00601540"/>
    <w:rsid w:val="006037E8"/>
    <w:rsid w:val="006055BA"/>
    <w:rsid w:val="006076E2"/>
    <w:rsid w:val="00607ABA"/>
    <w:rsid w:val="006104F4"/>
    <w:rsid w:val="00610C23"/>
    <w:rsid w:val="006126FF"/>
    <w:rsid w:val="00614088"/>
    <w:rsid w:val="00614B5C"/>
    <w:rsid w:val="006154C5"/>
    <w:rsid w:val="00616EF9"/>
    <w:rsid w:val="00617674"/>
    <w:rsid w:val="0061771C"/>
    <w:rsid w:val="0061773F"/>
    <w:rsid w:val="00620529"/>
    <w:rsid w:val="00620C5A"/>
    <w:rsid w:val="00620D6C"/>
    <w:rsid w:val="0062244D"/>
    <w:rsid w:val="00622D65"/>
    <w:rsid w:val="0062347D"/>
    <w:rsid w:val="00623791"/>
    <w:rsid w:val="00624034"/>
    <w:rsid w:val="00624FF5"/>
    <w:rsid w:val="0062520D"/>
    <w:rsid w:val="006259E1"/>
    <w:rsid w:val="00627662"/>
    <w:rsid w:val="00631168"/>
    <w:rsid w:val="0063247F"/>
    <w:rsid w:val="00633530"/>
    <w:rsid w:val="00633976"/>
    <w:rsid w:val="00633A38"/>
    <w:rsid w:val="00633A72"/>
    <w:rsid w:val="00635112"/>
    <w:rsid w:val="006352F1"/>
    <w:rsid w:val="00635B50"/>
    <w:rsid w:val="00635ECD"/>
    <w:rsid w:val="0063640E"/>
    <w:rsid w:val="00641C10"/>
    <w:rsid w:val="00642B23"/>
    <w:rsid w:val="00643DF1"/>
    <w:rsid w:val="006447FC"/>
    <w:rsid w:val="0064499F"/>
    <w:rsid w:val="006452F3"/>
    <w:rsid w:val="006463F5"/>
    <w:rsid w:val="00646579"/>
    <w:rsid w:val="006479CA"/>
    <w:rsid w:val="00651AC4"/>
    <w:rsid w:val="00652BAD"/>
    <w:rsid w:val="006531A0"/>
    <w:rsid w:val="006531C9"/>
    <w:rsid w:val="00653DD9"/>
    <w:rsid w:val="006550FE"/>
    <w:rsid w:val="00655D95"/>
    <w:rsid w:val="00656466"/>
    <w:rsid w:val="00656C5D"/>
    <w:rsid w:val="006603D4"/>
    <w:rsid w:val="0066043D"/>
    <w:rsid w:val="006607BA"/>
    <w:rsid w:val="00661131"/>
    <w:rsid w:val="00661E5E"/>
    <w:rsid w:val="00663D38"/>
    <w:rsid w:val="00663FDF"/>
    <w:rsid w:val="006661BE"/>
    <w:rsid w:val="00666D0C"/>
    <w:rsid w:val="006675C1"/>
    <w:rsid w:val="006679C0"/>
    <w:rsid w:val="006722A4"/>
    <w:rsid w:val="00672F67"/>
    <w:rsid w:val="00674DF3"/>
    <w:rsid w:val="00675C26"/>
    <w:rsid w:val="0067609E"/>
    <w:rsid w:val="00676F79"/>
    <w:rsid w:val="0068365C"/>
    <w:rsid w:val="00684A39"/>
    <w:rsid w:val="00684E75"/>
    <w:rsid w:val="00684F8E"/>
    <w:rsid w:val="00685C96"/>
    <w:rsid w:val="00685DC3"/>
    <w:rsid w:val="00686F58"/>
    <w:rsid w:val="006871FD"/>
    <w:rsid w:val="0069039F"/>
    <w:rsid w:val="006918BC"/>
    <w:rsid w:val="006919E1"/>
    <w:rsid w:val="00692D01"/>
    <w:rsid w:val="00693479"/>
    <w:rsid w:val="006940B1"/>
    <w:rsid w:val="00696FC7"/>
    <w:rsid w:val="006976CC"/>
    <w:rsid w:val="006A0627"/>
    <w:rsid w:val="006A064A"/>
    <w:rsid w:val="006A0676"/>
    <w:rsid w:val="006A0ED0"/>
    <w:rsid w:val="006A27D7"/>
    <w:rsid w:val="006A2F2E"/>
    <w:rsid w:val="006A30C5"/>
    <w:rsid w:val="006A4E97"/>
    <w:rsid w:val="006A5CD0"/>
    <w:rsid w:val="006A6221"/>
    <w:rsid w:val="006A6F1E"/>
    <w:rsid w:val="006A73AD"/>
    <w:rsid w:val="006B21DB"/>
    <w:rsid w:val="006B286B"/>
    <w:rsid w:val="006B2BEB"/>
    <w:rsid w:val="006B3F49"/>
    <w:rsid w:val="006B4FD2"/>
    <w:rsid w:val="006B656A"/>
    <w:rsid w:val="006B6592"/>
    <w:rsid w:val="006B730B"/>
    <w:rsid w:val="006C0FE9"/>
    <w:rsid w:val="006C2501"/>
    <w:rsid w:val="006C2A72"/>
    <w:rsid w:val="006C2F5E"/>
    <w:rsid w:val="006C34C7"/>
    <w:rsid w:val="006C3538"/>
    <w:rsid w:val="006C5852"/>
    <w:rsid w:val="006C5937"/>
    <w:rsid w:val="006C7168"/>
    <w:rsid w:val="006D104A"/>
    <w:rsid w:val="006D1B4A"/>
    <w:rsid w:val="006D2FE0"/>
    <w:rsid w:val="006D3CFD"/>
    <w:rsid w:val="006D5247"/>
    <w:rsid w:val="006D66AE"/>
    <w:rsid w:val="006D75D2"/>
    <w:rsid w:val="006E09FC"/>
    <w:rsid w:val="006E1168"/>
    <w:rsid w:val="006E2DC5"/>
    <w:rsid w:val="006E34D0"/>
    <w:rsid w:val="006E364E"/>
    <w:rsid w:val="006E3972"/>
    <w:rsid w:val="006E3BD2"/>
    <w:rsid w:val="006E42C4"/>
    <w:rsid w:val="006E4821"/>
    <w:rsid w:val="006E49C2"/>
    <w:rsid w:val="006E60B9"/>
    <w:rsid w:val="006E719C"/>
    <w:rsid w:val="006F174B"/>
    <w:rsid w:val="006F177C"/>
    <w:rsid w:val="006F21BC"/>
    <w:rsid w:val="006F2B93"/>
    <w:rsid w:val="006F3B95"/>
    <w:rsid w:val="006F45FB"/>
    <w:rsid w:val="006F489D"/>
    <w:rsid w:val="006F4BB5"/>
    <w:rsid w:val="006F5227"/>
    <w:rsid w:val="006F5BC7"/>
    <w:rsid w:val="006F67DE"/>
    <w:rsid w:val="006F7588"/>
    <w:rsid w:val="00700D7B"/>
    <w:rsid w:val="00700F19"/>
    <w:rsid w:val="00701FFB"/>
    <w:rsid w:val="00702AA4"/>
    <w:rsid w:val="00703364"/>
    <w:rsid w:val="00703E86"/>
    <w:rsid w:val="00704A12"/>
    <w:rsid w:val="00704B7D"/>
    <w:rsid w:val="00705133"/>
    <w:rsid w:val="0070659A"/>
    <w:rsid w:val="007106F7"/>
    <w:rsid w:val="007108F1"/>
    <w:rsid w:val="00711B1A"/>
    <w:rsid w:val="00711D16"/>
    <w:rsid w:val="00712BA5"/>
    <w:rsid w:val="00713588"/>
    <w:rsid w:val="00714D1E"/>
    <w:rsid w:val="007156C8"/>
    <w:rsid w:val="00715950"/>
    <w:rsid w:val="00715953"/>
    <w:rsid w:val="0071676F"/>
    <w:rsid w:val="00716877"/>
    <w:rsid w:val="007175E3"/>
    <w:rsid w:val="00720D01"/>
    <w:rsid w:val="00721528"/>
    <w:rsid w:val="00723D35"/>
    <w:rsid w:val="0072478E"/>
    <w:rsid w:val="00725472"/>
    <w:rsid w:val="00725622"/>
    <w:rsid w:val="00725648"/>
    <w:rsid w:val="007257D6"/>
    <w:rsid w:val="00725E95"/>
    <w:rsid w:val="00726232"/>
    <w:rsid w:val="00726BD6"/>
    <w:rsid w:val="00731C95"/>
    <w:rsid w:val="0073224C"/>
    <w:rsid w:val="00732548"/>
    <w:rsid w:val="007325D3"/>
    <w:rsid w:val="00735D7D"/>
    <w:rsid w:val="00736137"/>
    <w:rsid w:val="00737878"/>
    <w:rsid w:val="00740A14"/>
    <w:rsid w:val="00741F2B"/>
    <w:rsid w:val="00742F53"/>
    <w:rsid w:val="007437DD"/>
    <w:rsid w:val="00743E29"/>
    <w:rsid w:val="00745313"/>
    <w:rsid w:val="00745B9F"/>
    <w:rsid w:val="00747297"/>
    <w:rsid w:val="00747988"/>
    <w:rsid w:val="00750D11"/>
    <w:rsid w:val="00754063"/>
    <w:rsid w:val="007540CC"/>
    <w:rsid w:val="00755085"/>
    <w:rsid w:val="0075611A"/>
    <w:rsid w:val="0075622C"/>
    <w:rsid w:val="00756C92"/>
    <w:rsid w:val="00757979"/>
    <w:rsid w:val="00760C64"/>
    <w:rsid w:val="00762EF5"/>
    <w:rsid w:val="0076452F"/>
    <w:rsid w:val="00764DC0"/>
    <w:rsid w:val="00764F0C"/>
    <w:rsid w:val="00766BF2"/>
    <w:rsid w:val="0077074A"/>
    <w:rsid w:val="00770D06"/>
    <w:rsid w:val="00771232"/>
    <w:rsid w:val="0077445A"/>
    <w:rsid w:val="0077651B"/>
    <w:rsid w:val="00776EF4"/>
    <w:rsid w:val="00777970"/>
    <w:rsid w:val="00780F5A"/>
    <w:rsid w:val="00782323"/>
    <w:rsid w:val="00782852"/>
    <w:rsid w:val="007830DC"/>
    <w:rsid w:val="00783DCC"/>
    <w:rsid w:val="00786F60"/>
    <w:rsid w:val="00787338"/>
    <w:rsid w:val="0078799A"/>
    <w:rsid w:val="00790401"/>
    <w:rsid w:val="00792559"/>
    <w:rsid w:val="00794405"/>
    <w:rsid w:val="007949D6"/>
    <w:rsid w:val="007957AE"/>
    <w:rsid w:val="00796EF1"/>
    <w:rsid w:val="007A130C"/>
    <w:rsid w:val="007A18D0"/>
    <w:rsid w:val="007A1D0A"/>
    <w:rsid w:val="007A2BAE"/>
    <w:rsid w:val="007A4322"/>
    <w:rsid w:val="007A4864"/>
    <w:rsid w:val="007A5F5E"/>
    <w:rsid w:val="007A6BA3"/>
    <w:rsid w:val="007B03CB"/>
    <w:rsid w:val="007B1602"/>
    <w:rsid w:val="007B293E"/>
    <w:rsid w:val="007B2E7A"/>
    <w:rsid w:val="007B44ED"/>
    <w:rsid w:val="007B524F"/>
    <w:rsid w:val="007B74AA"/>
    <w:rsid w:val="007C095F"/>
    <w:rsid w:val="007C0FF1"/>
    <w:rsid w:val="007C1774"/>
    <w:rsid w:val="007C1CE5"/>
    <w:rsid w:val="007C21C6"/>
    <w:rsid w:val="007C3633"/>
    <w:rsid w:val="007C487F"/>
    <w:rsid w:val="007C5CF2"/>
    <w:rsid w:val="007C6BE4"/>
    <w:rsid w:val="007D0367"/>
    <w:rsid w:val="007D095B"/>
    <w:rsid w:val="007D0ABE"/>
    <w:rsid w:val="007D1108"/>
    <w:rsid w:val="007D296B"/>
    <w:rsid w:val="007D3C62"/>
    <w:rsid w:val="007D4A1A"/>
    <w:rsid w:val="007D5402"/>
    <w:rsid w:val="007D5643"/>
    <w:rsid w:val="007D56E4"/>
    <w:rsid w:val="007D6D66"/>
    <w:rsid w:val="007D7C8A"/>
    <w:rsid w:val="007E0926"/>
    <w:rsid w:val="007E0AF1"/>
    <w:rsid w:val="007E1304"/>
    <w:rsid w:val="007E1850"/>
    <w:rsid w:val="007E27DE"/>
    <w:rsid w:val="007E38B9"/>
    <w:rsid w:val="007E4E49"/>
    <w:rsid w:val="007E52FF"/>
    <w:rsid w:val="007E54B0"/>
    <w:rsid w:val="007E5A44"/>
    <w:rsid w:val="007E683D"/>
    <w:rsid w:val="007E75CB"/>
    <w:rsid w:val="007F09DD"/>
    <w:rsid w:val="007F1258"/>
    <w:rsid w:val="007F2F2A"/>
    <w:rsid w:val="007F3976"/>
    <w:rsid w:val="007F39EB"/>
    <w:rsid w:val="007F62DB"/>
    <w:rsid w:val="007F662A"/>
    <w:rsid w:val="007F73BA"/>
    <w:rsid w:val="0080018B"/>
    <w:rsid w:val="00800CF3"/>
    <w:rsid w:val="00801C25"/>
    <w:rsid w:val="008035A4"/>
    <w:rsid w:val="00803758"/>
    <w:rsid w:val="00803CBA"/>
    <w:rsid w:val="008043CE"/>
    <w:rsid w:val="00804C84"/>
    <w:rsid w:val="00804F82"/>
    <w:rsid w:val="00807807"/>
    <w:rsid w:val="008114A7"/>
    <w:rsid w:val="00811BE6"/>
    <w:rsid w:val="00812DB8"/>
    <w:rsid w:val="00812FAB"/>
    <w:rsid w:val="00815429"/>
    <w:rsid w:val="0081561C"/>
    <w:rsid w:val="008159F5"/>
    <w:rsid w:val="0081777E"/>
    <w:rsid w:val="008177FB"/>
    <w:rsid w:val="00817DA9"/>
    <w:rsid w:val="0082075B"/>
    <w:rsid w:val="00820D62"/>
    <w:rsid w:val="008212FB"/>
    <w:rsid w:val="00821601"/>
    <w:rsid w:val="00823457"/>
    <w:rsid w:val="0082507C"/>
    <w:rsid w:val="00825096"/>
    <w:rsid w:val="0082529D"/>
    <w:rsid w:val="00825873"/>
    <w:rsid w:val="00825BB7"/>
    <w:rsid w:val="00826633"/>
    <w:rsid w:val="008268CE"/>
    <w:rsid w:val="008272A1"/>
    <w:rsid w:val="00827BCD"/>
    <w:rsid w:val="008326F2"/>
    <w:rsid w:val="00832BED"/>
    <w:rsid w:val="008338D2"/>
    <w:rsid w:val="00833A8C"/>
    <w:rsid w:val="00835E0F"/>
    <w:rsid w:val="00836327"/>
    <w:rsid w:val="008367C6"/>
    <w:rsid w:val="0084189C"/>
    <w:rsid w:val="00842971"/>
    <w:rsid w:val="00842B21"/>
    <w:rsid w:val="00842CD7"/>
    <w:rsid w:val="00844195"/>
    <w:rsid w:val="00844F75"/>
    <w:rsid w:val="00845E8B"/>
    <w:rsid w:val="0085051C"/>
    <w:rsid w:val="008517EF"/>
    <w:rsid w:val="00852D70"/>
    <w:rsid w:val="008533F1"/>
    <w:rsid w:val="00853C40"/>
    <w:rsid w:val="00854184"/>
    <w:rsid w:val="0085427B"/>
    <w:rsid w:val="00855D65"/>
    <w:rsid w:val="0085654E"/>
    <w:rsid w:val="008571D8"/>
    <w:rsid w:val="00863313"/>
    <w:rsid w:val="00863986"/>
    <w:rsid w:val="00863CCB"/>
    <w:rsid w:val="00863E05"/>
    <w:rsid w:val="0086403E"/>
    <w:rsid w:val="00864386"/>
    <w:rsid w:val="008647E4"/>
    <w:rsid w:val="00865A24"/>
    <w:rsid w:val="00866F1F"/>
    <w:rsid w:val="008701ED"/>
    <w:rsid w:val="00871983"/>
    <w:rsid w:val="0087270F"/>
    <w:rsid w:val="00873301"/>
    <w:rsid w:val="00873879"/>
    <w:rsid w:val="00873AC9"/>
    <w:rsid w:val="00874AF1"/>
    <w:rsid w:val="008752DC"/>
    <w:rsid w:val="008779B1"/>
    <w:rsid w:val="0088315F"/>
    <w:rsid w:val="008831AE"/>
    <w:rsid w:val="00884F70"/>
    <w:rsid w:val="00885457"/>
    <w:rsid w:val="00886152"/>
    <w:rsid w:val="00886683"/>
    <w:rsid w:val="00886D06"/>
    <w:rsid w:val="0088702F"/>
    <w:rsid w:val="00890FC7"/>
    <w:rsid w:val="00891178"/>
    <w:rsid w:val="008915E7"/>
    <w:rsid w:val="00893B8A"/>
    <w:rsid w:val="00895753"/>
    <w:rsid w:val="00895CDE"/>
    <w:rsid w:val="008961FC"/>
    <w:rsid w:val="00896B58"/>
    <w:rsid w:val="00897FC2"/>
    <w:rsid w:val="008A02FB"/>
    <w:rsid w:val="008A0506"/>
    <w:rsid w:val="008A16FC"/>
    <w:rsid w:val="008A1849"/>
    <w:rsid w:val="008A21F2"/>
    <w:rsid w:val="008A55F5"/>
    <w:rsid w:val="008A5DDE"/>
    <w:rsid w:val="008A7F4B"/>
    <w:rsid w:val="008B03DF"/>
    <w:rsid w:val="008B1164"/>
    <w:rsid w:val="008B33C3"/>
    <w:rsid w:val="008B3CED"/>
    <w:rsid w:val="008B4B9A"/>
    <w:rsid w:val="008B4C13"/>
    <w:rsid w:val="008B56C3"/>
    <w:rsid w:val="008B57AA"/>
    <w:rsid w:val="008B5ABB"/>
    <w:rsid w:val="008B687A"/>
    <w:rsid w:val="008B6B02"/>
    <w:rsid w:val="008B76F0"/>
    <w:rsid w:val="008B7C63"/>
    <w:rsid w:val="008C0D71"/>
    <w:rsid w:val="008C0E10"/>
    <w:rsid w:val="008C3769"/>
    <w:rsid w:val="008C4E01"/>
    <w:rsid w:val="008C528A"/>
    <w:rsid w:val="008D07C5"/>
    <w:rsid w:val="008D35DA"/>
    <w:rsid w:val="008D4E67"/>
    <w:rsid w:val="008D4FF4"/>
    <w:rsid w:val="008D62E7"/>
    <w:rsid w:val="008D7298"/>
    <w:rsid w:val="008D7DEB"/>
    <w:rsid w:val="008E02C2"/>
    <w:rsid w:val="008E031A"/>
    <w:rsid w:val="008E0C1F"/>
    <w:rsid w:val="008E1340"/>
    <w:rsid w:val="008E364C"/>
    <w:rsid w:val="008E47A0"/>
    <w:rsid w:val="008E4979"/>
    <w:rsid w:val="008E5090"/>
    <w:rsid w:val="008E5CC3"/>
    <w:rsid w:val="008E5FEC"/>
    <w:rsid w:val="008E6999"/>
    <w:rsid w:val="008F00E7"/>
    <w:rsid w:val="008F100A"/>
    <w:rsid w:val="008F2286"/>
    <w:rsid w:val="008F2C26"/>
    <w:rsid w:val="008F4B09"/>
    <w:rsid w:val="008F585A"/>
    <w:rsid w:val="008F695C"/>
    <w:rsid w:val="008F6A59"/>
    <w:rsid w:val="0090053F"/>
    <w:rsid w:val="0090090F"/>
    <w:rsid w:val="00901336"/>
    <w:rsid w:val="00902FD5"/>
    <w:rsid w:val="009040BB"/>
    <w:rsid w:val="009065EB"/>
    <w:rsid w:val="00907615"/>
    <w:rsid w:val="00911BCE"/>
    <w:rsid w:val="009124CF"/>
    <w:rsid w:val="0091310F"/>
    <w:rsid w:val="00914F18"/>
    <w:rsid w:val="00915135"/>
    <w:rsid w:val="0091564E"/>
    <w:rsid w:val="00915D0D"/>
    <w:rsid w:val="00916369"/>
    <w:rsid w:val="0091694B"/>
    <w:rsid w:val="00920E15"/>
    <w:rsid w:val="00920EB9"/>
    <w:rsid w:val="00921DB1"/>
    <w:rsid w:val="0092237B"/>
    <w:rsid w:val="00922564"/>
    <w:rsid w:val="00923552"/>
    <w:rsid w:val="00924706"/>
    <w:rsid w:val="009251F1"/>
    <w:rsid w:val="00926324"/>
    <w:rsid w:val="0093026E"/>
    <w:rsid w:val="00930CB1"/>
    <w:rsid w:val="0093125A"/>
    <w:rsid w:val="00931601"/>
    <w:rsid w:val="00931D51"/>
    <w:rsid w:val="00932F86"/>
    <w:rsid w:val="00934E87"/>
    <w:rsid w:val="00935081"/>
    <w:rsid w:val="00935598"/>
    <w:rsid w:val="00935845"/>
    <w:rsid w:val="009361CB"/>
    <w:rsid w:val="009365E5"/>
    <w:rsid w:val="00937F0A"/>
    <w:rsid w:val="0094406D"/>
    <w:rsid w:val="009449CC"/>
    <w:rsid w:val="0094653D"/>
    <w:rsid w:val="0094730E"/>
    <w:rsid w:val="00947D76"/>
    <w:rsid w:val="00950783"/>
    <w:rsid w:val="00950F80"/>
    <w:rsid w:val="00951431"/>
    <w:rsid w:val="00951829"/>
    <w:rsid w:val="009528E4"/>
    <w:rsid w:val="00953CA0"/>
    <w:rsid w:val="00953D05"/>
    <w:rsid w:val="00955011"/>
    <w:rsid w:val="009553C4"/>
    <w:rsid w:val="00955FCB"/>
    <w:rsid w:val="0095703C"/>
    <w:rsid w:val="009603C5"/>
    <w:rsid w:val="0096190C"/>
    <w:rsid w:val="00962C9A"/>
    <w:rsid w:val="00962ED4"/>
    <w:rsid w:val="00963336"/>
    <w:rsid w:val="00963AE7"/>
    <w:rsid w:val="00963E27"/>
    <w:rsid w:val="00965318"/>
    <w:rsid w:val="00965431"/>
    <w:rsid w:val="009660B3"/>
    <w:rsid w:val="00966175"/>
    <w:rsid w:val="00967EA9"/>
    <w:rsid w:val="00970171"/>
    <w:rsid w:val="009708B1"/>
    <w:rsid w:val="009709A2"/>
    <w:rsid w:val="00971586"/>
    <w:rsid w:val="00971903"/>
    <w:rsid w:val="0097196A"/>
    <w:rsid w:val="009735CB"/>
    <w:rsid w:val="00974160"/>
    <w:rsid w:val="009746AC"/>
    <w:rsid w:val="00974823"/>
    <w:rsid w:val="00974A0C"/>
    <w:rsid w:val="00976037"/>
    <w:rsid w:val="0097634A"/>
    <w:rsid w:val="00976591"/>
    <w:rsid w:val="00976632"/>
    <w:rsid w:val="009771ED"/>
    <w:rsid w:val="00977AFD"/>
    <w:rsid w:val="00977D48"/>
    <w:rsid w:val="00980D90"/>
    <w:rsid w:val="00981D27"/>
    <w:rsid w:val="00982CE9"/>
    <w:rsid w:val="009834B4"/>
    <w:rsid w:val="00983F02"/>
    <w:rsid w:val="009843D2"/>
    <w:rsid w:val="00984A2F"/>
    <w:rsid w:val="00984C72"/>
    <w:rsid w:val="00987568"/>
    <w:rsid w:val="009877E3"/>
    <w:rsid w:val="00991480"/>
    <w:rsid w:val="0099180B"/>
    <w:rsid w:val="009921E5"/>
    <w:rsid w:val="00992B3C"/>
    <w:rsid w:val="009933E0"/>
    <w:rsid w:val="00993F0B"/>
    <w:rsid w:val="00995908"/>
    <w:rsid w:val="00996593"/>
    <w:rsid w:val="00997339"/>
    <w:rsid w:val="00997C29"/>
    <w:rsid w:val="009A20DF"/>
    <w:rsid w:val="009A3787"/>
    <w:rsid w:val="009A536D"/>
    <w:rsid w:val="009A6600"/>
    <w:rsid w:val="009B0138"/>
    <w:rsid w:val="009B264D"/>
    <w:rsid w:val="009B40AC"/>
    <w:rsid w:val="009B416C"/>
    <w:rsid w:val="009B4813"/>
    <w:rsid w:val="009B4A7F"/>
    <w:rsid w:val="009B4F87"/>
    <w:rsid w:val="009B559D"/>
    <w:rsid w:val="009B585A"/>
    <w:rsid w:val="009B58D3"/>
    <w:rsid w:val="009B5D12"/>
    <w:rsid w:val="009B657F"/>
    <w:rsid w:val="009B79C9"/>
    <w:rsid w:val="009C0C7B"/>
    <w:rsid w:val="009C20E9"/>
    <w:rsid w:val="009C23F5"/>
    <w:rsid w:val="009C2A3E"/>
    <w:rsid w:val="009C2C08"/>
    <w:rsid w:val="009C3048"/>
    <w:rsid w:val="009C3606"/>
    <w:rsid w:val="009C50C3"/>
    <w:rsid w:val="009C56EC"/>
    <w:rsid w:val="009C58DE"/>
    <w:rsid w:val="009C5E08"/>
    <w:rsid w:val="009C6351"/>
    <w:rsid w:val="009C640B"/>
    <w:rsid w:val="009C75FB"/>
    <w:rsid w:val="009C7C07"/>
    <w:rsid w:val="009C7CCD"/>
    <w:rsid w:val="009D0351"/>
    <w:rsid w:val="009D2A72"/>
    <w:rsid w:val="009D2BAD"/>
    <w:rsid w:val="009D321E"/>
    <w:rsid w:val="009D43BF"/>
    <w:rsid w:val="009D4713"/>
    <w:rsid w:val="009D4A95"/>
    <w:rsid w:val="009D51CC"/>
    <w:rsid w:val="009D6F21"/>
    <w:rsid w:val="009D76C1"/>
    <w:rsid w:val="009D7E8E"/>
    <w:rsid w:val="009E1415"/>
    <w:rsid w:val="009E1C39"/>
    <w:rsid w:val="009E1EFC"/>
    <w:rsid w:val="009E242D"/>
    <w:rsid w:val="009E301E"/>
    <w:rsid w:val="009E34A7"/>
    <w:rsid w:val="009E3F61"/>
    <w:rsid w:val="009E4F57"/>
    <w:rsid w:val="009E52E4"/>
    <w:rsid w:val="009E5DFC"/>
    <w:rsid w:val="009E65FB"/>
    <w:rsid w:val="009E6EB3"/>
    <w:rsid w:val="009E7D4D"/>
    <w:rsid w:val="009F08A4"/>
    <w:rsid w:val="009F1FFD"/>
    <w:rsid w:val="009F274E"/>
    <w:rsid w:val="009F3296"/>
    <w:rsid w:val="009F58F9"/>
    <w:rsid w:val="00A00137"/>
    <w:rsid w:val="00A00315"/>
    <w:rsid w:val="00A02C05"/>
    <w:rsid w:val="00A04747"/>
    <w:rsid w:val="00A06DFF"/>
    <w:rsid w:val="00A10020"/>
    <w:rsid w:val="00A1035B"/>
    <w:rsid w:val="00A118F9"/>
    <w:rsid w:val="00A11FC1"/>
    <w:rsid w:val="00A14A9E"/>
    <w:rsid w:val="00A15F37"/>
    <w:rsid w:val="00A165BB"/>
    <w:rsid w:val="00A174FE"/>
    <w:rsid w:val="00A17C02"/>
    <w:rsid w:val="00A22138"/>
    <w:rsid w:val="00A2243E"/>
    <w:rsid w:val="00A225D6"/>
    <w:rsid w:val="00A2289D"/>
    <w:rsid w:val="00A22DB8"/>
    <w:rsid w:val="00A237A7"/>
    <w:rsid w:val="00A247A4"/>
    <w:rsid w:val="00A24B96"/>
    <w:rsid w:val="00A2629C"/>
    <w:rsid w:val="00A26DCA"/>
    <w:rsid w:val="00A27F00"/>
    <w:rsid w:val="00A30B1F"/>
    <w:rsid w:val="00A31E6B"/>
    <w:rsid w:val="00A33DB9"/>
    <w:rsid w:val="00A33FBA"/>
    <w:rsid w:val="00A34E27"/>
    <w:rsid w:val="00A36C19"/>
    <w:rsid w:val="00A370E3"/>
    <w:rsid w:val="00A37524"/>
    <w:rsid w:val="00A37537"/>
    <w:rsid w:val="00A42701"/>
    <w:rsid w:val="00A43973"/>
    <w:rsid w:val="00A43E1F"/>
    <w:rsid w:val="00A440EA"/>
    <w:rsid w:val="00A442C5"/>
    <w:rsid w:val="00A45049"/>
    <w:rsid w:val="00A45693"/>
    <w:rsid w:val="00A45A4F"/>
    <w:rsid w:val="00A45B9E"/>
    <w:rsid w:val="00A46BE8"/>
    <w:rsid w:val="00A46E32"/>
    <w:rsid w:val="00A4795B"/>
    <w:rsid w:val="00A47AFD"/>
    <w:rsid w:val="00A47CFE"/>
    <w:rsid w:val="00A47F06"/>
    <w:rsid w:val="00A51848"/>
    <w:rsid w:val="00A51A4A"/>
    <w:rsid w:val="00A51C1C"/>
    <w:rsid w:val="00A52296"/>
    <w:rsid w:val="00A5354D"/>
    <w:rsid w:val="00A53BF0"/>
    <w:rsid w:val="00A5497B"/>
    <w:rsid w:val="00A567A7"/>
    <w:rsid w:val="00A56E53"/>
    <w:rsid w:val="00A572FE"/>
    <w:rsid w:val="00A5739D"/>
    <w:rsid w:val="00A60603"/>
    <w:rsid w:val="00A60E07"/>
    <w:rsid w:val="00A61371"/>
    <w:rsid w:val="00A61AC2"/>
    <w:rsid w:val="00A61CE3"/>
    <w:rsid w:val="00A625C9"/>
    <w:rsid w:val="00A63020"/>
    <w:rsid w:val="00A63680"/>
    <w:rsid w:val="00A63B60"/>
    <w:rsid w:val="00A63F7B"/>
    <w:rsid w:val="00A644B0"/>
    <w:rsid w:val="00A645BE"/>
    <w:rsid w:val="00A648AC"/>
    <w:rsid w:val="00A64E40"/>
    <w:rsid w:val="00A65E79"/>
    <w:rsid w:val="00A6634A"/>
    <w:rsid w:val="00A66EFF"/>
    <w:rsid w:val="00A6709B"/>
    <w:rsid w:val="00A674C8"/>
    <w:rsid w:val="00A67532"/>
    <w:rsid w:val="00A714BE"/>
    <w:rsid w:val="00A71D19"/>
    <w:rsid w:val="00A73391"/>
    <w:rsid w:val="00A73CF5"/>
    <w:rsid w:val="00A74294"/>
    <w:rsid w:val="00A74F8D"/>
    <w:rsid w:val="00A753F8"/>
    <w:rsid w:val="00A75E0F"/>
    <w:rsid w:val="00A75E23"/>
    <w:rsid w:val="00A805D2"/>
    <w:rsid w:val="00A81403"/>
    <w:rsid w:val="00A83430"/>
    <w:rsid w:val="00A837EA"/>
    <w:rsid w:val="00A83983"/>
    <w:rsid w:val="00A83BBB"/>
    <w:rsid w:val="00A85204"/>
    <w:rsid w:val="00A866B8"/>
    <w:rsid w:val="00A87154"/>
    <w:rsid w:val="00A8747E"/>
    <w:rsid w:val="00A87651"/>
    <w:rsid w:val="00A91224"/>
    <w:rsid w:val="00A914EB"/>
    <w:rsid w:val="00A9192E"/>
    <w:rsid w:val="00A928C1"/>
    <w:rsid w:val="00A93FD9"/>
    <w:rsid w:val="00A94314"/>
    <w:rsid w:val="00A9473F"/>
    <w:rsid w:val="00A948A7"/>
    <w:rsid w:val="00A94A87"/>
    <w:rsid w:val="00A951C1"/>
    <w:rsid w:val="00AA2362"/>
    <w:rsid w:val="00AA42A9"/>
    <w:rsid w:val="00AA4404"/>
    <w:rsid w:val="00AA5E1E"/>
    <w:rsid w:val="00AA6F5D"/>
    <w:rsid w:val="00AA7FF0"/>
    <w:rsid w:val="00AB0F1B"/>
    <w:rsid w:val="00AB0FFB"/>
    <w:rsid w:val="00AB192C"/>
    <w:rsid w:val="00AB2B10"/>
    <w:rsid w:val="00AB2B36"/>
    <w:rsid w:val="00AB2E1E"/>
    <w:rsid w:val="00AB3DC0"/>
    <w:rsid w:val="00AB3E93"/>
    <w:rsid w:val="00AB44E6"/>
    <w:rsid w:val="00AB4848"/>
    <w:rsid w:val="00AB48B3"/>
    <w:rsid w:val="00AB6D17"/>
    <w:rsid w:val="00AB7824"/>
    <w:rsid w:val="00AC057E"/>
    <w:rsid w:val="00AC084D"/>
    <w:rsid w:val="00AC0950"/>
    <w:rsid w:val="00AC1CE8"/>
    <w:rsid w:val="00AC2507"/>
    <w:rsid w:val="00AC3769"/>
    <w:rsid w:val="00AD0169"/>
    <w:rsid w:val="00AD1E9C"/>
    <w:rsid w:val="00AD2720"/>
    <w:rsid w:val="00AD2C55"/>
    <w:rsid w:val="00AD4E29"/>
    <w:rsid w:val="00AD6926"/>
    <w:rsid w:val="00AD6E49"/>
    <w:rsid w:val="00AD795C"/>
    <w:rsid w:val="00AD7A72"/>
    <w:rsid w:val="00AE111E"/>
    <w:rsid w:val="00AE13E5"/>
    <w:rsid w:val="00AE1BAF"/>
    <w:rsid w:val="00AE2CA4"/>
    <w:rsid w:val="00AE3486"/>
    <w:rsid w:val="00AE38E9"/>
    <w:rsid w:val="00AE4815"/>
    <w:rsid w:val="00AE49B6"/>
    <w:rsid w:val="00AE4BCA"/>
    <w:rsid w:val="00AE56CE"/>
    <w:rsid w:val="00AE7219"/>
    <w:rsid w:val="00AF0C8F"/>
    <w:rsid w:val="00AF17BA"/>
    <w:rsid w:val="00AF1F5B"/>
    <w:rsid w:val="00AF285B"/>
    <w:rsid w:val="00AF2ED2"/>
    <w:rsid w:val="00AF4D8E"/>
    <w:rsid w:val="00AF5247"/>
    <w:rsid w:val="00AF6C5F"/>
    <w:rsid w:val="00B001DD"/>
    <w:rsid w:val="00B00B45"/>
    <w:rsid w:val="00B00C49"/>
    <w:rsid w:val="00B0183F"/>
    <w:rsid w:val="00B02007"/>
    <w:rsid w:val="00B03964"/>
    <w:rsid w:val="00B03BA1"/>
    <w:rsid w:val="00B03E31"/>
    <w:rsid w:val="00B04495"/>
    <w:rsid w:val="00B045E1"/>
    <w:rsid w:val="00B04DFC"/>
    <w:rsid w:val="00B05BA2"/>
    <w:rsid w:val="00B06295"/>
    <w:rsid w:val="00B062EC"/>
    <w:rsid w:val="00B06A9D"/>
    <w:rsid w:val="00B06E17"/>
    <w:rsid w:val="00B0716B"/>
    <w:rsid w:val="00B07BF1"/>
    <w:rsid w:val="00B10A15"/>
    <w:rsid w:val="00B132FA"/>
    <w:rsid w:val="00B13770"/>
    <w:rsid w:val="00B13BFB"/>
    <w:rsid w:val="00B13F65"/>
    <w:rsid w:val="00B15CE0"/>
    <w:rsid w:val="00B200A7"/>
    <w:rsid w:val="00B20728"/>
    <w:rsid w:val="00B20B08"/>
    <w:rsid w:val="00B20B47"/>
    <w:rsid w:val="00B21329"/>
    <w:rsid w:val="00B21346"/>
    <w:rsid w:val="00B21F69"/>
    <w:rsid w:val="00B22120"/>
    <w:rsid w:val="00B22B74"/>
    <w:rsid w:val="00B2316A"/>
    <w:rsid w:val="00B231B3"/>
    <w:rsid w:val="00B238E4"/>
    <w:rsid w:val="00B25F08"/>
    <w:rsid w:val="00B261B0"/>
    <w:rsid w:val="00B30370"/>
    <w:rsid w:val="00B3162F"/>
    <w:rsid w:val="00B32DA5"/>
    <w:rsid w:val="00B341CB"/>
    <w:rsid w:val="00B342FC"/>
    <w:rsid w:val="00B34AD6"/>
    <w:rsid w:val="00B34F61"/>
    <w:rsid w:val="00B3546C"/>
    <w:rsid w:val="00B369F7"/>
    <w:rsid w:val="00B3744E"/>
    <w:rsid w:val="00B403A1"/>
    <w:rsid w:val="00B4058D"/>
    <w:rsid w:val="00B417EE"/>
    <w:rsid w:val="00B4254F"/>
    <w:rsid w:val="00B4345D"/>
    <w:rsid w:val="00B44938"/>
    <w:rsid w:val="00B46C1D"/>
    <w:rsid w:val="00B46DCF"/>
    <w:rsid w:val="00B50C8B"/>
    <w:rsid w:val="00B513CC"/>
    <w:rsid w:val="00B51AC5"/>
    <w:rsid w:val="00B51D86"/>
    <w:rsid w:val="00B541FC"/>
    <w:rsid w:val="00B54CFF"/>
    <w:rsid w:val="00B574EB"/>
    <w:rsid w:val="00B57913"/>
    <w:rsid w:val="00B57F21"/>
    <w:rsid w:val="00B616C9"/>
    <w:rsid w:val="00B61E4B"/>
    <w:rsid w:val="00B62A8A"/>
    <w:rsid w:val="00B6466D"/>
    <w:rsid w:val="00B64D41"/>
    <w:rsid w:val="00B655C2"/>
    <w:rsid w:val="00B65F88"/>
    <w:rsid w:val="00B66CC0"/>
    <w:rsid w:val="00B67614"/>
    <w:rsid w:val="00B71533"/>
    <w:rsid w:val="00B740A6"/>
    <w:rsid w:val="00B749D1"/>
    <w:rsid w:val="00B753E4"/>
    <w:rsid w:val="00B75742"/>
    <w:rsid w:val="00B7716F"/>
    <w:rsid w:val="00B77C00"/>
    <w:rsid w:val="00B77E44"/>
    <w:rsid w:val="00B8076F"/>
    <w:rsid w:val="00B81611"/>
    <w:rsid w:val="00B833F5"/>
    <w:rsid w:val="00B8436E"/>
    <w:rsid w:val="00B845E1"/>
    <w:rsid w:val="00B859ED"/>
    <w:rsid w:val="00B85C0A"/>
    <w:rsid w:val="00B862DD"/>
    <w:rsid w:val="00B86869"/>
    <w:rsid w:val="00B87487"/>
    <w:rsid w:val="00B934ED"/>
    <w:rsid w:val="00B93F09"/>
    <w:rsid w:val="00B964BD"/>
    <w:rsid w:val="00B967DA"/>
    <w:rsid w:val="00B96EFA"/>
    <w:rsid w:val="00B97193"/>
    <w:rsid w:val="00BA1001"/>
    <w:rsid w:val="00BA3F0D"/>
    <w:rsid w:val="00BA6594"/>
    <w:rsid w:val="00BA7D37"/>
    <w:rsid w:val="00BB25A8"/>
    <w:rsid w:val="00BB39CB"/>
    <w:rsid w:val="00BB4157"/>
    <w:rsid w:val="00BB4441"/>
    <w:rsid w:val="00BB4B51"/>
    <w:rsid w:val="00BB7850"/>
    <w:rsid w:val="00BC031D"/>
    <w:rsid w:val="00BC1145"/>
    <w:rsid w:val="00BC12B8"/>
    <w:rsid w:val="00BC2029"/>
    <w:rsid w:val="00BC22E5"/>
    <w:rsid w:val="00BC2736"/>
    <w:rsid w:val="00BC28F4"/>
    <w:rsid w:val="00BC36D9"/>
    <w:rsid w:val="00BC38F7"/>
    <w:rsid w:val="00BC7224"/>
    <w:rsid w:val="00BD13C6"/>
    <w:rsid w:val="00BD1CA2"/>
    <w:rsid w:val="00BD1E7B"/>
    <w:rsid w:val="00BD208C"/>
    <w:rsid w:val="00BD21CF"/>
    <w:rsid w:val="00BD2736"/>
    <w:rsid w:val="00BD4501"/>
    <w:rsid w:val="00BD4D1C"/>
    <w:rsid w:val="00BD55B3"/>
    <w:rsid w:val="00BE0E14"/>
    <w:rsid w:val="00BE1622"/>
    <w:rsid w:val="00BE1716"/>
    <w:rsid w:val="00BE180B"/>
    <w:rsid w:val="00BE2C93"/>
    <w:rsid w:val="00BE3B76"/>
    <w:rsid w:val="00BE4685"/>
    <w:rsid w:val="00BE5C9A"/>
    <w:rsid w:val="00BE60CA"/>
    <w:rsid w:val="00BE64F4"/>
    <w:rsid w:val="00BE6531"/>
    <w:rsid w:val="00BE65EC"/>
    <w:rsid w:val="00BE74B9"/>
    <w:rsid w:val="00BE7FF0"/>
    <w:rsid w:val="00BF1E42"/>
    <w:rsid w:val="00BF460A"/>
    <w:rsid w:val="00BF49EC"/>
    <w:rsid w:val="00BF6344"/>
    <w:rsid w:val="00BF6346"/>
    <w:rsid w:val="00BF68D7"/>
    <w:rsid w:val="00C000D6"/>
    <w:rsid w:val="00C00C7B"/>
    <w:rsid w:val="00C013D2"/>
    <w:rsid w:val="00C01CCB"/>
    <w:rsid w:val="00C01CFA"/>
    <w:rsid w:val="00C01D40"/>
    <w:rsid w:val="00C027BA"/>
    <w:rsid w:val="00C02AA3"/>
    <w:rsid w:val="00C041A8"/>
    <w:rsid w:val="00C04614"/>
    <w:rsid w:val="00C049F2"/>
    <w:rsid w:val="00C05A4D"/>
    <w:rsid w:val="00C06492"/>
    <w:rsid w:val="00C0654D"/>
    <w:rsid w:val="00C06FD2"/>
    <w:rsid w:val="00C102A6"/>
    <w:rsid w:val="00C115F4"/>
    <w:rsid w:val="00C117A5"/>
    <w:rsid w:val="00C117F4"/>
    <w:rsid w:val="00C1390A"/>
    <w:rsid w:val="00C139AF"/>
    <w:rsid w:val="00C13E99"/>
    <w:rsid w:val="00C1478F"/>
    <w:rsid w:val="00C15075"/>
    <w:rsid w:val="00C150D4"/>
    <w:rsid w:val="00C15124"/>
    <w:rsid w:val="00C15364"/>
    <w:rsid w:val="00C1776F"/>
    <w:rsid w:val="00C2054C"/>
    <w:rsid w:val="00C20552"/>
    <w:rsid w:val="00C2091D"/>
    <w:rsid w:val="00C22E57"/>
    <w:rsid w:val="00C2337F"/>
    <w:rsid w:val="00C23A99"/>
    <w:rsid w:val="00C24273"/>
    <w:rsid w:val="00C25ECE"/>
    <w:rsid w:val="00C26794"/>
    <w:rsid w:val="00C276D3"/>
    <w:rsid w:val="00C3021F"/>
    <w:rsid w:val="00C32FC5"/>
    <w:rsid w:val="00C345AB"/>
    <w:rsid w:val="00C349F6"/>
    <w:rsid w:val="00C34C6B"/>
    <w:rsid w:val="00C363DF"/>
    <w:rsid w:val="00C36548"/>
    <w:rsid w:val="00C37193"/>
    <w:rsid w:val="00C405BD"/>
    <w:rsid w:val="00C41A2A"/>
    <w:rsid w:val="00C421B9"/>
    <w:rsid w:val="00C4259E"/>
    <w:rsid w:val="00C42989"/>
    <w:rsid w:val="00C42E8A"/>
    <w:rsid w:val="00C43E25"/>
    <w:rsid w:val="00C44440"/>
    <w:rsid w:val="00C44F7C"/>
    <w:rsid w:val="00C45BD5"/>
    <w:rsid w:val="00C45F8F"/>
    <w:rsid w:val="00C46323"/>
    <w:rsid w:val="00C50BCE"/>
    <w:rsid w:val="00C51182"/>
    <w:rsid w:val="00C52E9C"/>
    <w:rsid w:val="00C53625"/>
    <w:rsid w:val="00C53BE5"/>
    <w:rsid w:val="00C53EE4"/>
    <w:rsid w:val="00C5472F"/>
    <w:rsid w:val="00C55FFD"/>
    <w:rsid w:val="00C561A2"/>
    <w:rsid w:val="00C56321"/>
    <w:rsid w:val="00C56826"/>
    <w:rsid w:val="00C56E5D"/>
    <w:rsid w:val="00C57268"/>
    <w:rsid w:val="00C577AC"/>
    <w:rsid w:val="00C6041C"/>
    <w:rsid w:val="00C62460"/>
    <w:rsid w:val="00C62777"/>
    <w:rsid w:val="00C636C5"/>
    <w:rsid w:val="00C63D88"/>
    <w:rsid w:val="00C64E89"/>
    <w:rsid w:val="00C676A5"/>
    <w:rsid w:val="00C679B0"/>
    <w:rsid w:val="00C67DD4"/>
    <w:rsid w:val="00C708A3"/>
    <w:rsid w:val="00C711A3"/>
    <w:rsid w:val="00C717F1"/>
    <w:rsid w:val="00C71913"/>
    <w:rsid w:val="00C71927"/>
    <w:rsid w:val="00C71B67"/>
    <w:rsid w:val="00C7214E"/>
    <w:rsid w:val="00C73017"/>
    <w:rsid w:val="00C73DAA"/>
    <w:rsid w:val="00C740D2"/>
    <w:rsid w:val="00C7782F"/>
    <w:rsid w:val="00C77929"/>
    <w:rsid w:val="00C77D67"/>
    <w:rsid w:val="00C815BE"/>
    <w:rsid w:val="00C819C7"/>
    <w:rsid w:val="00C824ED"/>
    <w:rsid w:val="00C8273F"/>
    <w:rsid w:val="00C83154"/>
    <w:rsid w:val="00C84507"/>
    <w:rsid w:val="00C86B67"/>
    <w:rsid w:val="00C876A0"/>
    <w:rsid w:val="00C87D2E"/>
    <w:rsid w:val="00C87DD8"/>
    <w:rsid w:val="00C900CC"/>
    <w:rsid w:val="00C91915"/>
    <w:rsid w:val="00C91E55"/>
    <w:rsid w:val="00C92E88"/>
    <w:rsid w:val="00C94EDA"/>
    <w:rsid w:val="00C950B8"/>
    <w:rsid w:val="00C951CA"/>
    <w:rsid w:val="00C95E1E"/>
    <w:rsid w:val="00C96145"/>
    <w:rsid w:val="00C973F4"/>
    <w:rsid w:val="00CA0B6B"/>
    <w:rsid w:val="00CA1074"/>
    <w:rsid w:val="00CA11F7"/>
    <w:rsid w:val="00CA1242"/>
    <w:rsid w:val="00CA2CDF"/>
    <w:rsid w:val="00CA2F73"/>
    <w:rsid w:val="00CA34F4"/>
    <w:rsid w:val="00CA3AB9"/>
    <w:rsid w:val="00CA3ADB"/>
    <w:rsid w:val="00CA4C30"/>
    <w:rsid w:val="00CA5715"/>
    <w:rsid w:val="00CA5852"/>
    <w:rsid w:val="00CA6F0C"/>
    <w:rsid w:val="00CA735C"/>
    <w:rsid w:val="00CB0621"/>
    <w:rsid w:val="00CB0A93"/>
    <w:rsid w:val="00CB0D63"/>
    <w:rsid w:val="00CB1988"/>
    <w:rsid w:val="00CB1CE2"/>
    <w:rsid w:val="00CB2032"/>
    <w:rsid w:val="00CB297A"/>
    <w:rsid w:val="00CB414F"/>
    <w:rsid w:val="00CB4726"/>
    <w:rsid w:val="00CB48D0"/>
    <w:rsid w:val="00CB4B59"/>
    <w:rsid w:val="00CB539F"/>
    <w:rsid w:val="00CB590D"/>
    <w:rsid w:val="00CC03F7"/>
    <w:rsid w:val="00CC18F7"/>
    <w:rsid w:val="00CC267B"/>
    <w:rsid w:val="00CC29A9"/>
    <w:rsid w:val="00CC2FB9"/>
    <w:rsid w:val="00CC5F8D"/>
    <w:rsid w:val="00CC6516"/>
    <w:rsid w:val="00CC66ED"/>
    <w:rsid w:val="00CC6CAC"/>
    <w:rsid w:val="00CC6D06"/>
    <w:rsid w:val="00CC6DC6"/>
    <w:rsid w:val="00CC7F2F"/>
    <w:rsid w:val="00CD00D5"/>
    <w:rsid w:val="00CD0579"/>
    <w:rsid w:val="00CD0868"/>
    <w:rsid w:val="00CD0951"/>
    <w:rsid w:val="00CD0FC0"/>
    <w:rsid w:val="00CD1B1D"/>
    <w:rsid w:val="00CD1BDB"/>
    <w:rsid w:val="00CD1C2F"/>
    <w:rsid w:val="00CD253A"/>
    <w:rsid w:val="00CD2A08"/>
    <w:rsid w:val="00CD3527"/>
    <w:rsid w:val="00CD6E3C"/>
    <w:rsid w:val="00CD71E7"/>
    <w:rsid w:val="00CD747F"/>
    <w:rsid w:val="00CD7EA3"/>
    <w:rsid w:val="00CD7EED"/>
    <w:rsid w:val="00CE0F46"/>
    <w:rsid w:val="00CE2E5A"/>
    <w:rsid w:val="00CE3B81"/>
    <w:rsid w:val="00CE48AA"/>
    <w:rsid w:val="00CE51B3"/>
    <w:rsid w:val="00CE5732"/>
    <w:rsid w:val="00CE7DE9"/>
    <w:rsid w:val="00CF0060"/>
    <w:rsid w:val="00CF071C"/>
    <w:rsid w:val="00CF2AFB"/>
    <w:rsid w:val="00CF2DEC"/>
    <w:rsid w:val="00CF354E"/>
    <w:rsid w:val="00CF69BC"/>
    <w:rsid w:val="00CF740A"/>
    <w:rsid w:val="00CF7963"/>
    <w:rsid w:val="00D025B4"/>
    <w:rsid w:val="00D0375B"/>
    <w:rsid w:val="00D03F45"/>
    <w:rsid w:val="00D05E10"/>
    <w:rsid w:val="00D05E69"/>
    <w:rsid w:val="00D06E02"/>
    <w:rsid w:val="00D07063"/>
    <w:rsid w:val="00D0711C"/>
    <w:rsid w:val="00D078E0"/>
    <w:rsid w:val="00D07A45"/>
    <w:rsid w:val="00D07B41"/>
    <w:rsid w:val="00D07D34"/>
    <w:rsid w:val="00D07F42"/>
    <w:rsid w:val="00D101DA"/>
    <w:rsid w:val="00D1036C"/>
    <w:rsid w:val="00D11EF8"/>
    <w:rsid w:val="00D1296E"/>
    <w:rsid w:val="00D131B9"/>
    <w:rsid w:val="00D15937"/>
    <w:rsid w:val="00D15F80"/>
    <w:rsid w:val="00D16CDC"/>
    <w:rsid w:val="00D16EE2"/>
    <w:rsid w:val="00D17920"/>
    <w:rsid w:val="00D213AB"/>
    <w:rsid w:val="00D21C5B"/>
    <w:rsid w:val="00D220B4"/>
    <w:rsid w:val="00D249FA"/>
    <w:rsid w:val="00D26C2A"/>
    <w:rsid w:val="00D27464"/>
    <w:rsid w:val="00D301D9"/>
    <w:rsid w:val="00D3022D"/>
    <w:rsid w:val="00D304AF"/>
    <w:rsid w:val="00D30AEE"/>
    <w:rsid w:val="00D3204B"/>
    <w:rsid w:val="00D32202"/>
    <w:rsid w:val="00D329A1"/>
    <w:rsid w:val="00D32A63"/>
    <w:rsid w:val="00D334C1"/>
    <w:rsid w:val="00D336F7"/>
    <w:rsid w:val="00D34F06"/>
    <w:rsid w:val="00D35E20"/>
    <w:rsid w:val="00D3672E"/>
    <w:rsid w:val="00D4017F"/>
    <w:rsid w:val="00D401E3"/>
    <w:rsid w:val="00D44D0F"/>
    <w:rsid w:val="00D44DB0"/>
    <w:rsid w:val="00D463CD"/>
    <w:rsid w:val="00D467E6"/>
    <w:rsid w:val="00D46C03"/>
    <w:rsid w:val="00D4708E"/>
    <w:rsid w:val="00D47A91"/>
    <w:rsid w:val="00D47C2A"/>
    <w:rsid w:val="00D504A9"/>
    <w:rsid w:val="00D505E3"/>
    <w:rsid w:val="00D517DC"/>
    <w:rsid w:val="00D51EFE"/>
    <w:rsid w:val="00D536D9"/>
    <w:rsid w:val="00D53840"/>
    <w:rsid w:val="00D54085"/>
    <w:rsid w:val="00D560D7"/>
    <w:rsid w:val="00D57397"/>
    <w:rsid w:val="00D57A8D"/>
    <w:rsid w:val="00D57F34"/>
    <w:rsid w:val="00D618F7"/>
    <w:rsid w:val="00D61EC1"/>
    <w:rsid w:val="00D62D1E"/>
    <w:rsid w:val="00D62D9C"/>
    <w:rsid w:val="00D63505"/>
    <w:rsid w:val="00D63BAD"/>
    <w:rsid w:val="00D65400"/>
    <w:rsid w:val="00D65787"/>
    <w:rsid w:val="00D667F9"/>
    <w:rsid w:val="00D67A3F"/>
    <w:rsid w:val="00D700A2"/>
    <w:rsid w:val="00D70755"/>
    <w:rsid w:val="00D72D76"/>
    <w:rsid w:val="00D7316C"/>
    <w:rsid w:val="00D741B7"/>
    <w:rsid w:val="00D7476B"/>
    <w:rsid w:val="00D7482E"/>
    <w:rsid w:val="00D749C0"/>
    <w:rsid w:val="00D75096"/>
    <w:rsid w:val="00D76E76"/>
    <w:rsid w:val="00D779B7"/>
    <w:rsid w:val="00D77DA7"/>
    <w:rsid w:val="00D77FCD"/>
    <w:rsid w:val="00D8177A"/>
    <w:rsid w:val="00D836D8"/>
    <w:rsid w:val="00D83A5D"/>
    <w:rsid w:val="00D84E95"/>
    <w:rsid w:val="00D85297"/>
    <w:rsid w:val="00D869A2"/>
    <w:rsid w:val="00D86B61"/>
    <w:rsid w:val="00D901AE"/>
    <w:rsid w:val="00D93730"/>
    <w:rsid w:val="00D94AF7"/>
    <w:rsid w:val="00D94B2B"/>
    <w:rsid w:val="00D95071"/>
    <w:rsid w:val="00D958D7"/>
    <w:rsid w:val="00D95D4C"/>
    <w:rsid w:val="00D96147"/>
    <w:rsid w:val="00DA0393"/>
    <w:rsid w:val="00DA0B66"/>
    <w:rsid w:val="00DA0C60"/>
    <w:rsid w:val="00DA258C"/>
    <w:rsid w:val="00DA34B0"/>
    <w:rsid w:val="00DA38BB"/>
    <w:rsid w:val="00DA5479"/>
    <w:rsid w:val="00DA5CB8"/>
    <w:rsid w:val="00DA5CF9"/>
    <w:rsid w:val="00DA75EA"/>
    <w:rsid w:val="00DB0DDC"/>
    <w:rsid w:val="00DB1C8E"/>
    <w:rsid w:val="00DB27BC"/>
    <w:rsid w:val="00DB334F"/>
    <w:rsid w:val="00DB4819"/>
    <w:rsid w:val="00DB58D0"/>
    <w:rsid w:val="00DB67FC"/>
    <w:rsid w:val="00DB6D1A"/>
    <w:rsid w:val="00DB7A32"/>
    <w:rsid w:val="00DB7F65"/>
    <w:rsid w:val="00DC0A03"/>
    <w:rsid w:val="00DC1436"/>
    <w:rsid w:val="00DC2807"/>
    <w:rsid w:val="00DC3A7F"/>
    <w:rsid w:val="00DC604C"/>
    <w:rsid w:val="00DC62E3"/>
    <w:rsid w:val="00DC6C79"/>
    <w:rsid w:val="00DD09E4"/>
    <w:rsid w:val="00DD0A12"/>
    <w:rsid w:val="00DD1784"/>
    <w:rsid w:val="00DD1C22"/>
    <w:rsid w:val="00DD25A8"/>
    <w:rsid w:val="00DD2783"/>
    <w:rsid w:val="00DD3D01"/>
    <w:rsid w:val="00DD57D7"/>
    <w:rsid w:val="00DD7246"/>
    <w:rsid w:val="00DE1565"/>
    <w:rsid w:val="00DE16D3"/>
    <w:rsid w:val="00DE1AC6"/>
    <w:rsid w:val="00DE21C0"/>
    <w:rsid w:val="00DE40FB"/>
    <w:rsid w:val="00DE4C8A"/>
    <w:rsid w:val="00DE5141"/>
    <w:rsid w:val="00DE55DE"/>
    <w:rsid w:val="00DE5922"/>
    <w:rsid w:val="00DE5950"/>
    <w:rsid w:val="00DE6BA4"/>
    <w:rsid w:val="00DE6CA5"/>
    <w:rsid w:val="00DE7A8C"/>
    <w:rsid w:val="00DF0AED"/>
    <w:rsid w:val="00DF23CE"/>
    <w:rsid w:val="00DF2AE0"/>
    <w:rsid w:val="00DF3384"/>
    <w:rsid w:val="00DF3652"/>
    <w:rsid w:val="00DF38CE"/>
    <w:rsid w:val="00DF3E87"/>
    <w:rsid w:val="00DF465A"/>
    <w:rsid w:val="00DF469D"/>
    <w:rsid w:val="00DF79CC"/>
    <w:rsid w:val="00DF7D87"/>
    <w:rsid w:val="00E024AC"/>
    <w:rsid w:val="00E035C4"/>
    <w:rsid w:val="00E040C2"/>
    <w:rsid w:val="00E072A4"/>
    <w:rsid w:val="00E10AF3"/>
    <w:rsid w:val="00E12156"/>
    <w:rsid w:val="00E12F2E"/>
    <w:rsid w:val="00E13028"/>
    <w:rsid w:val="00E13776"/>
    <w:rsid w:val="00E16626"/>
    <w:rsid w:val="00E17D7C"/>
    <w:rsid w:val="00E201F4"/>
    <w:rsid w:val="00E210AB"/>
    <w:rsid w:val="00E21C3D"/>
    <w:rsid w:val="00E241BA"/>
    <w:rsid w:val="00E24B51"/>
    <w:rsid w:val="00E262FB"/>
    <w:rsid w:val="00E264A1"/>
    <w:rsid w:val="00E264F4"/>
    <w:rsid w:val="00E26D3B"/>
    <w:rsid w:val="00E274C8"/>
    <w:rsid w:val="00E30E01"/>
    <w:rsid w:val="00E313FC"/>
    <w:rsid w:val="00E32688"/>
    <w:rsid w:val="00E33397"/>
    <w:rsid w:val="00E414F7"/>
    <w:rsid w:val="00E42418"/>
    <w:rsid w:val="00E42428"/>
    <w:rsid w:val="00E43424"/>
    <w:rsid w:val="00E43B3E"/>
    <w:rsid w:val="00E44DD8"/>
    <w:rsid w:val="00E45C54"/>
    <w:rsid w:val="00E460AE"/>
    <w:rsid w:val="00E461B0"/>
    <w:rsid w:val="00E46814"/>
    <w:rsid w:val="00E46894"/>
    <w:rsid w:val="00E469B7"/>
    <w:rsid w:val="00E476EA"/>
    <w:rsid w:val="00E50D35"/>
    <w:rsid w:val="00E546D5"/>
    <w:rsid w:val="00E5472E"/>
    <w:rsid w:val="00E54C65"/>
    <w:rsid w:val="00E551A1"/>
    <w:rsid w:val="00E554F9"/>
    <w:rsid w:val="00E57476"/>
    <w:rsid w:val="00E60272"/>
    <w:rsid w:val="00E6034C"/>
    <w:rsid w:val="00E603A7"/>
    <w:rsid w:val="00E6110E"/>
    <w:rsid w:val="00E62632"/>
    <w:rsid w:val="00E62756"/>
    <w:rsid w:val="00E62FB3"/>
    <w:rsid w:val="00E63AC0"/>
    <w:rsid w:val="00E63B92"/>
    <w:rsid w:val="00E65439"/>
    <w:rsid w:val="00E665F7"/>
    <w:rsid w:val="00E6746D"/>
    <w:rsid w:val="00E67513"/>
    <w:rsid w:val="00E709AA"/>
    <w:rsid w:val="00E71B9E"/>
    <w:rsid w:val="00E72307"/>
    <w:rsid w:val="00E755DE"/>
    <w:rsid w:val="00E76DF4"/>
    <w:rsid w:val="00E770C6"/>
    <w:rsid w:val="00E80B53"/>
    <w:rsid w:val="00E82349"/>
    <w:rsid w:val="00E82A3F"/>
    <w:rsid w:val="00E85233"/>
    <w:rsid w:val="00E859C1"/>
    <w:rsid w:val="00E85A37"/>
    <w:rsid w:val="00E85E2E"/>
    <w:rsid w:val="00E86DA4"/>
    <w:rsid w:val="00E90764"/>
    <w:rsid w:val="00E9196F"/>
    <w:rsid w:val="00E91FD8"/>
    <w:rsid w:val="00E934DF"/>
    <w:rsid w:val="00E9388B"/>
    <w:rsid w:val="00E957C3"/>
    <w:rsid w:val="00E968BC"/>
    <w:rsid w:val="00E96E61"/>
    <w:rsid w:val="00E970F7"/>
    <w:rsid w:val="00EA0CD3"/>
    <w:rsid w:val="00EA0CD5"/>
    <w:rsid w:val="00EA2EF0"/>
    <w:rsid w:val="00EA33A5"/>
    <w:rsid w:val="00EA3BEE"/>
    <w:rsid w:val="00EA3FF3"/>
    <w:rsid w:val="00EA45B4"/>
    <w:rsid w:val="00EA7E53"/>
    <w:rsid w:val="00EA7FE9"/>
    <w:rsid w:val="00EB0725"/>
    <w:rsid w:val="00EB0799"/>
    <w:rsid w:val="00EB126D"/>
    <w:rsid w:val="00EB1444"/>
    <w:rsid w:val="00EB33A0"/>
    <w:rsid w:val="00EB43B8"/>
    <w:rsid w:val="00EB4DFC"/>
    <w:rsid w:val="00EB7A30"/>
    <w:rsid w:val="00EB7BCA"/>
    <w:rsid w:val="00EB7D40"/>
    <w:rsid w:val="00EB7F78"/>
    <w:rsid w:val="00EC01FA"/>
    <w:rsid w:val="00EC076A"/>
    <w:rsid w:val="00EC12F9"/>
    <w:rsid w:val="00EC183A"/>
    <w:rsid w:val="00EC474A"/>
    <w:rsid w:val="00EC4C79"/>
    <w:rsid w:val="00EC573F"/>
    <w:rsid w:val="00EC6525"/>
    <w:rsid w:val="00ED0E09"/>
    <w:rsid w:val="00ED4B5A"/>
    <w:rsid w:val="00ED5577"/>
    <w:rsid w:val="00ED57E4"/>
    <w:rsid w:val="00ED5B41"/>
    <w:rsid w:val="00ED7007"/>
    <w:rsid w:val="00ED7983"/>
    <w:rsid w:val="00EE1AFB"/>
    <w:rsid w:val="00EE2B17"/>
    <w:rsid w:val="00EE3C24"/>
    <w:rsid w:val="00EE4979"/>
    <w:rsid w:val="00EE4DA7"/>
    <w:rsid w:val="00EE5D1B"/>
    <w:rsid w:val="00EE66CF"/>
    <w:rsid w:val="00EF0383"/>
    <w:rsid w:val="00EF12B9"/>
    <w:rsid w:val="00EF1B7B"/>
    <w:rsid w:val="00EF231D"/>
    <w:rsid w:val="00EF3F36"/>
    <w:rsid w:val="00EF413A"/>
    <w:rsid w:val="00EF4144"/>
    <w:rsid w:val="00EF4760"/>
    <w:rsid w:val="00EF4DF9"/>
    <w:rsid w:val="00EF56A3"/>
    <w:rsid w:val="00EF6B74"/>
    <w:rsid w:val="00EF749B"/>
    <w:rsid w:val="00EF7F24"/>
    <w:rsid w:val="00F00BEE"/>
    <w:rsid w:val="00F00ED9"/>
    <w:rsid w:val="00F013C7"/>
    <w:rsid w:val="00F01445"/>
    <w:rsid w:val="00F0187E"/>
    <w:rsid w:val="00F01F42"/>
    <w:rsid w:val="00F04470"/>
    <w:rsid w:val="00F04810"/>
    <w:rsid w:val="00F048D9"/>
    <w:rsid w:val="00F04B56"/>
    <w:rsid w:val="00F04FF0"/>
    <w:rsid w:val="00F05BB9"/>
    <w:rsid w:val="00F05E39"/>
    <w:rsid w:val="00F07154"/>
    <w:rsid w:val="00F07403"/>
    <w:rsid w:val="00F07B6B"/>
    <w:rsid w:val="00F1085C"/>
    <w:rsid w:val="00F12AE6"/>
    <w:rsid w:val="00F1454D"/>
    <w:rsid w:val="00F14CD8"/>
    <w:rsid w:val="00F150B2"/>
    <w:rsid w:val="00F152AD"/>
    <w:rsid w:val="00F16918"/>
    <w:rsid w:val="00F1719B"/>
    <w:rsid w:val="00F17D18"/>
    <w:rsid w:val="00F20067"/>
    <w:rsid w:val="00F2006F"/>
    <w:rsid w:val="00F20279"/>
    <w:rsid w:val="00F20B57"/>
    <w:rsid w:val="00F20BCB"/>
    <w:rsid w:val="00F21311"/>
    <w:rsid w:val="00F21B4A"/>
    <w:rsid w:val="00F21E00"/>
    <w:rsid w:val="00F21EDD"/>
    <w:rsid w:val="00F220A6"/>
    <w:rsid w:val="00F22D8E"/>
    <w:rsid w:val="00F24A82"/>
    <w:rsid w:val="00F25B36"/>
    <w:rsid w:val="00F25D8F"/>
    <w:rsid w:val="00F276F2"/>
    <w:rsid w:val="00F30DA9"/>
    <w:rsid w:val="00F3325B"/>
    <w:rsid w:val="00F341A1"/>
    <w:rsid w:val="00F35350"/>
    <w:rsid w:val="00F35A87"/>
    <w:rsid w:val="00F362D4"/>
    <w:rsid w:val="00F37F90"/>
    <w:rsid w:val="00F407EF"/>
    <w:rsid w:val="00F40C39"/>
    <w:rsid w:val="00F41275"/>
    <w:rsid w:val="00F415C8"/>
    <w:rsid w:val="00F41CA8"/>
    <w:rsid w:val="00F4213F"/>
    <w:rsid w:val="00F42CD2"/>
    <w:rsid w:val="00F43264"/>
    <w:rsid w:val="00F452F9"/>
    <w:rsid w:val="00F45F5F"/>
    <w:rsid w:val="00F46D42"/>
    <w:rsid w:val="00F47CE9"/>
    <w:rsid w:val="00F47E2A"/>
    <w:rsid w:val="00F50808"/>
    <w:rsid w:val="00F50EB6"/>
    <w:rsid w:val="00F51896"/>
    <w:rsid w:val="00F52936"/>
    <w:rsid w:val="00F52BC7"/>
    <w:rsid w:val="00F535C7"/>
    <w:rsid w:val="00F53BAC"/>
    <w:rsid w:val="00F54990"/>
    <w:rsid w:val="00F552D5"/>
    <w:rsid w:val="00F55465"/>
    <w:rsid w:val="00F60C7A"/>
    <w:rsid w:val="00F6336D"/>
    <w:rsid w:val="00F633B7"/>
    <w:rsid w:val="00F6629C"/>
    <w:rsid w:val="00F66D77"/>
    <w:rsid w:val="00F72075"/>
    <w:rsid w:val="00F74D05"/>
    <w:rsid w:val="00F74FAB"/>
    <w:rsid w:val="00F751B2"/>
    <w:rsid w:val="00F75C47"/>
    <w:rsid w:val="00F75C53"/>
    <w:rsid w:val="00F76388"/>
    <w:rsid w:val="00F767A8"/>
    <w:rsid w:val="00F76B2F"/>
    <w:rsid w:val="00F76DC3"/>
    <w:rsid w:val="00F779E3"/>
    <w:rsid w:val="00F800BB"/>
    <w:rsid w:val="00F800E5"/>
    <w:rsid w:val="00F80AD9"/>
    <w:rsid w:val="00F8101B"/>
    <w:rsid w:val="00F812A7"/>
    <w:rsid w:val="00F81D72"/>
    <w:rsid w:val="00F824B0"/>
    <w:rsid w:val="00F8273D"/>
    <w:rsid w:val="00F83EA7"/>
    <w:rsid w:val="00F8454F"/>
    <w:rsid w:val="00F8552A"/>
    <w:rsid w:val="00F87762"/>
    <w:rsid w:val="00F87F21"/>
    <w:rsid w:val="00F91436"/>
    <w:rsid w:val="00F92976"/>
    <w:rsid w:val="00F9332F"/>
    <w:rsid w:val="00F93359"/>
    <w:rsid w:val="00F935D6"/>
    <w:rsid w:val="00F93ED9"/>
    <w:rsid w:val="00F94707"/>
    <w:rsid w:val="00FA036D"/>
    <w:rsid w:val="00FA07F4"/>
    <w:rsid w:val="00FA0CC5"/>
    <w:rsid w:val="00FA1D47"/>
    <w:rsid w:val="00FA299D"/>
    <w:rsid w:val="00FA3575"/>
    <w:rsid w:val="00FA372C"/>
    <w:rsid w:val="00FA3A8B"/>
    <w:rsid w:val="00FA45C8"/>
    <w:rsid w:val="00FA5261"/>
    <w:rsid w:val="00FA5CFF"/>
    <w:rsid w:val="00FB0663"/>
    <w:rsid w:val="00FB0AD5"/>
    <w:rsid w:val="00FB0C5D"/>
    <w:rsid w:val="00FB0D5A"/>
    <w:rsid w:val="00FB249A"/>
    <w:rsid w:val="00FB291E"/>
    <w:rsid w:val="00FB3713"/>
    <w:rsid w:val="00FB551D"/>
    <w:rsid w:val="00FB5B12"/>
    <w:rsid w:val="00FB5E5B"/>
    <w:rsid w:val="00FB5F11"/>
    <w:rsid w:val="00FC09C7"/>
    <w:rsid w:val="00FC0B1D"/>
    <w:rsid w:val="00FC18F1"/>
    <w:rsid w:val="00FC27C0"/>
    <w:rsid w:val="00FC3887"/>
    <w:rsid w:val="00FC45FB"/>
    <w:rsid w:val="00FC5A10"/>
    <w:rsid w:val="00FC6877"/>
    <w:rsid w:val="00FC69FC"/>
    <w:rsid w:val="00FC6EBB"/>
    <w:rsid w:val="00FC74C8"/>
    <w:rsid w:val="00FD2BDE"/>
    <w:rsid w:val="00FD3E81"/>
    <w:rsid w:val="00FD3FFB"/>
    <w:rsid w:val="00FD5D83"/>
    <w:rsid w:val="00FD742E"/>
    <w:rsid w:val="00FD7F67"/>
    <w:rsid w:val="00FE10A5"/>
    <w:rsid w:val="00FE2616"/>
    <w:rsid w:val="00FE68CF"/>
    <w:rsid w:val="00FE7F06"/>
    <w:rsid w:val="00FF032A"/>
    <w:rsid w:val="00FF0D3E"/>
    <w:rsid w:val="00FF0FA3"/>
    <w:rsid w:val="00FF1045"/>
    <w:rsid w:val="00FF1141"/>
    <w:rsid w:val="00FF3BD8"/>
    <w:rsid w:val="00FF4CF8"/>
    <w:rsid w:val="00FF61E6"/>
    <w:rsid w:val="00FF78D7"/>
    <w:rsid w:val="06BA1F69"/>
    <w:rsid w:val="06DA36C2"/>
    <w:rsid w:val="0771640A"/>
    <w:rsid w:val="08BD2138"/>
    <w:rsid w:val="09095D43"/>
    <w:rsid w:val="0C29134C"/>
    <w:rsid w:val="0C817A02"/>
    <w:rsid w:val="0E89618B"/>
    <w:rsid w:val="107A2538"/>
    <w:rsid w:val="129B1ACC"/>
    <w:rsid w:val="12CF2DD3"/>
    <w:rsid w:val="13EF7F92"/>
    <w:rsid w:val="167F35B9"/>
    <w:rsid w:val="173308F7"/>
    <w:rsid w:val="173C44EE"/>
    <w:rsid w:val="18CD3DC3"/>
    <w:rsid w:val="1B487E4E"/>
    <w:rsid w:val="1DD830A8"/>
    <w:rsid w:val="20CA0FF2"/>
    <w:rsid w:val="210261AB"/>
    <w:rsid w:val="21453DC4"/>
    <w:rsid w:val="21F557DF"/>
    <w:rsid w:val="234A3B67"/>
    <w:rsid w:val="23640459"/>
    <w:rsid w:val="23A6444D"/>
    <w:rsid w:val="25063D37"/>
    <w:rsid w:val="27DA6B50"/>
    <w:rsid w:val="27E24A77"/>
    <w:rsid w:val="28EC3D48"/>
    <w:rsid w:val="29D83054"/>
    <w:rsid w:val="2E153D3D"/>
    <w:rsid w:val="2E471673"/>
    <w:rsid w:val="2EFB348E"/>
    <w:rsid w:val="2F0D7BBA"/>
    <w:rsid w:val="2F445E38"/>
    <w:rsid w:val="2FD1A116"/>
    <w:rsid w:val="30292740"/>
    <w:rsid w:val="3087192E"/>
    <w:rsid w:val="31191DF6"/>
    <w:rsid w:val="32AC366D"/>
    <w:rsid w:val="34F3607A"/>
    <w:rsid w:val="350825A9"/>
    <w:rsid w:val="356E20DC"/>
    <w:rsid w:val="39F92187"/>
    <w:rsid w:val="3A0E20E9"/>
    <w:rsid w:val="3C553FF4"/>
    <w:rsid w:val="3C6856F5"/>
    <w:rsid w:val="3C7904C8"/>
    <w:rsid w:val="3C8F4A1F"/>
    <w:rsid w:val="3CFE5074"/>
    <w:rsid w:val="3D344526"/>
    <w:rsid w:val="3E233EAB"/>
    <w:rsid w:val="3E2D674C"/>
    <w:rsid w:val="3E38153F"/>
    <w:rsid w:val="3E5E1776"/>
    <w:rsid w:val="3EC5147E"/>
    <w:rsid w:val="42BC0151"/>
    <w:rsid w:val="43B249E7"/>
    <w:rsid w:val="45825C39"/>
    <w:rsid w:val="45A401D2"/>
    <w:rsid w:val="46624145"/>
    <w:rsid w:val="47134325"/>
    <w:rsid w:val="475D7D91"/>
    <w:rsid w:val="48AA44A0"/>
    <w:rsid w:val="4A2B3E73"/>
    <w:rsid w:val="4A3C0D19"/>
    <w:rsid w:val="4A3E1DB8"/>
    <w:rsid w:val="4A835B82"/>
    <w:rsid w:val="4AA80D41"/>
    <w:rsid w:val="4BDA2528"/>
    <w:rsid w:val="4D6C27DD"/>
    <w:rsid w:val="4E020979"/>
    <w:rsid w:val="4E1E6066"/>
    <w:rsid w:val="50710DA7"/>
    <w:rsid w:val="5168681E"/>
    <w:rsid w:val="51C156D1"/>
    <w:rsid w:val="52140292"/>
    <w:rsid w:val="53067C19"/>
    <w:rsid w:val="542D0FDF"/>
    <w:rsid w:val="5652439C"/>
    <w:rsid w:val="57081291"/>
    <w:rsid w:val="57ED535F"/>
    <w:rsid w:val="59256E9A"/>
    <w:rsid w:val="593714A4"/>
    <w:rsid w:val="595F68F1"/>
    <w:rsid w:val="598412B4"/>
    <w:rsid w:val="5A521C86"/>
    <w:rsid w:val="5B4F780D"/>
    <w:rsid w:val="5B6D65B1"/>
    <w:rsid w:val="5CAC42F0"/>
    <w:rsid w:val="5CF70BE2"/>
    <w:rsid w:val="5F8E4EA8"/>
    <w:rsid w:val="5FF3351E"/>
    <w:rsid w:val="6086587D"/>
    <w:rsid w:val="6181409D"/>
    <w:rsid w:val="63A86D39"/>
    <w:rsid w:val="63D76462"/>
    <w:rsid w:val="654209BE"/>
    <w:rsid w:val="65EE42A4"/>
    <w:rsid w:val="665357CD"/>
    <w:rsid w:val="675D5EEC"/>
    <w:rsid w:val="67E82883"/>
    <w:rsid w:val="68F152E2"/>
    <w:rsid w:val="69FD0E71"/>
    <w:rsid w:val="6A434362"/>
    <w:rsid w:val="6B8C63C8"/>
    <w:rsid w:val="6CB41C0D"/>
    <w:rsid w:val="6DC8223B"/>
    <w:rsid w:val="6F7138B9"/>
    <w:rsid w:val="70E44463"/>
    <w:rsid w:val="714713A4"/>
    <w:rsid w:val="717A25B2"/>
    <w:rsid w:val="71876AC0"/>
    <w:rsid w:val="719D23FD"/>
    <w:rsid w:val="71B17389"/>
    <w:rsid w:val="724D2990"/>
    <w:rsid w:val="72C200B0"/>
    <w:rsid w:val="75272230"/>
    <w:rsid w:val="75715829"/>
    <w:rsid w:val="75871DCA"/>
    <w:rsid w:val="77A5A32B"/>
    <w:rsid w:val="7BC40A70"/>
    <w:rsid w:val="7CC71767"/>
    <w:rsid w:val="7CF53F77"/>
    <w:rsid w:val="7CF979BA"/>
    <w:rsid w:val="7E63243A"/>
    <w:rsid w:val="7E8C1276"/>
    <w:rsid w:val="7E996E60"/>
    <w:rsid w:val="7E9F7657"/>
    <w:rsid w:val="7EFB16F1"/>
    <w:rsid w:val="7F9D4CCD"/>
    <w:rsid w:val="7FD60E2A"/>
    <w:rsid w:val="BFFFD41C"/>
    <w:rsid w:val="C5FE5806"/>
    <w:rsid w:val="CDFF9530"/>
    <w:rsid w:val="D7EF007E"/>
    <w:rsid w:val="FBB9BE9B"/>
    <w:rsid w:val="FF7F4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nhideWhenUsed="0" w:uiPriority="35" w:semiHidden="0" w:name="caption"/>
    <w:lsdException w:qFormat="1" w:uiPriority="99" w:semiHidden="0" w:name="table of figures"/>
    <w:lsdException w:qFormat="1" w:uiPriority="99" w:semiHidden="0" w:name="envelope address"/>
    <w:lsdException w:qFormat="1" w:uiPriority="99" w:semiHidden="0"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qFormat="1" w:uiPriority="99" w:semiHidden="0" w:name="endnote text"/>
    <w:lsdException w:qFormat="1" w:uiPriority="99" w:semiHidden="0" w:name="table of authorities"/>
    <w:lsdException w:qFormat="1" w:uiPriority="99" w:semiHidden="0" w:name="macro"/>
    <w:lsdException w:qFormat="1" w:uiPriority="99" w:semiHidden="0"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99" w:semiHidden="0" w:name="List Number 2"/>
    <w:lsdException w:qFormat="1" w:uiPriority="99" w:semiHidden="0" w:name="List Number 3"/>
    <w:lsdException w:qFormat="1" w:uiPriority="99" w:semiHidden="0" w:name="List Number 4"/>
    <w:lsdException w:qFormat="1" w:uiPriority="99" w:semiHidden="0" w:name="List Number 5"/>
    <w:lsdException w:qFormat="1" w:unhideWhenUsed="0" w:uiPriority="10" w:semiHidden="0" w:name="Title"/>
    <w:lsdException w:qFormat="1" w:uiPriority="99" w:semiHidden="0" w:name="Closing"/>
    <w:lsdException w:qFormat="1" w:uiPriority="99" w:semiHidden="0" w:name="Signature"/>
    <w:lsdException w:qFormat="1" w:uiPriority="1" w:semiHidden="0" w:name="Default Paragraph Font"/>
    <w:lsdException w:qFormat="1" w:uiPriority="1" w:semiHidden="0" w:name="Body Text"/>
    <w:lsdException w:qFormat="1" w:uiPriority="99"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semiHidden="0" w:name="Message Header"/>
    <w:lsdException w:qFormat="1" w:unhideWhenUsed="0" w:uiPriority="11" w:semiHidden="0" w:name="Subtitle"/>
    <w:lsdException w:qFormat="1" w:uiPriority="99" w:semiHidden="0" w:name="Salutation"/>
    <w:lsdException w:qFormat="1" w:uiPriority="99" w:semiHidden="0" w:name="Date"/>
    <w:lsdException w:qFormat="1" w:uiPriority="99" w:semiHidden="0" w:name="Body Text First Indent"/>
    <w:lsdException w:qFormat="1" w:uiPriority="99" w:semiHidden="0" w:name="Body Text First Indent 2"/>
    <w:lsdException w:qFormat="1" w:uiPriority="99"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unhideWhenUsed="0" w:uiPriority="20" w:semiHidden="0" w:name="Emphasis"/>
    <w:lsdException w:qFormat="1" w:uiPriority="99" w:semiHidden="0" w:name="Document Map"/>
    <w:lsdException w:qFormat="1" w:uiPriority="99" w:semiHidden="0" w:name="Plain Text"/>
    <w:lsdException w:qFormat="1" w:uiPriority="99" w:semiHidden="0" w:name="E-mail Signature"/>
    <w:lsdException w:qFormat="1" w:uiPriority="99" w:semiHidden="0"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100"/>
    <w:qFormat/>
    <w:uiPriority w:val="9"/>
    <w:pPr>
      <w:keepNext/>
      <w:keepLines/>
      <w:pageBreakBefore/>
      <w:widowControl/>
      <w:numPr>
        <w:ilvl w:val="0"/>
        <w:numId w:val="1"/>
      </w:numPr>
      <w:spacing w:before="480" w:after="360" w:line="560" w:lineRule="exact"/>
      <w:jc w:val="center"/>
      <w:outlineLvl w:val="0"/>
    </w:pPr>
    <w:rPr>
      <w:rFonts w:eastAsia="黑体"/>
      <w:b/>
      <w:bCs/>
      <w:kern w:val="44"/>
      <w:sz w:val="44"/>
      <w:szCs w:val="44"/>
    </w:rPr>
  </w:style>
  <w:style w:type="paragraph" w:styleId="6">
    <w:name w:val="heading 2"/>
    <w:basedOn w:val="1"/>
    <w:next w:val="1"/>
    <w:link w:val="97"/>
    <w:unhideWhenUsed/>
    <w:qFormat/>
    <w:uiPriority w:val="9"/>
    <w:pPr>
      <w:keepNext/>
      <w:keepLines/>
      <w:snapToGrid w:val="0"/>
      <w:spacing w:before="156" w:beforeLines="50" w:after="156" w:afterLines="50" w:line="560" w:lineRule="exact"/>
      <w:outlineLvl w:val="1"/>
    </w:pPr>
    <w:rPr>
      <w:rFonts w:ascii="黑体" w:hAnsi="黑体" w:eastAsia="等线" w:cs="Times New Roman"/>
      <w:b/>
      <w:sz w:val="36"/>
      <w:szCs w:val="32"/>
    </w:rPr>
  </w:style>
  <w:style w:type="paragraph" w:styleId="7">
    <w:name w:val="heading 3"/>
    <w:basedOn w:val="1"/>
    <w:next w:val="1"/>
    <w:link w:val="98"/>
    <w:unhideWhenUsed/>
    <w:qFormat/>
    <w:uiPriority w:val="0"/>
    <w:pPr>
      <w:keepNext/>
      <w:keepLines/>
      <w:spacing w:before="260" w:after="260" w:line="416" w:lineRule="auto"/>
      <w:outlineLvl w:val="2"/>
    </w:pPr>
    <w:rPr>
      <w:b/>
      <w:bCs/>
      <w:sz w:val="32"/>
      <w:szCs w:val="32"/>
    </w:rPr>
  </w:style>
  <w:style w:type="paragraph" w:styleId="8">
    <w:name w:val="heading 4"/>
    <w:basedOn w:val="1"/>
    <w:next w:val="1"/>
    <w:link w:val="153"/>
    <w:unhideWhenUsed/>
    <w:qFormat/>
    <w:uiPriority w:val="9"/>
    <w:pPr>
      <w:keepNext/>
      <w:keepLines/>
      <w:numPr>
        <w:ilvl w:val="0"/>
        <w:numId w:val="2"/>
      </w:numPr>
      <w:spacing w:before="50" w:beforeLines="50"/>
      <w:outlineLvl w:val="3"/>
    </w:pPr>
    <w:rPr>
      <w:rFonts w:eastAsia="宋体" w:asciiTheme="majorHAnsi" w:hAnsiTheme="majorHAnsi" w:cstheme="majorBidi"/>
      <w:b/>
      <w:bCs/>
      <w:sz w:val="30"/>
      <w:szCs w:val="28"/>
    </w:rPr>
  </w:style>
  <w:style w:type="paragraph" w:styleId="9">
    <w:name w:val="heading 5"/>
    <w:basedOn w:val="1"/>
    <w:next w:val="1"/>
    <w:link w:val="154"/>
    <w:unhideWhenUsed/>
    <w:qFormat/>
    <w:uiPriority w:val="9"/>
    <w:pPr>
      <w:keepNext/>
      <w:keepLines/>
      <w:numPr>
        <w:ilvl w:val="0"/>
        <w:numId w:val="3"/>
      </w:numPr>
      <w:outlineLvl w:val="4"/>
    </w:pPr>
    <w:rPr>
      <w:b/>
      <w:bCs/>
      <w:sz w:val="30"/>
      <w:szCs w:val="28"/>
    </w:rPr>
  </w:style>
  <w:style w:type="paragraph" w:styleId="10">
    <w:name w:val="heading 6"/>
    <w:basedOn w:val="1"/>
    <w:next w:val="1"/>
    <w:link w:val="155"/>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11">
    <w:name w:val="heading 7"/>
    <w:basedOn w:val="1"/>
    <w:next w:val="1"/>
    <w:link w:val="156"/>
    <w:unhideWhenUsed/>
    <w:qFormat/>
    <w:uiPriority w:val="9"/>
    <w:pPr>
      <w:keepNext/>
      <w:keepLines/>
      <w:spacing w:before="240" w:after="64" w:line="320" w:lineRule="auto"/>
      <w:outlineLvl w:val="6"/>
    </w:pPr>
    <w:rPr>
      <w:b/>
      <w:bCs/>
      <w:sz w:val="24"/>
      <w:szCs w:val="24"/>
    </w:rPr>
  </w:style>
  <w:style w:type="paragraph" w:styleId="12">
    <w:name w:val="heading 8"/>
    <w:basedOn w:val="1"/>
    <w:next w:val="1"/>
    <w:link w:val="157"/>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3">
    <w:name w:val="heading 9"/>
    <w:basedOn w:val="1"/>
    <w:next w:val="1"/>
    <w:link w:val="158"/>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91">
    <w:name w:val="Default Paragraph Font"/>
    <w:unhideWhenUsed/>
    <w:qFormat/>
    <w:uiPriority w:val="1"/>
  </w:style>
  <w:style w:type="table" w:default="1" w:styleId="89">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178"/>
    <w:unhideWhenUsed/>
    <w:qFormat/>
    <w:uiPriority w:val="1"/>
    <w:pPr>
      <w:numPr>
        <w:ilvl w:val="0"/>
        <w:numId w:val="4"/>
      </w:numPr>
      <w:adjustRightInd w:val="0"/>
      <w:snapToGrid w:val="0"/>
      <w:spacing w:before="50" w:beforeLines="50" w:after="50" w:afterLines="50" w:line="560" w:lineRule="exact"/>
      <w:outlineLvl w:val="2"/>
    </w:pPr>
    <w:rPr>
      <w:rFonts w:ascii="仿宋_GB2312" w:hAnsi="Times New Roman" w:eastAsia="宋体"/>
      <w:b/>
      <w:color w:val="000000" w:themeColor="text1"/>
      <w:sz w:val="32"/>
      <w:szCs w:val="32"/>
      <w14:textFill>
        <w14:solidFill>
          <w14:schemeClr w14:val="tx1"/>
        </w14:solidFill>
      </w14:textFill>
    </w:rPr>
  </w:style>
  <w:style w:type="paragraph" w:customStyle="1" w:styleId="3">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styleId="4">
    <w:name w:val="macro"/>
    <w:link w:val="163"/>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4">
    <w:name w:val="List 3"/>
    <w:basedOn w:val="1"/>
    <w:unhideWhenUsed/>
    <w:qFormat/>
    <w:uiPriority w:val="99"/>
    <w:pPr>
      <w:ind w:left="100" w:leftChars="400" w:hanging="200" w:hangingChars="200"/>
      <w:contextualSpacing/>
    </w:pPr>
  </w:style>
  <w:style w:type="paragraph" w:styleId="15">
    <w:name w:val="toc 7"/>
    <w:basedOn w:val="1"/>
    <w:next w:val="1"/>
    <w:unhideWhenUsed/>
    <w:qFormat/>
    <w:uiPriority w:val="39"/>
    <w:pPr>
      <w:ind w:left="2520" w:leftChars="1200"/>
    </w:pPr>
  </w:style>
  <w:style w:type="paragraph" w:styleId="16">
    <w:name w:val="List Number 2"/>
    <w:basedOn w:val="1"/>
    <w:unhideWhenUsed/>
    <w:qFormat/>
    <w:uiPriority w:val="99"/>
    <w:pPr>
      <w:numPr>
        <w:ilvl w:val="0"/>
        <w:numId w:val="5"/>
      </w:numPr>
      <w:contextualSpacing/>
    </w:pPr>
  </w:style>
  <w:style w:type="paragraph" w:styleId="17">
    <w:name w:val="table of authorities"/>
    <w:basedOn w:val="1"/>
    <w:next w:val="1"/>
    <w:unhideWhenUsed/>
    <w:qFormat/>
    <w:uiPriority w:val="99"/>
    <w:pPr>
      <w:ind w:left="420" w:leftChars="200"/>
    </w:pPr>
  </w:style>
  <w:style w:type="paragraph" w:styleId="18">
    <w:name w:val="Note Heading"/>
    <w:basedOn w:val="1"/>
    <w:next w:val="1"/>
    <w:link w:val="186"/>
    <w:unhideWhenUsed/>
    <w:qFormat/>
    <w:uiPriority w:val="99"/>
    <w:pPr>
      <w:jc w:val="center"/>
    </w:pPr>
  </w:style>
  <w:style w:type="paragraph" w:styleId="19">
    <w:name w:val="List Bullet 4"/>
    <w:basedOn w:val="1"/>
    <w:unhideWhenUsed/>
    <w:qFormat/>
    <w:uiPriority w:val="99"/>
    <w:pPr>
      <w:numPr>
        <w:ilvl w:val="0"/>
        <w:numId w:val="6"/>
      </w:numPr>
      <w:contextualSpacing/>
    </w:pPr>
  </w:style>
  <w:style w:type="paragraph" w:styleId="20">
    <w:name w:val="index 8"/>
    <w:basedOn w:val="1"/>
    <w:next w:val="1"/>
    <w:unhideWhenUsed/>
    <w:qFormat/>
    <w:uiPriority w:val="99"/>
    <w:pPr>
      <w:ind w:left="1400" w:leftChars="1400"/>
    </w:pPr>
  </w:style>
  <w:style w:type="paragraph" w:styleId="21">
    <w:name w:val="E-mail Signature"/>
    <w:basedOn w:val="1"/>
    <w:link w:val="161"/>
    <w:unhideWhenUsed/>
    <w:qFormat/>
    <w:uiPriority w:val="99"/>
  </w:style>
  <w:style w:type="paragraph" w:styleId="22">
    <w:name w:val="List Number"/>
    <w:basedOn w:val="1"/>
    <w:unhideWhenUsed/>
    <w:qFormat/>
    <w:uiPriority w:val="99"/>
    <w:pPr>
      <w:numPr>
        <w:ilvl w:val="0"/>
        <w:numId w:val="7"/>
      </w:numPr>
      <w:contextualSpacing/>
    </w:pPr>
  </w:style>
  <w:style w:type="paragraph" w:styleId="23">
    <w:name w:val="Normal Indent"/>
    <w:basedOn w:val="1"/>
    <w:unhideWhenUsed/>
    <w:qFormat/>
    <w:uiPriority w:val="99"/>
    <w:pPr>
      <w:spacing w:before="156" w:beforeLines="50" w:after="156" w:afterLines="50" w:line="480" w:lineRule="exact"/>
      <w:ind w:firstLine="560" w:firstLineChars="200"/>
    </w:pPr>
    <w:rPr>
      <w:rFonts w:ascii="黑体" w:hAnsi="黑体" w:eastAsia="黑体"/>
      <w:sz w:val="30"/>
    </w:rPr>
  </w:style>
  <w:style w:type="paragraph" w:styleId="24">
    <w:name w:val="caption"/>
    <w:basedOn w:val="1"/>
    <w:next w:val="1"/>
    <w:qFormat/>
    <w:uiPriority w:val="35"/>
    <w:pPr>
      <w:widowControl/>
      <w:spacing w:line="360" w:lineRule="auto"/>
      <w:ind w:firstLine="480" w:firstLineChars="200"/>
      <w:textAlignment w:val="baseline"/>
    </w:pPr>
    <w:rPr>
      <w:rFonts w:ascii="Arial" w:hAnsi="Arial" w:eastAsia="黑体" w:cs="Arial"/>
      <w:sz w:val="20"/>
      <w:szCs w:val="20"/>
    </w:rPr>
  </w:style>
  <w:style w:type="paragraph" w:styleId="25">
    <w:name w:val="index 5"/>
    <w:basedOn w:val="1"/>
    <w:next w:val="1"/>
    <w:unhideWhenUsed/>
    <w:qFormat/>
    <w:uiPriority w:val="99"/>
    <w:pPr>
      <w:ind w:left="800" w:leftChars="800"/>
    </w:pPr>
  </w:style>
  <w:style w:type="paragraph" w:styleId="26">
    <w:name w:val="List Bullet"/>
    <w:basedOn w:val="1"/>
    <w:unhideWhenUsed/>
    <w:qFormat/>
    <w:uiPriority w:val="99"/>
    <w:pPr>
      <w:numPr>
        <w:ilvl w:val="0"/>
        <w:numId w:val="8"/>
      </w:numPr>
      <w:contextualSpacing/>
    </w:pPr>
  </w:style>
  <w:style w:type="paragraph" w:styleId="27">
    <w:name w:val="envelope address"/>
    <w:basedOn w:val="1"/>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szCs w:val="24"/>
    </w:rPr>
  </w:style>
  <w:style w:type="paragraph" w:styleId="28">
    <w:name w:val="Document Map"/>
    <w:basedOn w:val="1"/>
    <w:link w:val="173"/>
    <w:unhideWhenUsed/>
    <w:qFormat/>
    <w:uiPriority w:val="99"/>
    <w:rPr>
      <w:rFonts w:ascii="Microsoft YaHei UI" w:eastAsia="Microsoft YaHei UI"/>
      <w:sz w:val="18"/>
      <w:szCs w:val="18"/>
    </w:rPr>
  </w:style>
  <w:style w:type="paragraph" w:styleId="29">
    <w:name w:val="toa heading"/>
    <w:basedOn w:val="1"/>
    <w:next w:val="1"/>
    <w:unhideWhenUsed/>
    <w:qFormat/>
    <w:uiPriority w:val="99"/>
    <w:pPr>
      <w:spacing w:before="120"/>
    </w:pPr>
    <w:rPr>
      <w:rFonts w:asciiTheme="majorHAnsi" w:hAnsiTheme="majorHAnsi" w:eastAsiaTheme="majorEastAsia" w:cstheme="majorBidi"/>
      <w:sz w:val="24"/>
      <w:szCs w:val="24"/>
    </w:rPr>
  </w:style>
  <w:style w:type="paragraph" w:styleId="30">
    <w:name w:val="annotation text"/>
    <w:basedOn w:val="1"/>
    <w:link w:val="167"/>
    <w:unhideWhenUsed/>
    <w:qFormat/>
    <w:uiPriority w:val="99"/>
    <w:pPr>
      <w:jc w:val="left"/>
    </w:pPr>
  </w:style>
  <w:style w:type="paragraph" w:styleId="31">
    <w:name w:val="index 6"/>
    <w:basedOn w:val="1"/>
    <w:next w:val="1"/>
    <w:unhideWhenUsed/>
    <w:qFormat/>
    <w:uiPriority w:val="99"/>
    <w:pPr>
      <w:ind w:left="1000" w:leftChars="1000"/>
    </w:pPr>
  </w:style>
  <w:style w:type="paragraph" w:styleId="32">
    <w:name w:val="Salutation"/>
    <w:basedOn w:val="1"/>
    <w:next w:val="1"/>
    <w:link w:val="159"/>
    <w:unhideWhenUsed/>
    <w:qFormat/>
    <w:uiPriority w:val="99"/>
  </w:style>
  <w:style w:type="paragraph" w:styleId="33">
    <w:name w:val="Body Text 3"/>
    <w:basedOn w:val="1"/>
    <w:link w:val="183"/>
    <w:unhideWhenUsed/>
    <w:qFormat/>
    <w:uiPriority w:val="99"/>
    <w:pPr>
      <w:spacing w:after="120"/>
    </w:pPr>
    <w:rPr>
      <w:sz w:val="16"/>
      <w:szCs w:val="16"/>
    </w:rPr>
  </w:style>
  <w:style w:type="paragraph" w:styleId="34">
    <w:name w:val="Closing"/>
    <w:basedOn w:val="1"/>
    <w:link w:val="164"/>
    <w:unhideWhenUsed/>
    <w:qFormat/>
    <w:uiPriority w:val="99"/>
    <w:pPr>
      <w:ind w:left="100" w:leftChars="2100"/>
    </w:pPr>
  </w:style>
  <w:style w:type="paragraph" w:styleId="35">
    <w:name w:val="List Bullet 3"/>
    <w:basedOn w:val="1"/>
    <w:unhideWhenUsed/>
    <w:qFormat/>
    <w:uiPriority w:val="99"/>
    <w:pPr>
      <w:numPr>
        <w:ilvl w:val="0"/>
        <w:numId w:val="9"/>
      </w:numPr>
      <w:contextualSpacing/>
    </w:pPr>
  </w:style>
  <w:style w:type="paragraph" w:styleId="36">
    <w:name w:val="Body Text Indent"/>
    <w:basedOn w:val="1"/>
    <w:link w:val="180"/>
    <w:unhideWhenUsed/>
    <w:qFormat/>
    <w:uiPriority w:val="99"/>
    <w:pPr>
      <w:spacing w:after="120"/>
      <w:ind w:left="420" w:leftChars="200"/>
    </w:pPr>
  </w:style>
  <w:style w:type="paragraph" w:styleId="37">
    <w:name w:val="List Number 3"/>
    <w:basedOn w:val="1"/>
    <w:unhideWhenUsed/>
    <w:qFormat/>
    <w:uiPriority w:val="99"/>
    <w:pPr>
      <w:numPr>
        <w:ilvl w:val="0"/>
        <w:numId w:val="10"/>
      </w:numPr>
      <w:contextualSpacing/>
    </w:pPr>
  </w:style>
  <w:style w:type="paragraph" w:styleId="38">
    <w:name w:val="List 2"/>
    <w:basedOn w:val="1"/>
    <w:unhideWhenUsed/>
    <w:qFormat/>
    <w:uiPriority w:val="99"/>
    <w:pPr>
      <w:ind w:left="100" w:leftChars="200" w:hanging="200" w:hangingChars="200"/>
      <w:contextualSpacing/>
    </w:pPr>
  </w:style>
  <w:style w:type="paragraph" w:styleId="39">
    <w:name w:val="List Continue"/>
    <w:basedOn w:val="1"/>
    <w:unhideWhenUsed/>
    <w:qFormat/>
    <w:uiPriority w:val="99"/>
    <w:pPr>
      <w:spacing w:after="120"/>
      <w:ind w:left="420" w:leftChars="200"/>
      <w:contextualSpacing/>
    </w:pPr>
  </w:style>
  <w:style w:type="paragraph" w:styleId="40">
    <w:name w:val="Block Text"/>
    <w:basedOn w:val="1"/>
    <w:unhideWhenUsed/>
    <w:qFormat/>
    <w:uiPriority w:val="99"/>
    <w:pPr>
      <w:spacing w:after="120"/>
      <w:ind w:left="1440" w:leftChars="700" w:right="1440" w:rightChars="700"/>
    </w:pPr>
  </w:style>
  <w:style w:type="paragraph" w:styleId="41">
    <w:name w:val="List Bullet 2"/>
    <w:basedOn w:val="1"/>
    <w:unhideWhenUsed/>
    <w:qFormat/>
    <w:uiPriority w:val="99"/>
    <w:pPr>
      <w:numPr>
        <w:ilvl w:val="0"/>
        <w:numId w:val="11"/>
      </w:numPr>
      <w:contextualSpacing/>
    </w:pPr>
  </w:style>
  <w:style w:type="paragraph" w:styleId="42">
    <w:name w:val="HTML Address"/>
    <w:basedOn w:val="1"/>
    <w:link w:val="150"/>
    <w:unhideWhenUsed/>
    <w:qFormat/>
    <w:uiPriority w:val="99"/>
    <w:rPr>
      <w:i/>
      <w:iCs/>
    </w:rPr>
  </w:style>
  <w:style w:type="paragraph" w:styleId="43">
    <w:name w:val="index 4"/>
    <w:basedOn w:val="1"/>
    <w:next w:val="1"/>
    <w:unhideWhenUsed/>
    <w:qFormat/>
    <w:uiPriority w:val="99"/>
    <w:pPr>
      <w:ind w:left="600" w:leftChars="600"/>
    </w:pPr>
  </w:style>
  <w:style w:type="paragraph" w:styleId="44">
    <w:name w:val="toc 5"/>
    <w:basedOn w:val="1"/>
    <w:next w:val="1"/>
    <w:unhideWhenUsed/>
    <w:qFormat/>
    <w:uiPriority w:val="39"/>
    <w:pPr>
      <w:ind w:left="1680" w:leftChars="800"/>
    </w:pPr>
  </w:style>
  <w:style w:type="paragraph" w:styleId="45">
    <w:name w:val="toc 3"/>
    <w:basedOn w:val="1"/>
    <w:next w:val="1"/>
    <w:unhideWhenUsed/>
    <w:qFormat/>
    <w:uiPriority w:val="39"/>
    <w:pPr>
      <w:spacing w:line="400" w:lineRule="exact"/>
      <w:ind w:left="300" w:leftChars="300"/>
    </w:pPr>
    <w:rPr>
      <w:rFonts w:eastAsia="华文宋体"/>
    </w:rPr>
  </w:style>
  <w:style w:type="paragraph" w:styleId="46">
    <w:name w:val="Plain Text"/>
    <w:basedOn w:val="1"/>
    <w:link w:val="160"/>
    <w:unhideWhenUsed/>
    <w:qFormat/>
    <w:uiPriority w:val="99"/>
    <w:rPr>
      <w:rFonts w:hAnsi="Courier New" w:cs="Courier New" w:asciiTheme="minorEastAsia"/>
    </w:rPr>
  </w:style>
  <w:style w:type="paragraph" w:styleId="47">
    <w:name w:val="List Bullet 5"/>
    <w:basedOn w:val="1"/>
    <w:unhideWhenUsed/>
    <w:qFormat/>
    <w:uiPriority w:val="99"/>
    <w:pPr>
      <w:numPr>
        <w:ilvl w:val="0"/>
        <w:numId w:val="12"/>
      </w:numPr>
      <w:contextualSpacing/>
    </w:pPr>
  </w:style>
  <w:style w:type="paragraph" w:styleId="48">
    <w:name w:val="List Number 4"/>
    <w:basedOn w:val="1"/>
    <w:unhideWhenUsed/>
    <w:qFormat/>
    <w:uiPriority w:val="99"/>
    <w:pPr>
      <w:numPr>
        <w:ilvl w:val="0"/>
        <w:numId w:val="13"/>
      </w:numPr>
      <w:contextualSpacing/>
    </w:pPr>
  </w:style>
  <w:style w:type="paragraph" w:styleId="49">
    <w:name w:val="toc 8"/>
    <w:basedOn w:val="1"/>
    <w:next w:val="1"/>
    <w:unhideWhenUsed/>
    <w:qFormat/>
    <w:uiPriority w:val="39"/>
    <w:pPr>
      <w:ind w:left="2940" w:leftChars="1400"/>
    </w:pPr>
  </w:style>
  <w:style w:type="paragraph" w:styleId="50">
    <w:name w:val="index 3"/>
    <w:basedOn w:val="1"/>
    <w:next w:val="1"/>
    <w:unhideWhenUsed/>
    <w:qFormat/>
    <w:uiPriority w:val="99"/>
    <w:pPr>
      <w:ind w:left="400" w:leftChars="400"/>
    </w:pPr>
  </w:style>
  <w:style w:type="paragraph" w:styleId="51">
    <w:name w:val="Date"/>
    <w:basedOn w:val="1"/>
    <w:next w:val="1"/>
    <w:link w:val="170"/>
    <w:unhideWhenUsed/>
    <w:qFormat/>
    <w:uiPriority w:val="99"/>
    <w:pPr>
      <w:ind w:left="100" w:leftChars="2500"/>
    </w:pPr>
  </w:style>
  <w:style w:type="paragraph" w:styleId="52">
    <w:name w:val="Body Text Indent 2"/>
    <w:basedOn w:val="1"/>
    <w:link w:val="184"/>
    <w:unhideWhenUsed/>
    <w:qFormat/>
    <w:uiPriority w:val="99"/>
    <w:pPr>
      <w:spacing w:after="120" w:line="480" w:lineRule="auto"/>
      <w:ind w:left="420" w:leftChars="200"/>
    </w:pPr>
  </w:style>
  <w:style w:type="paragraph" w:styleId="53">
    <w:name w:val="endnote text"/>
    <w:basedOn w:val="1"/>
    <w:link w:val="172"/>
    <w:unhideWhenUsed/>
    <w:qFormat/>
    <w:uiPriority w:val="99"/>
    <w:pPr>
      <w:snapToGrid w:val="0"/>
      <w:jc w:val="left"/>
    </w:pPr>
  </w:style>
  <w:style w:type="paragraph" w:styleId="54">
    <w:name w:val="List Continue 5"/>
    <w:basedOn w:val="1"/>
    <w:unhideWhenUsed/>
    <w:qFormat/>
    <w:uiPriority w:val="99"/>
    <w:pPr>
      <w:spacing w:after="120"/>
      <w:ind w:left="2100" w:leftChars="1000"/>
      <w:contextualSpacing/>
    </w:pPr>
  </w:style>
  <w:style w:type="paragraph" w:styleId="55">
    <w:name w:val="Balloon Text"/>
    <w:basedOn w:val="1"/>
    <w:link w:val="103"/>
    <w:unhideWhenUsed/>
    <w:qFormat/>
    <w:uiPriority w:val="99"/>
    <w:rPr>
      <w:sz w:val="18"/>
      <w:szCs w:val="18"/>
    </w:rPr>
  </w:style>
  <w:style w:type="paragraph" w:styleId="56">
    <w:name w:val="footer"/>
    <w:basedOn w:val="1"/>
    <w:link w:val="107"/>
    <w:unhideWhenUsed/>
    <w:qFormat/>
    <w:uiPriority w:val="99"/>
    <w:pPr>
      <w:tabs>
        <w:tab w:val="center" w:pos="4153"/>
        <w:tab w:val="right" w:pos="8306"/>
      </w:tabs>
      <w:snapToGrid w:val="0"/>
      <w:jc w:val="left"/>
    </w:pPr>
    <w:rPr>
      <w:sz w:val="18"/>
      <w:szCs w:val="18"/>
    </w:rPr>
  </w:style>
  <w:style w:type="paragraph" w:styleId="57">
    <w:name w:val="envelope return"/>
    <w:basedOn w:val="1"/>
    <w:unhideWhenUsed/>
    <w:qFormat/>
    <w:uiPriority w:val="99"/>
    <w:pPr>
      <w:snapToGrid w:val="0"/>
    </w:pPr>
    <w:rPr>
      <w:rFonts w:asciiTheme="majorHAnsi" w:hAnsiTheme="majorHAnsi" w:eastAsiaTheme="majorEastAsia" w:cstheme="majorBidi"/>
    </w:rPr>
  </w:style>
  <w:style w:type="paragraph" w:styleId="58">
    <w:name w:val="header"/>
    <w:basedOn w:val="1"/>
    <w:link w:val="106"/>
    <w:unhideWhenUsed/>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169"/>
    <w:unhideWhenUsed/>
    <w:qFormat/>
    <w:uiPriority w:val="99"/>
    <w:pPr>
      <w:ind w:left="100" w:leftChars="2100"/>
    </w:pPr>
  </w:style>
  <w:style w:type="paragraph" w:styleId="60">
    <w:name w:val="toc 1"/>
    <w:basedOn w:val="1"/>
    <w:next w:val="1"/>
    <w:unhideWhenUsed/>
    <w:qFormat/>
    <w:uiPriority w:val="39"/>
    <w:pPr>
      <w:tabs>
        <w:tab w:val="right" w:leader="dot" w:pos="8296"/>
      </w:tabs>
      <w:spacing w:line="312" w:lineRule="auto"/>
    </w:pPr>
    <w:rPr>
      <w:rFonts w:ascii="华文中宋" w:hAnsi="华文中宋" w:eastAsia="华文宋体"/>
      <w:b/>
      <w:sz w:val="30"/>
      <w:szCs w:val="24"/>
    </w:rPr>
  </w:style>
  <w:style w:type="paragraph" w:styleId="61">
    <w:name w:val="List Continue 4"/>
    <w:basedOn w:val="1"/>
    <w:unhideWhenUsed/>
    <w:qFormat/>
    <w:uiPriority w:val="99"/>
    <w:pPr>
      <w:spacing w:after="120"/>
      <w:ind w:left="1680" w:leftChars="800"/>
      <w:contextualSpacing/>
    </w:pPr>
  </w:style>
  <w:style w:type="paragraph" w:styleId="62">
    <w:name w:val="toc 4"/>
    <w:basedOn w:val="1"/>
    <w:next w:val="1"/>
    <w:unhideWhenUsed/>
    <w:qFormat/>
    <w:uiPriority w:val="39"/>
    <w:pPr>
      <w:spacing w:line="400" w:lineRule="exact"/>
      <w:ind w:left="300" w:leftChars="300"/>
    </w:pPr>
    <w:rPr>
      <w:rFonts w:eastAsia="华文宋体"/>
    </w:rPr>
  </w:style>
  <w:style w:type="paragraph" w:styleId="63">
    <w:name w:val="index heading"/>
    <w:basedOn w:val="1"/>
    <w:next w:val="64"/>
    <w:unhideWhenUsed/>
    <w:qFormat/>
    <w:uiPriority w:val="99"/>
    <w:rPr>
      <w:rFonts w:asciiTheme="majorHAnsi" w:hAnsiTheme="majorHAnsi" w:eastAsiaTheme="majorEastAsia" w:cstheme="majorBidi"/>
      <w:b/>
      <w:bCs/>
    </w:rPr>
  </w:style>
  <w:style w:type="paragraph" w:styleId="64">
    <w:name w:val="index 1"/>
    <w:basedOn w:val="1"/>
    <w:next w:val="1"/>
    <w:unhideWhenUsed/>
    <w:qFormat/>
    <w:uiPriority w:val="99"/>
  </w:style>
  <w:style w:type="paragraph" w:styleId="65">
    <w:name w:val="Subtitle"/>
    <w:basedOn w:val="1"/>
    <w:next w:val="1"/>
    <w:link w:val="162"/>
    <w:qFormat/>
    <w:uiPriority w:val="11"/>
    <w:pPr>
      <w:spacing w:before="240" w:after="60" w:line="312" w:lineRule="auto"/>
      <w:jc w:val="center"/>
      <w:outlineLvl w:val="1"/>
    </w:pPr>
    <w:rPr>
      <w:b/>
      <w:bCs/>
      <w:kern w:val="28"/>
      <w:sz w:val="32"/>
      <w:szCs w:val="32"/>
    </w:rPr>
  </w:style>
  <w:style w:type="paragraph" w:styleId="66">
    <w:name w:val="List Number 5"/>
    <w:basedOn w:val="1"/>
    <w:unhideWhenUsed/>
    <w:qFormat/>
    <w:uiPriority w:val="99"/>
    <w:pPr>
      <w:numPr>
        <w:ilvl w:val="0"/>
        <w:numId w:val="14"/>
      </w:numPr>
      <w:contextualSpacing/>
    </w:pPr>
  </w:style>
  <w:style w:type="paragraph" w:styleId="67">
    <w:name w:val="List"/>
    <w:basedOn w:val="1"/>
    <w:unhideWhenUsed/>
    <w:qFormat/>
    <w:uiPriority w:val="99"/>
    <w:pPr>
      <w:ind w:left="200" w:hanging="200" w:hangingChars="200"/>
      <w:contextualSpacing/>
    </w:pPr>
  </w:style>
  <w:style w:type="paragraph" w:styleId="68">
    <w:name w:val="footnote text"/>
    <w:basedOn w:val="1"/>
    <w:link w:val="145"/>
    <w:unhideWhenUsed/>
    <w:qFormat/>
    <w:uiPriority w:val="99"/>
    <w:pPr>
      <w:snapToGrid w:val="0"/>
      <w:jc w:val="left"/>
    </w:pPr>
    <w:rPr>
      <w:sz w:val="18"/>
      <w:szCs w:val="18"/>
    </w:rPr>
  </w:style>
  <w:style w:type="paragraph" w:styleId="69">
    <w:name w:val="toc 6"/>
    <w:basedOn w:val="1"/>
    <w:next w:val="1"/>
    <w:unhideWhenUsed/>
    <w:qFormat/>
    <w:uiPriority w:val="39"/>
    <w:pPr>
      <w:ind w:left="2100" w:leftChars="1000"/>
    </w:pPr>
  </w:style>
  <w:style w:type="paragraph" w:styleId="70">
    <w:name w:val="List 5"/>
    <w:basedOn w:val="1"/>
    <w:unhideWhenUsed/>
    <w:qFormat/>
    <w:uiPriority w:val="99"/>
    <w:pPr>
      <w:ind w:left="100" w:leftChars="800" w:hanging="200" w:hangingChars="200"/>
      <w:contextualSpacing/>
    </w:pPr>
  </w:style>
  <w:style w:type="paragraph" w:styleId="71">
    <w:name w:val="Body Text Indent 3"/>
    <w:basedOn w:val="1"/>
    <w:link w:val="185"/>
    <w:unhideWhenUsed/>
    <w:qFormat/>
    <w:uiPriority w:val="99"/>
    <w:pPr>
      <w:spacing w:after="120"/>
      <w:ind w:left="420" w:leftChars="200"/>
    </w:pPr>
    <w:rPr>
      <w:sz w:val="16"/>
      <w:szCs w:val="16"/>
    </w:rPr>
  </w:style>
  <w:style w:type="paragraph" w:styleId="72">
    <w:name w:val="index 7"/>
    <w:basedOn w:val="1"/>
    <w:next w:val="1"/>
    <w:unhideWhenUsed/>
    <w:qFormat/>
    <w:uiPriority w:val="99"/>
    <w:pPr>
      <w:ind w:left="1200" w:leftChars="1200"/>
    </w:pPr>
  </w:style>
  <w:style w:type="paragraph" w:styleId="73">
    <w:name w:val="index 9"/>
    <w:basedOn w:val="1"/>
    <w:next w:val="1"/>
    <w:unhideWhenUsed/>
    <w:qFormat/>
    <w:uiPriority w:val="99"/>
    <w:pPr>
      <w:ind w:left="1600" w:leftChars="1600"/>
    </w:pPr>
  </w:style>
  <w:style w:type="paragraph" w:styleId="74">
    <w:name w:val="table of figures"/>
    <w:basedOn w:val="1"/>
    <w:next w:val="1"/>
    <w:unhideWhenUsed/>
    <w:qFormat/>
    <w:uiPriority w:val="99"/>
    <w:pPr>
      <w:ind w:left="200" w:leftChars="200" w:hanging="200" w:hangingChars="200"/>
    </w:pPr>
  </w:style>
  <w:style w:type="paragraph" w:styleId="75">
    <w:name w:val="toc 2"/>
    <w:basedOn w:val="1"/>
    <w:next w:val="1"/>
    <w:unhideWhenUsed/>
    <w:qFormat/>
    <w:uiPriority w:val="39"/>
    <w:pPr>
      <w:spacing w:line="400" w:lineRule="exact"/>
      <w:ind w:left="200" w:leftChars="200"/>
    </w:pPr>
    <w:rPr>
      <w:rFonts w:eastAsia="华文宋体"/>
      <w:sz w:val="24"/>
    </w:rPr>
  </w:style>
  <w:style w:type="paragraph" w:styleId="76">
    <w:name w:val="toc 9"/>
    <w:basedOn w:val="1"/>
    <w:next w:val="1"/>
    <w:unhideWhenUsed/>
    <w:qFormat/>
    <w:uiPriority w:val="39"/>
    <w:pPr>
      <w:ind w:left="3360" w:leftChars="1600"/>
    </w:pPr>
  </w:style>
  <w:style w:type="paragraph" w:styleId="77">
    <w:name w:val="Body Text 2"/>
    <w:basedOn w:val="1"/>
    <w:link w:val="182"/>
    <w:unhideWhenUsed/>
    <w:qFormat/>
    <w:uiPriority w:val="99"/>
    <w:pPr>
      <w:spacing w:after="120" w:line="480" w:lineRule="auto"/>
    </w:pPr>
  </w:style>
  <w:style w:type="paragraph" w:styleId="78">
    <w:name w:val="List 4"/>
    <w:basedOn w:val="1"/>
    <w:unhideWhenUsed/>
    <w:qFormat/>
    <w:uiPriority w:val="99"/>
    <w:pPr>
      <w:ind w:left="100" w:leftChars="600" w:hanging="200" w:hangingChars="200"/>
      <w:contextualSpacing/>
    </w:pPr>
  </w:style>
  <w:style w:type="paragraph" w:styleId="79">
    <w:name w:val="List Continue 2"/>
    <w:basedOn w:val="1"/>
    <w:unhideWhenUsed/>
    <w:qFormat/>
    <w:uiPriority w:val="99"/>
    <w:pPr>
      <w:spacing w:after="120"/>
      <w:ind w:left="840" w:leftChars="400"/>
      <w:contextualSpacing/>
    </w:pPr>
  </w:style>
  <w:style w:type="paragraph" w:styleId="80">
    <w:name w:val="Message Header"/>
    <w:basedOn w:val="5"/>
    <w:link w:val="175"/>
    <w:unhideWhenUsed/>
    <w:qFormat/>
    <w:uiPriority w:val="99"/>
    <w:pPr>
      <w:pageBreakBefore w:val="0"/>
      <w:numPr>
        <w:numId w:val="15"/>
      </w:numPr>
      <w:adjustRightInd w:val="0"/>
      <w:snapToGrid w:val="0"/>
      <w:spacing w:before="312" w:beforeLines="100" w:after="312" w:afterLines="100"/>
    </w:pPr>
    <w:rPr>
      <w:rFonts w:ascii="方正小标宋简体" w:eastAsia="方正小标宋简体" w:cs="宋体"/>
      <w:b w:val="0"/>
      <w:bCs w:val="0"/>
      <w:sz w:val="40"/>
      <w:szCs w:val="40"/>
    </w:rPr>
  </w:style>
  <w:style w:type="paragraph" w:styleId="81">
    <w:name w:val="HTML Preformatted"/>
    <w:basedOn w:val="1"/>
    <w:link w:val="151"/>
    <w:unhideWhenUsed/>
    <w:qFormat/>
    <w:uiPriority w:val="99"/>
    <w:rPr>
      <w:rFonts w:ascii="Courier New" w:hAnsi="Courier New" w:cs="Courier New"/>
      <w:sz w:val="20"/>
      <w:szCs w:val="20"/>
    </w:rPr>
  </w:style>
  <w:style w:type="paragraph" w:styleId="8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3">
    <w:name w:val="List Continue 3"/>
    <w:basedOn w:val="1"/>
    <w:unhideWhenUsed/>
    <w:qFormat/>
    <w:uiPriority w:val="99"/>
    <w:pPr>
      <w:spacing w:after="120"/>
      <w:ind w:left="1260" w:leftChars="600"/>
      <w:contextualSpacing/>
    </w:pPr>
  </w:style>
  <w:style w:type="paragraph" w:styleId="84">
    <w:name w:val="index 2"/>
    <w:basedOn w:val="1"/>
    <w:next w:val="1"/>
    <w:unhideWhenUsed/>
    <w:qFormat/>
    <w:uiPriority w:val="99"/>
    <w:pPr>
      <w:ind w:left="200" w:leftChars="200"/>
    </w:pPr>
  </w:style>
  <w:style w:type="paragraph" w:styleId="85">
    <w:name w:val="Title"/>
    <w:basedOn w:val="1"/>
    <w:next w:val="1"/>
    <w:link w:val="152"/>
    <w:qFormat/>
    <w:uiPriority w:val="10"/>
    <w:pPr>
      <w:spacing w:before="240" w:after="60"/>
      <w:jc w:val="center"/>
      <w:outlineLvl w:val="0"/>
    </w:pPr>
    <w:rPr>
      <w:rFonts w:asciiTheme="majorHAnsi" w:hAnsiTheme="majorHAnsi" w:eastAsiaTheme="majorEastAsia" w:cstheme="majorBidi"/>
      <w:b/>
      <w:bCs/>
      <w:sz w:val="32"/>
      <w:szCs w:val="32"/>
    </w:rPr>
  </w:style>
  <w:style w:type="paragraph" w:styleId="86">
    <w:name w:val="annotation subject"/>
    <w:basedOn w:val="30"/>
    <w:next w:val="30"/>
    <w:link w:val="168"/>
    <w:unhideWhenUsed/>
    <w:qFormat/>
    <w:uiPriority w:val="99"/>
    <w:rPr>
      <w:b/>
      <w:bCs/>
    </w:rPr>
  </w:style>
  <w:style w:type="paragraph" w:styleId="87">
    <w:name w:val="Body Text First Indent"/>
    <w:basedOn w:val="2"/>
    <w:link w:val="179"/>
    <w:unhideWhenUsed/>
    <w:qFormat/>
    <w:uiPriority w:val="99"/>
    <w:pPr>
      <w:ind w:firstLine="420" w:firstLineChars="100"/>
    </w:pPr>
  </w:style>
  <w:style w:type="paragraph" w:styleId="88">
    <w:name w:val="Body Text First Indent 2"/>
    <w:basedOn w:val="36"/>
    <w:link w:val="181"/>
    <w:unhideWhenUsed/>
    <w:qFormat/>
    <w:uiPriority w:val="99"/>
    <w:pPr>
      <w:ind w:firstLine="420" w:firstLineChars="20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Strong"/>
    <w:basedOn w:val="91"/>
    <w:qFormat/>
    <w:uiPriority w:val="22"/>
    <w:rPr>
      <w:b/>
      <w:bCs/>
    </w:rPr>
  </w:style>
  <w:style w:type="character" w:styleId="93">
    <w:name w:val="FollowedHyperlink"/>
    <w:basedOn w:val="91"/>
    <w:unhideWhenUsed/>
    <w:qFormat/>
    <w:uiPriority w:val="99"/>
    <w:rPr>
      <w:color w:val="954F72"/>
      <w:u w:val="single"/>
    </w:rPr>
  </w:style>
  <w:style w:type="character" w:styleId="94">
    <w:name w:val="Hyperlink"/>
    <w:basedOn w:val="91"/>
    <w:unhideWhenUsed/>
    <w:qFormat/>
    <w:uiPriority w:val="99"/>
    <w:rPr>
      <w:color w:val="0000FF" w:themeColor="hyperlink"/>
      <w:u w:val="single"/>
      <w14:textFill>
        <w14:solidFill>
          <w14:schemeClr w14:val="hlink"/>
        </w14:solidFill>
      </w14:textFill>
    </w:rPr>
  </w:style>
  <w:style w:type="character" w:styleId="95">
    <w:name w:val="annotation reference"/>
    <w:basedOn w:val="91"/>
    <w:unhideWhenUsed/>
    <w:qFormat/>
    <w:uiPriority w:val="99"/>
    <w:rPr>
      <w:sz w:val="21"/>
      <w:szCs w:val="21"/>
    </w:rPr>
  </w:style>
  <w:style w:type="character" w:styleId="96">
    <w:name w:val="footnote reference"/>
    <w:basedOn w:val="91"/>
    <w:unhideWhenUsed/>
    <w:qFormat/>
    <w:uiPriority w:val="99"/>
    <w:rPr>
      <w:vertAlign w:val="superscript"/>
    </w:rPr>
  </w:style>
  <w:style w:type="character" w:customStyle="1" w:styleId="97">
    <w:name w:val="标题 2 字符"/>
    <w:basedOn w:val="91"/>
    <w:link w:val="6"/>
    <w:qFormat/>
    <w:uiPriority w:val="9"/>
    <w:rPr>
      <w:rFonts w:ascii="黑体" w:hAnsi="黑体" w:eastAsia="等线"/>
      <w:b/>
      <w:kern w:val="2"/>
      <w:sz w:val="36"/>
      <w:szCs w:val="32"/>
    </w:rPr>
  </w:style>
  <w:style w:type="character" w:customStyle="1" w:styleId="98">
    <w:name w:val="标题 3 字符"/>
    <w:basedOn w:val="91"/>
    <w:link w:val="7"/>
    <w:qFormat/>
    <w:uiPriority w:val="9"/>
    <w:rPr>
      <w:b/>
      <w:bCs/>
      <w:kern w:val="2"/>
      <w:sz w:val="32"/>
      <w:szCs w:val="32"/>
    </w:rPr>
  </w:style>
  <w:style w:type="paragraph" w:customStyle="1" w:styleId="99">
    <w:name w:val="列表段落1"/>
    <w:basedOn w:val="1"/>
    <w:link w:val="188"/>
    <w:qFormat/>
    <w:uiPriority w:val="34"/>
    <w:pPr>
      <w:ind w:firstLine="420" w:firstLineChars="200"/>
    </w:pPr>
  </w:style>
  <w:style w:type="character" w:customStyle="1" w:styleId="100">
    <w:name w:val="标题 1 字符"/>
    <w:basedOn w:val="91"/>
    <w:link w:val="5"/>
    <w:qFormat/>
    <w:uiPriority w:val="9"/>
    <w:rPr>
      <w:rFonts w:eastAsia="黑体" w:asciiTheme="minorHAnsi" w:hAnsiTheme="minorHAnsi" w:cstheme="minorBidi"/>
      <w:b/>
      <w:bCs/>
      <w:kern w:val="44"/>
      <w:sz w:val="44"/>
      <w:szCs w:val="44"/>
    </w:rPr>
  </w:style>
  <w:style w:type="character" w:customStyle="1" w:styleId="101">
    <w:name w:val="海口标2 Char"/>
    <w:link w:val="102"/>
    <w:qFormat/>
    <w:uiPriority w:val="0"/>
    <w:rPr>
      <w:rFonts w:ascii="Arial" w:hAnsi="Arial" w:eastAsia="华文中宋" w:cstheme="minorBidi"/>
      <w:b/>
      <w:bCs/>
      <w:kern w:val="44"/>
      <w:sz w:val="28"/>
      <w:szCs w:val="30"/>
    </w:rPr>
  </w:style>
  <w:style w:type="paragraph" w:customStyle="1" w:styleId="102">
    <w:name w:val="海口标2"/>
    <w:basedOn w:val="5"/>
    <w:next w:val="5"/>
    <w:link w:val="101"/>
    <w:qFormat/>
    <w:uiPriority w:val="0"/>
    <w:pPr>
      <w:numPr>
        <w:ilvl w:val="1"/>
        <w:numId w:val="16"/>
      </w:numPr>
      <w:tabs>
        <w:tab w:val="left" w:pos="1441"/>
        <w:tab w:val="left" w:pos="1800"/>
      </w:tabs>
      <w:snapToGrid w:val="0"/>
      <w:spacing w:before="249" w:beforeLines="80" w:line="240" w:lineRule="auto"/>
      <w:jc w:val="left"/>
      <w:outlineLvl w:val="1"/>
    </w:pPr>
    <w:rPr>
      <w:rFonts w:ascii="Arial" w:hAnsi="Arial" w:eastAsia="华文中宋"/>
      <w:sz w:val="28"/>
      <w:szCs w:val="30"/>
    </w:rPr>
  </w:style>
  <w:style w:type="character" w:customStyle="1" w:styleId="103">
    <w:name w:val="批注框文本 字符"/>
    <w:basedOn w:val="91"/>
    <w:link w:val="55"/>
    <w:semiHidden/>
    <w:qFormat/>
    <w:uiPriority w:val="99"/>
    <w:rPr>
      <w:sz w:val="18"/>
      <w:szCs w:val="18"/>
    </w:rPr>
  </w:style>
  <w:style w:type="paragraph" w:customStyle="1" w:styleId="104">
    <w:name w:val="表格"/>
    <w:basedOn w:val="1"/>
    <w:link w:val="203"/>
    <w:qFormat/>
    <w:uiPriority w:val="0"/>
    <w:pPr>
      <w:widowControl/>
      <w:overflowPunct w:val="0"/>
      <w:topLinePunct/>
      <w:autoSpaceDE w:val="0"/>
      <w:autoSpaceDN w:val="0"/>
      <w:adjustRightInd w:val="0"/>
      <w:jc w:val="left"/>
      <w:textAlignment w:val="baseline"/>
    </w:pPr>
    <w:rPr>
      <w:rFonts w:ascii="ˎ̥" w:hAnsi="ˎ̥" w:eastAsia="仿宋" w:cs="幼圆"/>
      <w:bCs/>
      <w:color w:val="333333"/>
      <w:szCs w:val="24"/>
    </w:rPr>
  </w:style>
  <w:style w:type="paragraph" w:customStyle="1" w:styleId="105">
    <w:name w:val="1表头"/>
    <w:basedOn w:val="1"/>
    <w:qFormat/>
    <w:uiPriority w:val="0"/>
    <w:pPr>
      <w:keepNext/>
      <w:widowControl/>
      <w:overflowPunct w:val="0"/>
      <w:topLinePunct/>
      <w:autoSpaceDE w:val="0"/>
      <w:autoSpaceDN w:val="0"/>
      <w:jc w:val="center"/>
      <w:textAlignment w:val="baseline"/>
    </w:pPr>
    <w:rPr>
      <w:rFonts w:ascii="ˎ̥" w:hAnsi="ˎ̥" w:eastAsia="华文仿宋" w:cs="幼圆"/>
      <w:color w:val="333333"/>
      <w:sz w:val="24"/>
      <w:szCs w:val="24"/>
    </w:rPr>
  </w:style>
  <w:style w:type="character" w:customStyle="1" w:styleId="106">
    <w:name w:val="页眉 字符"/>
    <w:basedOn w:val="91"/>
    <w:link w:val="58"/>
    <w:qFormat/>
    <w:uiPriority w:val="99"/>
    <w:rPr>
      <w:sz w:val="18"/>
      <w:szCs w:val="18"/>
    </w:rPr>
  </w:style>
  <w:style w:type="character" w:customStyle="1" w:styleId="107">
    <w:name w:val="页脚 字符"/>
    <w:basedOn w:val="91"/>
    <w:link w:val="56"/>
    <w:qFormat/>
    <w:uiPriority w:val="99"/>
    <w:rPr>
      <w:sz w:val="18"/>
      <w:szCs w:val="18"/>
    </w:rPr>
  </w:style>
  <w:style w:type="paragraph" w:customStyle="1" w:styleId="108">
    <w:name w:val="TOC 标题1"/>
    <w:basedOn w:val="5"/>
    <w:next w:val="1"/>
    <w:unhideWhenUsed/>
    <w:qFormat/>
    <w:uiPriority w:val="39"/>
    <w:pPr>
      <w:spacing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09">
    <w:name w:val="Default"/>
    <w:qFormat/>
    <w:uiPriority w:val="0"/>
    <w:pPr>
      <w:widowControl w:val="0"/>
      <w:autoSpaceDE w:val="0"/>
      <w:autoSpaceDN w:val="0"/>
      <w:adjustRightInd w:val="0"/>
    </w:pPr>
    <w:rPr>
      <w:rFonts w:ascii="幼圆" w:eastAsia="幼圆" w:cs="幼圆" w:hAnsiTheme="minorHAnsi"/>
      <w:color w:val="000000"/>
      <w:sz w:val="24"/>
      <w:szCs w:val="24"/>
      <w:lang w:val="en-US" w:eastAsia="zh-CN" w:bidi="ar-SA"/>
    </w:rPr>
  </w:style>
  <w:style w:type="paragraph" w:customStyle="1" w:styleId="110">
    <w:name w:val="zhengwen"/>
    <w:qFormat/>
    <w:uiPriority w:val="0"/>
    <w:pPr>
      <w:widowControl w:val="0"/>
      <w:spacing w:before="156" w:after="156" w:line="288" w:lineRule="auto"/>
      <w:ind w:left="1470" w:firstLine="480"/>
      <w:jc w:val="both"/>
    </w:pPr>
    <w:rPr>
      <w:rFonts w:hint="eastAsia" w:ascii="Arial Unicode MS" w:hAnsi="Arial Unicode MS" w:eastAsia="Arial Unicode MS" w:cs="Arial Unicode MS"/>
      <w:color w:val="000000"/>
      <w:kern w:val="2"/>
      <w:sz w:val="24"/>
      <w:szCs w:val="24"/>
      <w:u w:color="000000"/>
      <w:lang w:val="en-US" w:eastAsia="zh-CN" w:bidi="ar-SA"/>
    </w:rPr>
  </w:style>
  <w:style w:type="table" w:customStyle="1" w:styleId="111">
    <w:name w:val="Table Normal"/>
    <w:qFormat/>
    <w:uiPriority w:val="0"/>
    <w:tblPr>
      <w:tblCellMar>
        <w:top w:w="0" w:type="dxa"/>
        <w:left w:w="0" w:type="dxa"/>
        <w:bottom w:w="0" w:type="dxa"/>
        <w:right w:w="0" w:type="dxa"/>
      </w:tblCellMar>
    </w:tblPr>
  </w:style>
  <w:style w:type="paragraph" w:customStyle="1" w:styleId="11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3">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1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1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1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1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6DCE4"/>
      <w:spacing w:before="100" w:beforeAutospacing="1" w:after="100" w:afterAutospacing="1"/>
      <w:jc w:val="left"/>
    </w:pPr>
    <w:rPr>
      <w:rFonts w:ascii="华文仿宋" w:hAnsi="华文仿宋" w:eastAsia="华文仿宋" w:cs="宋体"/>
      <w:b/>
      <w:bCs/>
      <w:kern w:val="0"/>
      <w:sz w:val="24"/>
      <w:szCs w:val="24"/>
    </w:rPr>
  </w:style>
  <w:style w:type="paragraph" w:customStyle="1" w:styleId="119">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华文仿宋" w:hAnsi="华文仿宋" w:eastAsia="华文仿宋" w:cs="宋体"/>
      <w:kern w:val="0"/>
      <w:sz w:val="24"/>
      <w:szCs w:val="24"/>
    </w:rPr>
  </w:style>
  <w:style w:type="paragraph" w:customStyle="1" w:styleId="120">
    <w:name w:val="xl71"/>
    <w:basedOn w:val="1"/>
    <w:qFormat/>
    <w:uiPriority w:val="0"/>
    <w:pPr>
      <w:widowControl/>
      <w:pBdr>
        <w:top w:val="single" w:color="auto" w:sz="4" w:space="0"/>
        <w:bottom w:val="single" w:color="auto" w:sz="4" w:space="0"/>
        <w:right w:val="single" w:color="auto" w:sz="4" w:space="0"/>
      </w:pBdr>
      <w:shd w:val="clear" w:color="000000" w:fill="D6DCE4"/>
      <w:spacing w:before="100" w:beforeAutospacing="1" w:after="100" w:afterAutospacing="1"/>
      <w:jc w:val="center"/>
    </w:pPr>
    <w:rPr>
      <w:rFonts w:ascii="华文仿宋" w:hAnsi="华文仿宋" w:eastAsia="华文仿宋" w:cs="宋体"/>
      <w:b/>
      <w:bCs/>
      <w:kern w:val="0"/>
      <w:sz w:val="24"/>
      <w:szCs w:val="24"/>
    </w:rPr>
  </w:style>
  <w:style w:type="paragraph" w:customStyle="1" w:styleId="121">
    <w:name w:val="xl72"/>
    <w:basedOn w:val="1"/>
    <w:qFormat/>
    <w:uiPriority w:val="0"/>
    <w:pPr>
      <w:widowControl/>
      <w:spacing w:before="100" w:beforeAutospacing="1" w:after="100" w:afterAutospacing="1"/>
      <w:jc w:val="left"/>
    </w:pPr>
    <w:rPr>
      <w:rFonts w:ascii="仿宋" w:hAnsi="仿宋" w:eastAsia="仿宋" w:cs="宋体"/>
      <w:color w:val="000000"/>
      <w:kern w:val="0"/>
      <w:sz w:val="24"/>
      <w:szCs w:val="24"/>
    </w:rPr>
  </w:style>
  <w:style w:type="paragraph" w:customStyle="1" w:styleId="122">
    <w:name w:val="xl73"/>
    <w:basedOn w:val="1"/>
    <w:qFormat/>
    <w:uiPriority w:val="0"/>
    <w:pPr>
      <w:widowControl/>
      <w:spacing w:before="100" w:beforeAutospacing="1" w:after="100" w:afterAutospacing="1"/>
      <w:jc w:val="left"/>
    </w:pPr>
    <w:rPr>
      <w:rFonts w:ascii="仿宋" w:hAnsi="仿宋" w:eastAsia="仿宋" w:cs="宋体"/>
      <w:color w:val="000000"/>
      <w:kern w:val="0"/>
      <w:sz w:val="24"/>
      <w:szCs w:val="24"/>
    </w:rPr>
  </w:style>
  <w:style w:type="paragraph" w:customStyle="1" w:styleId="123">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4">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5">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26">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7">
    <w:name w:val="xl78"/>
    <w:basedOn w:val="1"/>
    <w:qFormat/>
    <w:uiPriority w:val="0"/>
    <w:pPr>
      <w:widowControl/>
      <w:pBdr>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8">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2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0">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1">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2">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3">
    <w:name w:val="xl84"/>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34">
    <w:name w:val="xl85"/>
    <w:basedOn w:val="1"/>
    <w:qFormat/>
    <w:uiPriority w:val="0"/>
    <w:pPr>
      <w:widowControl/>
      <w:pBdr>
        <w:left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135">
    <w:name w:val="xl86"/>
    <w:basedOn w:val="1"/>
    <w:qFormat/>
    <w:uiPriority w:val="0"/>
    <w:pPr>
      <w:widowControl/>
      <w:pBdr>
        <w:top w:val="single" w:color="auto" w:sz="4" w:space="0"/>
        <w:left w:val="single" w:color="auto" w:sz="4" w:space="0"/>
        <w:bottom w:val="single" w:color="auto" w:sz="4" w:space="0"/>
      </w:pBdr>
      <w:shd w:val="clear" w:color="000000" w:fill="D6DCE4"/>
      <w:spacing w:before="100" w:beforeAutospacing="1" w:after="100" w:afterAutospacing="1"/>
      <w:jc w:val="center"/>
    </w:pPr>
    <w:rPr>
      <w:rFonts w:ascii="华文仿宋" w:hAnsi="华文仿宋" w:eastAsia="华文仿宋" w:cs="宋体"/>
      <w:b/>
      <w:bCs/>
      <w:kern w:val="0"/>
      <w:sz w:val="24"/>
      <w:szCs w:val="24"/>
    </w:rPr>
  </w:style>
  <w:style w:type="paragraph" w:customStyle="1" w:styleId="136">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7">
    <w:name w:val="xl8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8">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39">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0">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1">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142">
    <w:name w:val="TOC 标题2"/>
    <w:basedOn w:val="5"/>
    <w:next w:val="1"/>
    <w:unhideWhenUsed/>
    <w:qFormat/>
    <w:uiPriority w:val="39"/>
    <w:pPr>
      <w:outlineLvl w:val="9"/>
    </w:pPr>
  </w:style>
  <w:style w:type="paragraph" w:customStyle="1" w:styleId="143">
    <w:name w:val="条"/>
    <w:basedOn w:val="1"/>
    <w:link w:val="144"/>
    <w:qFormat/>
    <w:uiPriority w:val="0"/>
    <w:rPr>
      <w:rFonts w:ascii="华文仿宋" w:hAnsi="华文仿宋" w:eastAsia="华文仿宋"/>
      <w:b/>
      <w:sz w:val="28"/>
      <w:szCs w:val="32"/>
    </w:rPr>
  </w:style>
  <w:style w:type="character" w:customStyle="1" w:styleId="144">
    <w:name w:val="条 字符"/>
    <w:basedOn w:val="91"/>
    <w:link w:val="143"/>
    <w:qFormat/>
    <w:uiPriority w:val="0"/>
    <w:rPr>
      <w:rFonts w:ascii="华文仿宋" w:hAnsi="华文仿宋" w:eastAsia="华文仿宋"/>
      <w:b/>
      <w:kern w:val="2"/>
      <w:sz w:val="28"/>
      <w:szCs w:val="32"/>
    </w:rPr>
  </w:style>
  <w:style w:type="character" w:customStyle="1" w:styleId="145">
    <w:name w:val="脚注文本 字符"/>
    <w:basedOn w:val="91"/>
    <w:link w:val="68"/>
    <w:semiHidden/>
    <w:qFormat/>
    <w:uiPriority w:val="99"/>
    <w:rPr>
      <w:kern w:val="2"/>
      <w:sz w:val="18"/>
      <w:szCs w:val="18"/>
    </w:rPr>
  </w:style>
  <w:style w:type="paragraph" w:customStyle="1" w:styleId="146">
    <w:name w:val="正文字体"/>
    <w:basedOn w:val="1"/>
    <w:link w:val="148"/>
    <w:qFormat/>
    <w:uiPriority w:val="0"/>
    <w:pPr>
      <w:spacing w:line="300" w:lineRule="auto"/>
      <w:ind w:firstLine="454"/>
    </w:pPr>
    <w:rPr>
      <w:rFonts w:ascii="华文仿宋" w:hAnsi="华文仿宋" w:eastAsia="华文仿宋" w:cs="仿宋_GB2312"/>
      <w:sz w:val="24"/>
      <w:szCs w:val="24"/>
      <w:lang w:val="zh-TW" w:eastAsia="zh-TW"/>
    </w:rPr>
  </w:style>
  <w:style w:type="paragraph" w:customStyle="1" w:styleId="147">
    <w:name w:val="1表格3"/>
    <w:basedOn w:val="1"/>
    <w:qFormat/>
    <w:uiPriority w:val="0"/>
    <w:pPr>
      <w:widowControl/>
      <w:overflowPunct w:val="0"/>
      <w:topLinePunct/>
      <w:autoSpaceDE w:val="0"/>
      <w:autoSpaceDN w:val="0"/>
      <w:adjustRightInd w:val="0"/>
      <w:spacing w:before="163" w:after="93" w:afterLines="30"/>
      <w:jc w:val="center"/>
      <w:textAlignment w:val="baseline"/>
    </w:pPr>
    <w:rPr>
      <w:rFonts w:ascii="ˎ̥" w:hAnsi="ˎ̥" w:eastAsia="幼圆" w:cs="幼圆"/>
      <w:bCs/>
      <w:color w:val="333333"/>
      <w:szCs w:val="24"/>
    </w:rPr>
  </w:style>
  <w:style w:type="character" w:customStyle="1" w:styleId="148">
    <w:name w:val="正文字体 字符"/>
    <w:basedOn w:val="91"/>
    <w:link w:val="146"/>
    <w:qFormat/>
    <w:uiPriority w:val="0"/>
    <w:rPr>
      <w:rFonts w:ascii="华文仿宋" w:hAnsi="华文仿宋" w:eastAsia="华文仿宋" w:cs="仿宋_GB2312"/>
      <w:kern w:val="2"/>
      <w:sz w:val="24"/>
      <w:szCs w:val="24"/>
      <w:lang w:val="zh-TW" w:eastAsia="zh-TW"/>
    </w:rPr>
  </w:style>
  <w:style w:type="paragraph" w:customStyle="1" w:styleId="149">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50">
    <w:name w:val="HTML 地址 字符"/>
    <w:basedOn w:val="91"/>
    <w:link w:val="42"/>
    <w:semiHidden/>
    <w:qFormat/>
    <w:uiPriority w:val="99"/>
    <w:rPr>
      <w:i/>
      <w:iCs/>
      <w:kern w:val="2"/>
      <w:sz w:val="21"/>
      <w:szCs w:val="22"/>
    </w:rPr>
  </w:style>
  <w:style w:type="character" w:customStyle="1" w:styleId="151">
    <w:name w:val="HTML 预设格式 字符"/>
    <w:basedOn w:val="91"/>
    <w:link w:val="81"/>
    <w:semiHidden/>
    <w:qFormat/>
    <w:uiPriority w:val="99"/>
    <w:rPr>
      <w:rFonts w:ascii="Courier New" w:hAnsi="Courier New" w:cs="Courier New"/>
      <w:kern w:val="2"/>
    </w:rPr>
  </w:style>
  <w:style w:type="character" w:customStyle="1" w:styleId="152">
    <w:name w:val="标题 字符"/>
    <w:basedOn w:val="91"/>
    <w:link w:val="85"/>
    <w:qFormat/>
    <w:uiPriority w:val="10"/>
    <w:rPr>
      <w:rFonts w:asciiTheme="majorHAnsi" w:hAnsiTheme="majorHAnsi" w:eastAsiaTheme="majorEastAsia" w:cstheme="majorBidi"/>
      <w:b/>
      <w:bCs/>
      <w:kern w:val="2"/>
      <w:sz w:val="32"/>
      <w:szCs w:val="32"/>
    </w:rPr>
  </w:style>
  <w:style w:type="character" w:customStyle="1" w:styleId="153">
    <w:name w:val="标题 4 字符"/>
    <w:basedOn w:val="91"/>
    <w:link w:val="8"/>
    <w:qFormat/>
    <w:uiPriority w:val="9"/>
    <w:rPr>
      <w:rFonts w:asciiTheme="majorHAnsi" w:hAnsiTheme="majorHAnsi" w:cstheme="majorBidi"/>
      <w:b/>
      <w:bCs/>
      <w:kern w:val="2"/>
      <w:sz w:val="30"/>
      <w:szCs w:val="28"/>
    </w:rPr>
  </w:style>
  <w:style w:type="character" w:customStyle="1" w:styleId="154">
    <w:name w:val="标题 5 字符"/>
    <w:basedOn w:val="91"/>
    <w:link w:val="9"/>
    <w:qFormat/>
    <w:uiPriority w:val="9"/>
    <w:rPr>
      <w:rFonts w:asciiTheme="minorHAnsi" w:hAnsiTheme="minorHAnsi" w:eastAsiaTheme="minorEastAsia" w:cstheme="minorBidi"/>
      <w:b/>
      <w:bCs/>
      <w:kern w:val="2"/>
      <w:sz w:val="30"/>
      <w:szCs w:val="28"/>
    </w:rPr>
  </w:style>
  <w:style w:type="character" w:customStyle="1" w:styleId="155">
    <w:name w:val="标题 6 字符"/>
    <w:basedOn w:val="91"/>
    <w:link w:val="10"/>
    <w:semiHidden/>
    <w:qFormat/>
    <w:uiPriority w:val="9"/>
    <w:rPr>
      <w:rFonts w:asciiTheme="majorHAnsi" w:hAnsiTheme="majorHAnsi" w:eastAsiaTheme="majorEastAsia" w:cstheme="majorBidi"/>
      <w:b/>
      <w:bCs/>
      <w:kern w:val="2"/>
      <w:sz w:val="24"/>
      <w:szCs w:val="24"/>
    </w:rPr>
  </w:style>
  <w:style w:type="character" w:customStyle="1" w:styleId="156">
    <w:name w:val="标题 7 字符"/>
    <w:basedOn w:val="91"/>
    <w:link w:val="11"/>
    <w:semiHidden/>
    <w:qFormat/>
    <w:uiPriority w:val="9"/>
    <w:rPr>
      <w:b/>
      <w:bCs/>
      <w:kern w:val="2"/>
      <w:sz w:val="24"/>
      <w:szCs w:val="24"/>
    </w:rPr>
  </w:style>
  <w:style w:type="character" w:customStyle="1" w:styleId="157">
    <w:name w:val="标题 8 字符"/>
    <w:basedOn w:val="91"/>
    <w:link w:val="12"/>
    <w:semiHidden/>
    <w:qFormat/>
    <w:uiPriority w:val="9"/>
    <w:rPr>
      <w:rFonts w:asciiTheme="majorHAnsi" w:hAnsiTheme="majorHAnsi" w:eastAsiaTheme="majorEastAsia" w:cstheme="majorBidi"/>
      <w:kern w:val="2"/>
      <w:sz w:val="24"/>
      <w:szCs w:val="24"/>
    </w:rPr>
  </w:style>
  <w:style w:type="character" w:customStyle="1" w:styleId="158">
    <w:name w:val="标题 9 字符"/>
    <w:basedOn w:val="91"/>
    <w:link w:val="13"/>
    <w:semiHidden/>
    <w:qFormat/>
    <w:uiPriority w:val="9"/>
    <w:rPr>
      <w:rFonts w:asciiTheme="majorHAnsi" w:hAnsiTheme="majorHAnsi" w:eastAsiaTheme="majorEastAsia" w:cstheme="majorBidi"/>
      <w:kern w:val="2"/>
      <w:sz w:val="21"/>
      <w:szCs w:val="21"/>
    </w:rPr>
  </w:style>
  <w:style w:type="character" w:customStyle="1" w:styleId="159">
    <w:name w:val="称呼 字符"/>
    <w:basedOn w:val="91"/>
    <w:link w:val="32"/>
    <w:semiHidden/>
    <w:qFormat/>
    <w:uiPriority w:val="99"/>
    <w:rPr>
      <w:kern w:val="2"/>
      <w:sz w:val="21"/>
      <w:szCs w:val="22"/>
    </w:rPr>
  </w:style>
  <w:style w:type="character" w:customStyle="1" w:styleId="160">
    <w:name w:val="纯文本 字符"/>
    <w:basedOn w:val="91"/>
    <w:link w:val="46"/>
    <w:semiHidden/>
    <w:qFormat/>
    <w:uiPriority w:val="99"/>
    <w:rPr>
      <w:rFonts w:hAnsi="Courier New" w:cs="Courier New" w:asciiTheme="minorEastAsia"/>
      <w:kern w:val="2"/>
      <w:sz w:val="21"/>
      <w:szCs w:val="22"/>
    </w:rPr>
  </w:style>
  <w:style w:type="character" w:customStyle="1" w:styleId="161">
    <w:name w:val="电子邮件签名 字符"/>
    <w:basedOn w:val="91"/>
    <w:link w:val="21"/>
    <w:semiHidden/>
    <w:qFormat/>
    <w:uiPriority w:val="99"/>
    <w:rPr>
      <w:kern w:val="2"/>
      <w:sz w:val="21"/>
      <w:szCs w:val="22"/>
    </w:rPr>
  </w:style>
  <w:style w:type="character" w:customStyle="1" w:styleId="162">
    <w:name w:val="副标题 字符"/>
    <w:basedOn w:val="91"/>
    <w:link w:val="65"/>
    <w:qFormat/>
    <w:uiPriority w:val="11"/>
    <w:rPr>
      <w:b/>
      <w:bCs/>
      <w:kern w:val="28"/>
      <w:sz w:val="32"/>
      <w:szCs w:val="32"/>
    </w:rPr>
  </w:style>
  <w:style w:type="character" w:customStyle="1" w:styleId="163">
    <w:name w:val="宏文本 字符"/>
    <w:basedOn w:val="91"/>
    <w:link w:val="4"/>
    <w:semiHidden/>
    <w:qFormat/>
    <w:uiPriority w:val="99"/>
    <w:rPr>
      <w:rFonts w:ascii="Courier New" w:hAnsi="Courier New" w:eastAsia="宋体" w:cs="Courier New"/>
      <w:kern w:val="2"/>
      <w:sz w:val="24"/>
      <w:szCs w:val="24"/>
    </w:rPr>
  </w:style>
  <w:style w:type="character" w:customStyle="1" w:styleId="164">
    <w:name w:val="结束语 字符"/>
    <w:basedOn w:val="91"/>
    <w:link w:val="34"/>
    <w:semiHidden/>
    <w:qFormat/>
    <w:uiPriority w:val="99"/>
    <w:rPr>
      <w:kern w:val="2"/>
      <w:sz w:val="21"/>
      <w:szCs w:val="22"/>
    </w:rPr>
  </w:style>
  <w:style w:type="paragraph" w:customStyle="1" w:styleId="165">
    <w:name w:val="明显引用1"/>
    <w:basedOn w:val="1"/>
    <w:next w:val="1"/>
    <w:link w:val="166"/>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66">
    <w:name w:val="明显引用 字符"/>
    <w:basedOn w:val="91"/>
    <w:link w:val="165"/>
    <w:qFormat/>
    <w:uiPriority w:val="99"/>
    <w:rPr>
      <w:i/>
      <w:iCs/>
      <w:color w:val="4F81BD" w:themeColor="accent1"/>
      <w:kern w:val="2"/>
      <w:sz w:val="21"/>
      <w:szCs w:val="22"/>
      <w14:textFill>
        <w14:solidFill>
          <w14:schemeClr w14:val="accent1"/>
        </w14:solidFill>
      </w14:textFill>
    </w:rPr>
  </w:style>
  <w:style w:type="character" w:customStyle="1" w:styleId="167">
    <w:name w:val="批注文字 字符"/>
    <w:basedOn w:val="91"/>
    <w:link w:val="30"/>
    <w:semiHidden/>
    <w:qFormat/>
    <w:uiPriority w:val="99"/>
    <w:rPr>
      <w:kern w:val="2"/>
      <w:sz w:val="21"/>
      <w:szCs w:val="22"/>
    </w:rPr>
  </w:style>
  <w:style w:type="character" w:customStyle="1" w:styleId="168">
    <w:name w:val="批注主题 字符"/>
    <w:basedOn w:val="167"/>
    <w:link w:val="86"/>
    <w:semiHidden/>
    <w:qFormat/>
    <w:uiPriority w:val="99"/>
    <w:rPr>
      <w:b/>
      <w:bCs/>
      <w:kern w:val="2"/>
      <w:sz w:val="21"/>
      <w:szCs w:val="22"/>
    </w:rPr>
  </w:style>
  <w:style w:type="character" w:customStyle="1" w:styleId="169">
    <w:name w:val="签名 字符"/>
    <w:basedOn w:val="91"/>
    <w:link w:val="59"/>
    <w:semiHidden/>
    <w:qFormat/>
    <w:uiPriority w:val="99"/>
    <w:rPr>
      <w:kern w:val="2"/>
      <w:sz w:val="21"/>
      <w:szCs w:val="22"/>
    </w:rPr>
  </w:style>
  <w:style w:type="character" w:customStyle="1" w:styleId="170">
    <w:name w:val="日期 字符"/>
    <w:basedOn w:val="91"/>
    <w:link w:val="51"/>
    <w:semiHidden/>
    <w:qFormat/>
    <w:uiPriority w:val="99"/>
    <w:rPr>
      <w:kern w:val="2"/>
      <w:sz w:val="21"/>
      <w:szCs w:val="22"/>
    </w:rPr>
  </w:style>
  <w:style w:type="paragraph" w:customStyle="1" w:styleId="171">
    <w:name w:val="书目1"/>
    <w:basedOn w:val="1"/>
    <w:next w:val="1"/>
    <w:unhideWhenUsed/>
    <w:qFormat/>
    <w:uiPriority w:val="37"/>
  </w:style>
  <w:style w:type="character" w:customStyle="1" w:styleId="172">
    <w:name w:val="尾注文本 字符"/>
    <w:basedOn w:val="91"/>
    <w:link w:val="53"/>
    <w:semiHidden/>
    <w:qFormat/>
    <w:uiPriority w:val="99"/>
    <w:rPr>
      <w:kern w:val="2"/>
      <w:sz w:val="21"/>
      <w:szCs w:val="22"/>
    </w:rPr>
  </w:style>
  <w:style w:type="character" w:customStyle="1" w:styleId="173">
    <w:name w:val="文档结构图 字符"/>
    <w:basedOn w:val="91"/>
    <w:link w:val="28"/>
    <w:semiHidden/>
    <w:qFormat/>
    <w:uiPriority w:val="99"/>
    <w:rPr>
      <w:rFonts w:ascii="Microsoft YaHei UI" w:eastAsia="Microsoft YaHei UI"/>
      <w:kern w:val="2"/>
      <w:sz w:val="18"/>
      <w:szCs w:val="18"/>
    </w:rPr>
  </w:style>
  <w:style w:type="paragraph" w:customStyle="1" w:styleId="174">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75">
    <w:name w:val="信息标题 字符"/>
    <w:basedOn w:val="91"/>
    <w:link w:val="80"/>
    <w:qFormat/>
    <w:uiPriority w:val="99"/>
    <w:rPr>
      <w:rFonts w:ascii="方正小标宋简体" w:eastAsia="方正小标宋简体" w:cs="宋体" w:hAnsiTheme="minorHAnsi"/>
      <w:kern w:val="44"/>
      <w:sz w:val="40"/>
      <w:szCs w:val="40"/>
    </w:rPr>
  </w:style>
  <w:style w:type="paragraph" w:customStyle="1" w:styleId="176">
    <w:name w:val="引用1"/>
    <w:basedOn w:val="1"/>
    <w:next w:val="1"/>
    <w:link w:val="177"/>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77">
    <w:name w:val="引用 字符"/>
    <w:basedOn w:val="91"/>
    <w:link w:val="176"/>
    <w:qFormat/>
    <w:uiPriority w:val="99"/>
    <w:rPr>
      <w:i/>
      <w:iCs/>
      <w:color w:val="404040" w:themeColor="text1" w:themeTint="BF"/>
      <w:kern w:val="2"/>
      <w:sz w:val="21"/>
      <w:szCs w:val="22"/>
      <w14:textFill>
        <w14:solidFill>
          <w14:schemeClr w14:val="tx1">
            <w14:lumMod w14:val="75000"/>
            <w14:lumOff w14:val="25000"/>
          </w14:schemeClr>
        </w14:solidFill>
      </w14:textFill>
    </w:rPr>
  </w:style>
  <w:style w:type="character" w:customStyle="1" w:styleId="178">
    <w:name w:val="正文文本 字符"/>
    <w:basedOn w:val="91"/>
    <w:link w:val="2"/>
    <w:qFormat/>
    <w:uiPriority w:val="1"/>
    <w:rPr>
      <w:rFonts w:ascii="仿宋_GB2312" w:cstheme="minorBidi"/>
      <w:b/>
      <w:color w:val="000000" w:themeColor="text1"/>
      <w:kern w:val="2"/>
      <w:sz w:val="32"/>
      <w:szCs w:val="32"/>
      <w14:textFill>
        <w14:solidFill>
          <w14:schemeClr w14:val="tx1"/>
        </w14:solidFill>
      </w14:textFill>
    </w:rPr>
  </w:style>
  <w:style w:type="character" w:customStyle="1" w:styleId="179">
    <w:name w:val="正文文本首行缩进 字符"/>
    <w:basedOn w:val="178"/>
    <w:link w:val="87"/>
    <w:qFormat/>
    <w:uiPriority w:val="99"/>
    <w:rPr>
      <w:rFonts w:ascii="仿宋_GB2312" w:cstheme="minorBidi"/>
      <w:color w:val="000000" w:themeColor="text1"/>
      <w:kern w:val="2"/>
      <w:sz w:val="32"/>
      <w:szCs w:val="32"/>
      <w14:textFill>
        <w14:solidFill>
          <w14:schemeClr w14:val="tx1"/>
        </w14:solidFill>
      </w14:textFill>
    </w:rPr>
  </w:style>
  <w:style w:type="character" w:customStyle="1" w:styleId="180">
    <w:name w:val="正文文本缩进 字符"/>
    <w:basedOn w:val="91"/>
    <w:link w:val="36"/>
    <w:semiHidden/>
    <w:qFormat/>
    <w:uiPriority w:val="99"/>
    <w:rPr>
      <w:kern w:val="2"/>
      <w:sz w:val="21"/>
      <w:szCs w:val="22"/>
    </w:rPr>
  </w:style>
  <w:style w:type="character" w:customStyle="1" w:styleId="181">
    <w:name w:val="正文文本首行缩进 2 字符"/>
    <w:basedOn w:val="180"/>
    <w:link w:val="88"/>
    <w:semiHidden/>
    <w:qFormat/>
    <w:uiPriority w:val="99"/>
    <w:rPr>
      <w:kern w:val="2"/>
      <w:sz w:val="21"/>
      <w:szCs w:val="22"/>
    </w:rPr>
  </w:style>
  <w:style w:type="character" w:customStyle="1" w:styleId="182">
    <w:name w:val="正文文本 2 字符"/>
    <w:basedOn w:val="91"/>
    <w:link w:val="77"/>
    <w:semiHidden/>
    <w:qFormat/>
    <w:uiPriority w:val="99"/>
    <w:rPr>
      <w:kern w:val="2"/>
      <w:sz w:val="21"/>
      <w:szCs w:val="22"/>
    </w:rPr>
  </w:style>
  <w:style w:type="character" w:customStyle="1" w:styleId="183">
    <w:name w:val="正文文本 3 字符"/>
    <w:basedOn w:val="91"/>
    <w:link w:val="33"/>
    <w:semiHidden/>
    <w:qFormat/>
    <w:uiPriority w:val="99"/>
    <w:rPr>
      <w:kern w:val="2"/>
      <w:sz w:val="16"/>
      <w:szCs w:val="16"/>
    </w:rPr>
  </w:style>
  <w:style w:type="character" w:customStyle="1" w:styleId="184">
    <w:name w:val="正文文本缩进 2 字符"/>
    <w:basedOn w:val="91"/>
    <w:link w:val="52"/>
    <w:semiHidden/>
    <w:qFormat/>
    <w:uiPriority w:val="99"/>
    <w:rPr>
      <w:kern w:val="2"/>
      <w:sz w:val="21"/>
      <w:szCs w:val="22"/>
    </w:rPr>
  </w:style>
  <w:style w:type="character" w:customStyle="1" w:styleId="185">
    <w:name w:val="正文文本缩进 3 字符"/>
    <w:basedOn w:val="91"/>
    <w:link w:val="71"/>
    <w:semiHidden/>
    <w:qFormat/>
    <w:uiPriority w:val="99"/>
    <w:rPr>
      <w:kern w:val="2"/>
      <w:sz w:val="16"/>
      <w:szCs w:val="16"/>
    </w:rPr>
  </w:style>
  <w:style w:type="character" w:customStyle="1" w:styleId="186">
    <w:name w:val="注释标题 字符"/>
    <w:basedOn w:val="91"/>
    <w:link w:val="18"/>
    <w:semiHidden/>
    <w:qFormat/>
    <w:uiPriority w:val="99"/>
    <w:rPr>
      <w:kern w:val="2"/>
      <w:sz w:val="21"/>
      <w:szCs w:val="22"/>
    </w:rPr>
  </w:style>
  <w:style w:type="paragraph" w:customStyle="1" w:styleId="187">
    <w:name w:val="文本2级-条"/>
    <w:next w:val="1"/>
    <w:link w:val="189"/>
    <w:qFormat/>
    <w:uiPriority w:val="0"/>
    <w:pPr>
      <w:numPr>
        <w:ilvl w:val="0"/>
        <w:numId w:val="17"/>
      </w:numPr>
    </w:pPr>
    <w:rPr>
      <w:rFonts w:ascii="Arial" w:hAnsi="Arial" w:eastAsia="宋体" w:cstheme="minorBidi"/>
      <w:kern w:val="2"/>
      <w:sz w:val="21"/>
      <w:szCs w:val="22"/>
      <w:lang w:val="en-US" w:eastAsia="zh-CN" w:bidi="ar-SA"/>
    </w:rPr>
  </w:style>
  <w:style w:type="character" w:customStyle="1" w:styleId="188">
    <w:name w:val="列表段落 字符"/>
    <w:basedOn w:val="91"/>
    <w:link w:val="99"/>
    <w:qFormat/>
    <w:uiPriority w:val="34"/>
    <w:rPr>
      <w:kern w:val="2"/>
      <w:sz w:val="21"/>
      <w:szCs w:val="22"/>
    </w:rPr>
  </w:style>
  <w:style w:type="character" w:customStyle="1" w:styleId="189">
    <w:name w:val="文本2级-条 字符"/>
    <w:basedOn w:val="188"/>
    <w:link w:val="187"/>
    <w:qFormat/>
    <w:uiPriority w:val="0"/>
    <w:rPr>
      <w:rFonts w:ascii="Arial" w:hAnsi="Arial" w:cstheme="minorBidi"/>
      <w:kern w:val="2"/>
      <w:sz w:val="21"/>
      <w:szCs w:val="22"/>
    </w:rPr>
  </w:style>
  <w:style w:type="paragraph" w:customStyle="1" w:styleId="190">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table" w:customStyle="1" w:styleId="191">
    <w:name w:val="无格式表格 21"/>
    <w:basedOn w:val="8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92">
    <w:name w:val="网格型浅色1"/>
    <w:basedOn w:val="8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93">
    <w:name w:val="列表段落2"/>
    <w:basedOn w:val="1"/>
    <w:qFormat/>
    <w:uiPriority w:val="99"/>
    <w:pPr>
      <w:ind w:firstLine="420" w:firstLineChars="200"/>
    </w:pPr>
  </w:style>
  <w:style w:type="character" w:customStyle="1" w:styleId="194">
    <w:name w:val="content"/>
    <w:basedOn w:val="91"/>
    <w:qFormat/>
    <w:uiPriority w:val="0"/>
  </w:style>
  <w:style w:type="paragraph" w:customStyle="1" w:styleId="195">
    <w:name w:val="列表段落3"/>
    <w:basedOn w:val="1"/>
    <w:qFormat/>
    <w:uiPriority w:val="34"/>
    <w:pPr>
      <w:ind w:firstLine="420" w:firstLineChars="200"/>
    </w:pPr>
  </w:style>
  <w:style w:type="paragraph" w:customStyle="1" w:styleId="196">
    <w:name w:val="明显引用2"/>
    <w:basedOn w:val="1"/>
    <w:next w:val="1"/>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197">
    <w:name w:val="明显引用 字符1"/>
    <w:basedOn w:val="91"/>
    <w:qFormat/>
    <w:uiPriority w:val="99"/>
    <w:rPr>
      <w:rFonts w:asciiTheme="minorHAnsi" w:hAnsiTheme="minorHAnsi" w:eastAsiaTheme="minorEastAsia" w:cstheme="minorBidi"/>
      <w:i/>
      <w:iCs/>
      <w:color w:val="4F81BD" w:themeColor="accent1"/>
      <w:kern w:val="2"/>
      <w:sz w:val="21"/>
      <w:szCs w:val="22"/>
      <w14:textFill>
        <w14:solidFill>
          <w14:schemeClr w14:val="accent1"/>
        </w14:solidFill>
      </w14:textFill>
    </w:rPr>
  </w:style>
  <w:style w:type="paragraph" w:customStyle="1" w:styleId="198">
    <w:name w:val="无间隔2"/>
    <w:qFormat/>
    <w:uiPriority w:val="99"/>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引用2"/>
    <w:basedOn w:val="1"/>
    <w:next w:val="1"/>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0">
    <w:name w:val="引用 字符1"/>
    <w:basedOn w:val="91"/>
    <w:qFormat/>
    <w:uiPriority w:val="99"/>
    <w:rPr>
      <w:rFonts w:asciiTheme="minorHAnsi" w:hAnsiTheme="minorHAnsi" w:eastAsiaTheme="minorEastAsia" w:cstheme="minorBidi"/>
      <w:i/>
      <w:iCs/>
      <w:color w:val="404040" w:themeColor="text1" w:themeTint="BF"/>
      <w:kern w:val="2"/>
      <w:sz w:val="21"/>
      <w:szCs w:val="22"/>
      <w14:textFill>
        <w14:solidFill>
          <w14:schemeClr w14:val="tx1">
            <w14:lumMod w14:val="75000"/>
            <w14:lumOff w14:val="25000"/>
          </w14:schemeClr>
        </w14:solidFill>
      </w14:textFill>
    </w:rPr>
  </w:style>
  <w:style w:type="paragraph" w:customStyle="1" w:styleId="201">
    <w:name w:val="第一条"/>
    <w:basedOn w:val="1"/>
    <w:next w:val="1"/>
    <w:qFormat/>
    <w:uiPriority w:val="0"/>
    <w:pPr>
      <w:numPr>
        <w:ilvl w:val="0"/>
        <w:numId w:val="18"/>
      </w:numPr>
      <w:spacing w:before="100" w:beforeLines="100" w:after="100" w:afterLines="100" w:line="440" w:lineRule="exact"/>
      <w:ind w:left="0" w:firstLine="0"/>
      <w:jc w:val="left"/>
      <w:outlineLvl w:val="3"/>
    </w:pPr>
    <w:rPr>
      <w:rFonts w:ascii="Times New Roman Bold" w:hAnsi="Times New Roman Bold" w:eastAsia="华文宋体"/>
      <w:b/>
      <w:sz w:val="30"/>
      <w:szCs w:val="24"/>
    </w:rPr>
  </w:style>
  <w:style w:type="paragraph" w:customStyle="1" w:styleId="202">
    <w:name w:val="表格注解"/>
    <w:basedOn w:val="104"/>
    <w:qFormat/>
    <w:uiPriority w:val="0"/>
    <w:pPr>
      <w:widowControl w:val="0"/>
      <w:overflowPunct/>
      <w:topLinePunct w:val="0"/>
      <w:autoSpaceDE/>
      <w:autoSpaceDN/>
      <w:spacing w:before="197" w:beforeLines="50" w:after="197" w:afterLines="50"/>
      <w:textAlignment w:val="auto"/>
    </w:pPr>
    <w:rPr>
      <w:rFonts w:ascii="Times New Roman" w:hAnsi="Times New Roman" w:eastAsia="宋体" w:cstheme="minorBidi"/>
      <w:bCs w:val="0"/>
      <w:color w:val="auto"/>
    </w:rPr>
  </w:style>
  <w:style w:type="character" w:customStyle="1" w:styleId="203">
    <w:name w:val="表格 Char"/>
    <w:link w:val="104"/>
    <w:qFormat/>
    <w:uiPriority w:val="0"/>
    <w:rPr>
      <w:rFonts w:ascii="ˎ̥" w:hAnsi="ˎ̥" w:eastAsia="仿宋" w:cs="幼圆"/>
      <w:bCs/>
      <w:color w:val="333333"/>
      <w:kern w:val="2"/>
      <w:sz w:val="21"/>
      <w:szCs w:val="24"/>
    </w:rPr>
  </w:style>
  <w:style w:type="paragraph" w:customStyle="1" w:styleId="204">
    <w:name w:val="正文样式-终"/>
    <w:basedOn w:val="1"/>
    <w:link w:val="206"/>
    <w:qFormat/>
    <w:uiPriority w:val="0"/>
    <w:pPr>
      <w:snapToGrid w:val="0"/>
      <w:spacing w:after="50" w:afterLines="50" w:line="560" w:lineRule="exact"/>
      <w:ind w:firstLine="200" w:firstLineChars="200"/>
    </w:pPr>
    <w:rPr>
      <w:rFonts w:ascii="仿宋_GB2312" w:hAnsi="仿宋" w:eastAsia="宋体" w:cs="仿宋"/>
      <w:sz w:val="30"/>
      <w:szCs w:val="32"/>
    </w:rPr>
  </w:style>
  <w:style w:type="paragraph" w:customStyle="1" w:styleId="205">
    <w:name w:val="表格标题"/>
    <w:basedOn w:val="1"/>
    <w:link w:val="208"/>
    <w:qFormat/>
    <w:uiPriority w:val="0"/>
    <w:pPr>
      <w:widowControl/>
      <w:spacing w:before="50" w:beforeLines="50" w:after="50" w:afterLines="50"/>
      <w:jc w:val="center"/>
    </w:pPr>
    <w:rPr>
      <w:rFonts w:ascii="仿宋_GB2312" w:eastAsia="仿宋_GB2312" w:cs="仿宋_GB2312"/>
      <w:bCs/>
      <w:szCs w:val="28"/>
    </w:rPr>
  </w:style>
  <w:style w:type="character" w:customStyle="1" w:styleId="206">
    <w:name w:val="正文样式-终 字符"/>
    <w:basedOn w:val="91"/>
    <w:link w:val="204"/>
    <w:qFormat/>
    <w:uiPriority w:val="0"/>
    <w:rPr>
      <w:rFonts w:ascii="仿宋_GB2312" w:hAnsi="仿宋" w:cs="仿宋"/>
      <w:kern w:val="2"/>
      <w:sz w:val="30"/>
      <w:szCs w:val="32"/>
    </w:rPr>
  </w:style>
  <w:style w:type="paragraph" w:customStyle="1" w:styleId="207">
    <w:name w:val="第三季标题"/>
    <w:basedOn w:val="1"/>
    <w:link w:val="209"/>
    <w:qFormat/>
    <w:uiPriority w:val="0"/>
    <w:pPr>
      <w:autoSpaceDE w:val="0"/>
      <w:autoSpaceDN w:val="0"/>
      <w:adjustRightInd w:val="0"/>
      <w:ind w:firstLine="640" w:firstLineChars="200"/>
      <w:jc w:val="left"/>
    </w:pPr>
    <w:rPr>
      <w:rFonts w:ascii="仿宋_GB2312" w:eastAsia="仿宋_GB2312" w:cs="仿宋_GB2312"/>
      <w:b/>
      <w:bCs/>
      <w:kern w:val="0"/>
      <w:sz w:val="30"/>
      <w:szCs w:val="32"/>
    </w:rPr>
  </w:style>
  <w:style w:type="character" w:customStyle="1" w:styleId="208">
    <w:name w:val="表格标题 字符"/>
    <w:basedOn w:val="91"/>
    <w:link w:val="205"/>
    <w:qFormat/>
    <w:uiPriority w:val="0"/>
    <w:rPr>
      <w:rFonts w:ascii="仿宋_GB2312" w:eastAsia="仿宋_GB2312" w:cs="仿宋_GB2312" w:hAnsiTheme="minorHAnsi"/>
      <w:bCs/>
      <w:kern w:val="2"/>
      <w:sz w:val="21"/>
      <w:szCs w:val="28"/>
    </w:rPr>
  </w:style>
  <w:style w:type="character" w:customStyle="1" w:styleId="209">
    <w:name w:val="第三季标题 字符"/>
    <w:basedOn w:val="91"/>
    <w:link w:val="207"/>
    <w:qFormat/>
    <w:uiPriority w:val="0"/>
    <w:rPr>
      <w:rFonts w:ascii="仿宋_GB2312" w:eastAsia="仿宋_GB2312" w:cs="仿宋_GB2312" w:hAnsiTheme="minorHAnsi"/>
      <w:b/>
      <w:bCs/>
      <w:sz w:val="30"/>
      <w:szCs w:val="32"/>
    </w:rPr>
  </w:style>
  <w:style w:type="paragraph" w:customStyle="1" w:styleId="210">
    <w:name w:val="表格内容"/>
    <w:basedOn w:val="1"/>
    <w:qFormat/>
    <w:uiPriority w:val="0"/>
    <w:pPr>
      <w:spacing w:line="288" w:lineRule="auto"/>
      <w:jc w:val="center"/>
    </w:pPr>
  </w:style>
  <w:style w:type="character" w:customStyle="1" w:styleId="211">
    <w:name w:val="未处理的提及1"/>
    <w:basedOn w:val="91"/>
    <w:unhideWhenUsed/>
    <w:qFormat/>
    <w:uiPriority w:val="99"/>
    <w:rPr>
      <w:color w:val="605E5C"/>
      <w:shd w:val="clear" w:color="auto" w:fill="E1DFDD"/>
    </w:rPr>
  </w:style>
  <w:style w:type="paragraph" w:customStyle="1" w:styleId="212">
    <w:name w:val="正文首行缩进 21"/>
    <w:basedOn w:val="213"/>
    <w:qFormat/>
    <w:uiPriority w:val="0"/>
    <w:pPr>
      <w:ind w:firstLine="420"/>
    </w:pPr>
  </w:style>
  <w:style w:type="paragraph" w:customStyle="1" w:styleId="213">
    <w:name w:val="正文文本缩进1"/>
    <w:basedOn w:val="1"/>
    <w:qFormat/>
    <w:uiPriority w:val="0"/>
    <w:pPr>
      <w:spacing w:after="120"/>
      <w:ind w:left="420" w:leftChars="200"/>
    </w:pPr>
  </w:style>
  <w:style w:type="character" w:customStyle="1" w:styleId="214">
    <w:name w:val="NormalCharacter"/>
    <w:link w:val="215"/>
    <w:qFormat/>
    <w:uiPriority w:val="0"/>
  </w:style>
  <w:style w:type="paragraph" w:customStyle="1" w:styleId="215">
    <w:name w:val="UserStyle_19"/>
    <w:basedOn w:val="1"/>
    <w:link w:val="214"/>
    <w:qFormat/>
    <w:uiPriority w:val="0"/>
    <w:pPr>
      <w:textAlignment w:val="baseline"/>
    </w:pPr>
  </w:style>
  <w:style w:type="paragraph" w:customStyle="1" w:styleId="216">
    <w:name w:val="TOC 11"/>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217">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emf"/><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thdli.com</Company>
  <Pages>69</Pages>
  <Words>17410</Words>
  <Characters>17810</Characters>
  <Lines>2517</Lines>
  <Paragraphs>2815</Paragraphs>
  <TotalTime>1</TotalTime>
  <ScaleCrop>false</ScaleCrop>
  <LinksUpToDate>false</LinksUpToDate>
  <CharactersWithSpaces>17921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2022-09-18T15:06:00Z</dcterms:created>
  <dc:creator>Administrator</dc:creator>
  <cp:lastModifiedBy>洪硕</cp:lastModifiedBy>
  <cp:lastPrinted>2022-08-26T23:14:00Z</cp:lastPrinted>
  <dcterms:modified xsi:type="dcterms:W3CDTF">2024-12-12T09:25:44Z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linkTarget="0">
    <vt:lpwstr>6</vt:lpwstr>
  </property>
  <property fmtid="{D5CDD505-2E9C-101B-9397-08002B2CF9AE}" pid="4" name="ICV">
    <vt:lpwstr>F1B23477D2CC4F94968040FECF316002_12</vt:lpwstr>
  </property>
</Properties>
</file>