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634D" w14:textId="77777777" w:rsidR="004A3F47" w:rsidRPr="006772BB" w:rsidRDefault="00000000" w:rsidP="006772BB">
      <w:pPr>
        <w:pStyle w:val="a0"/>
        <w:spacing w:line="560" w:lineRule="exact"/>
        <w:ind w:left="0"/>
        <w:rPr>
          <w:rFonts w:eastAsia="黑体" w:cs="黑体" w:hint="default"/>
          <w:sz w:val="32"/>
        </w:rPr>
      </w:pPr>
      <w:r w:rsidRPr="006772BB">
        <w:rPr>
          <w:rFonts w:eastAsia="黑体" w:cs="黑体"/>
          <w:sz w:val="32"/>
        </w:rPr>
        <w:t>附件</w:t>
      </w:r>
    </w:p>
    <w:p w14:paraId="23523CC4" w14:textId="77777777" w:rsidR="004A3F47" w:rsidRPr="006772BB" w:rsidRDefault="004A3F47" w:rsidP="006772BB">
      <w:pPr>
        <w:pStyle w:val="a0"/>
        <w:spacing w:line="540" w:lineRule="exact"/>
        <w:ind w:left="0"/>
        <w:jc w:val="center"/>
        <w:rPr>
          <w:rFonts w:eastAsia="方正小标宋简体" w:cs="方正小标宋简体" w:hint="default"/>
          <w:sz w:val="44"/>
          <w:szCs w:val="44"/>
        </w:rPr>
      </w:pPr>
    </w:p>
    <w:p w14:paraId="24F20319" w14:textId="77777777" w:rsidR="004A3F47" w:rsidRPr="006772BB" w:rsidRDefault="00000000" w:rsidP="006772BB">
      <w:pPr>
        <w:pStyle w:val="a0"/>
        <w:spacing w:line="540" w:lineRule="exact"/>
        <w:ind w:left="0"/>
        <w:jc w:val="center"/>
        <w:rPr>
          <w:rFonts w:eastAsia="方正小标宋简体" w:cs="方正小标宋简体" w:hint="default"/>
          <w:sz w:val="44"/>
          <w:szCs w:val="44"/>
        </w:rPr>
      </w:pPr>
      <w:proofErr w:type="gramStart"/>
      <w:r w:rsidRPr="006772BB">
        <w:rPr>
          <w:rFonts w:eastAsia="方正小标宋简体" w:cs="方正小标宋简体"/>
          <w:sz w:val="44"/>
          <w:szCs w:val="44"/>
        </w:rPr>
        <w:t>特殊用热需求</w:t>
      </w:r>
      <w:proofErr w:type="gramEnd"/>
      <w:r w:rsidRPr="006772BB">
        <w:rPr>
          <w:rFonts w:eastAsia="方正小标宋简体" w:cs="方正小标宋简体"/>
          <w:sz w:val="44"/>
          <w:szCs w:val="44"/>
        </w:rPr>
        <w:t>的供热面积测算方法</w:t>
      </w:r>
    </w:p>
    <w:p w14:paraId="736D9787" w14:textId="77777777" w:rsidR="004A3F47" w:rsidRPr="006772BB" w:rsidRDefault="004A3F47" w:rsidP="006772BB">
      <w:pPr>
        <w:pStyle w:val="a0"/>
        <w:spacing w:line="540" w:lineRule="exact"/>
        <w:ind w:left="0"/>
        <w:jc w:val="center"/>
        <w:rPr>
          <w:rFonts w:eastAsia="方正小标宋简体" w:cs="方正小标宋简体" w:hint="default"/>
          <w:sz w:val="44"/>
          <w:szCs w:val="44"/>
        </w:rPr>
      </w:pPr>
    </w:p>
    <w:p w14:paraId="4E5B1C80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/>
          <w:sz w:val="32"/>
        </w:rPr>
        <w:t>在不动产权证建筑面积或使用面积外，对于部分</w:t>
      </w:r>
      <w:proofErr w:type="gramStart"/>
      <w:r w:rsidRPr="006772BB">
        <w:rPr>
          <w:rFonts w:eastAsia="仿宋_GB2312" w:cs="仿宋_GB2312"/>
          <w:sz w:val="32"/>
        </w:rPr>
        <w:t>特殊用热需求</w:t>
      </w:r>
      <w:proofErr w:type="gramEnd"/>
      <w:r w:rsidRPr="006772BB">
        <w:rPr>
          <w:rFonts w:eastAsia="仿宋_GB2312" w:cs="仿宋_GB2312"/>
          <w:sz w:val="32"/>
        </w:rPr>
        <w:t>的房屋，供热面积的测算可参照如下方法：</w:t>
      </w:r>
    </w:p>
    <w:p w14:paraId="186145E0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黑体" w:cs="黑体" w:hint="default"/>
          <w:sz w:val="32"/>
        </w:rPr>
      </w:pPr>
      <w:r w:rsidRPr="006772BB">
        <w:rPr>
          <w:rFonts w:eastAsia="黑体" w:cs="黑体"/>
          <w:sz w:val="32"/>
        </w:rPr>
        <w:t>一、阁楼</w:t>
      </w:r>
    </w:p>
    <w:p w14:paraId="66C26103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楷体_GB2312" w:cs="楷体_GB2312" w:hint="default"/>
          <w:sz w:val="32"/>
        </w:rPr>
      </w:pPr>
      <w:r w:rsidRPr="006772BB">
        <w:rPr>
          <w:rFonts w:eastAsia="楷体_GB2312" w:cs="楷体_GB2312"/>
          <w:sz w:val="32"/>
        </w:rPr>
        <w:t>（一）安装采暖设施的</w:t>
      </w:r>
    </w:p>
    <w:p w14:paraId="4A10AA99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 w:hint="default"/>
          <w:sz w:val="32"/>
        </w:rPr>
        <w:t>1.</w:t>
      </w:r>
      <w:r w:rsidRPr="006772BB">
        <w:rPr>
          <w:rFonts w:eastAsia="仿宋_GB2312" w:cs="仿宋_GB2312" w:hint="default"/>
          <w:sz w:val="32"/>
        </w:rPr>
        <w:t>平屋顶型阁楼。净高大于</w:t>
      </w:r>
      <w:r w:rsidRPr="006772BB">
        <w:rPr>
          <w:rFonts w:eastAsia="仿宋_GB2312" w:cs="仿宋_GB2312" w:hint="default"/>
          <w:sz w:val="32"/>
        </w:rPr>
        <w:t>2.8</w:t>
      </w:r>
      <w:r w:rsidRPr="006772BB">
        <w:rPr>
          <w:rFonts w:eastAsia="仿宋_GB2312" w:cs="仿宋_GB2312" w:hint="default"/>
          <w:sz w:val="32"/>
        </w:rPr>
        <w:t>米（含</w:t>
      </w:r>
      <w:r w:rsidRPr="006772BB">
        <w:rPr>
          <w:rFonts w:eastAsia="仿宋_GB2312" w:cs="仿宋_GB2312" w:hint="default"/>
          <w:sz w:val="32"/>
        </w:rPr>
        <w:t>2.8</w:t>
      </w:r>
      <w:r w:rsidRPr="006772BB">
        <w:rPr>
          <w:rFonts w:eastAsia="仿宋_GB2312" w:cs="仿宋_GB2312" w:hint="default"/>
          <w:sz w:val="32"/>
        </w:rPr>
        <w:t>米）的阁楼，按阁楼建筑面积的</w:t>
      </w:r>
      <w:r w:rsidRPr="006772BB">
        <w:rPr>
          <w:rFonts w:eastAsia="仿宋_GB2312" w:cs="仿宋_GB2312" w:hint="default"/>
          <w:sz w:val="32"/>
        </w:rPr>
        <w:t>100</w:t>
      </w:r>
      <w:r w:rsidRPr="006772BB">
        <w:rPr>
          <w:rFonts w:eastAsia="仿宋_GB2312" w:cs="仿宋_GB2312" w:hint="default"/>
          <w:sz w:val="32"/>
        </w:rPr>
        <w:t>％计算；净高不足</w:t>
      </w:r>
      <w:r w:rsidRPr="006772BB">
        <w:rPr>
          <w:rFonts w:eastAsia="仿宋_GB2312" w:cs="仿宋_GB2312" w:hint="default"/>
          <w:sz w:val="32"/>
        </w:rPr>
        <w:t>2.8</w:t>
      </w:r>
      <w:r w:rsidRPr="006772BB">
        <w:rPr>
          <w:rFonts w:eastAsia="仿宋_GB2312" w:cs="仿宋_GB2312" w:hint="default"/>
          <w:sz w:val="32"/>
        </w:rPr>
        <w:t>米的阁楼，按阁楼建筑面积的</w:t>
      </w:r>
      <w:r w:rsidRPr="006772BB">
        <w:rPr>
          <w:rFonts w:eastAsia="仿宋_GB2312" w:cs="仿宋_GB2312" w:hint="default"/>
          <w:sz w:val="32"/>
        </w:rPr>
        <w:t>50</w:t>
      </w:r>
      <w:r w:rsidRPr="006772BB">
        <w:rPr>
          <w:rFonts w:eastAsia="仿宋_GB2312" w:cs="仿宋_GB2312" w:hint="default"/>
          <w:sz w:val="32"/>
        </w:rPr>
        <w:t>％计算。</w:t>
      </w:r>
    </w:p>
    <w:p w14:paraId="7C6D88BE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 w:hint="default"/>
          <w:sz w:val="32"/>
        </w:rPr>
        <w:t>2.</w:t>
      </w:r>
      <w:r w:rsidRPr="006772BB">
        <w:rPr>
          <w:rFonts w:eastAsia="仿宋_GB2312" w:cs="仿宋_GB2312" w:hint="default"/>
          <w:sz w:val="32"/>
        </w:rPr>
        <w:t>坡顶型阁楼。按阁楼建筑面积的</w:t>
      </w:r>
      <w:r w:rsidRPr="006772BB">
        <w:rPr>
          <w:rFonts w:eastAsia="仿宋_GB2312" w:cs="仿宋_GB2312" w:hint="default"/>
          <w:sz w:val="32"/>
        </w:rPr>
        <w:t>50</w:t>
      </w:r>
      <w:r w:rsidRPr="006772BB">
        <w:rPr>
          <w:rFonts w:eastAsia="仿宋_GB2312" w:cs="仿宋_GB2312" w:hint="default"/>
          <w:sz w:val="32"/>
        </w:rPr>
        <w:t>％计算。</w:t>
      </w:r>
    </w:p>
    <w:p w14:paraId="1123E713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楷体_GB2312" w:cs="楷体_GB2312" w:hint="default"/>
          <w:sz w:val="32"/>
        </w:rPr>
      </w:pPr>
      <w:r w:rsidRPr="006772BB">
        <w:rPr>
          <w:rFonts w:eastAsia="楷体_GB2312" w:cs="楷体_GB2312"/>
          <w:sz w:val="32"/>
        </w:rPr>
        <w:t>（二）没有安装采暖设施的</w:t>
      </w:r>
    </w:p>
    <w:p w14:paraId="296475BB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/>
          <w:sz w:val="32"/>
        </w:rPr>
        <w:t>按照《通知》中第二条执行，不再单独计算阁楼面积。</w:t>
      </w:r>
    </w:p>
    <w:p w14:paraId="0E0558C2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黑体" w:cs="黑体" w:hint="default"/>
          <w:sz w:val="32"/>
        </w:rPr>
      </w:pPr>
      <w:r w:rsidRPr="006772BB">
        <w:rPr>
          <w:rFonts w:eastAsia="黑体" w:cs="黑体"/>
          <w:sz w:val="32"/>
        </w:rPr>
        <w:t>二、闷顶</w:t>
      </w:r>
    </w:p>
    <w:p w14:paraId="7E2ACB70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/>
          <w:sz w:val="32"/>
        </w:rPr>
        <w:t>安装采暖设施的闷顶，参照安装采暖设施的阁楼的计算方式计算；没有安装采暖设施的不计面积。</w:t>
      </w:r>
    </w:p>
    <w:p w14:paraId="4ACB7409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黑体" w:cs="黑体" w:hint="default"/>
          <w:sz w:val="32"/>
        </w:rPr>
      </w:pPr>
      <w:r w:rsidRPr="006772BB">
        <w:rPr>
          <w:rFonts w:eastAsia="黑体" w:cs="黑体"/>
          <w:sz w:val="32"/>
        </w:rPr>
        <w:t>三、跃层</w:t>
      </w:r>
    </w:p>
    <w:p w14:paraId="7A2F49EB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仿宋_GB2312" w:cs="仿宋_GB2312" w:hint="default"/>
          <w:sz w:val="32"/>
        </w:rPr>
      </w:pPr>
      <w:r w:rsidRPr="006772BB">
        <w:rPr>
          <w:rFonts w:eastAsia="仿宋_GB2312" w:cs="仿宋_GB2312"/>
          <w:sz w:val="32"/>
        </w:rPr>
        <w:t>按各跃层建筑面积（参照阁楼的计算方式）之和计算。</w:t>
      </w:r>
    </w:p>
    <w:p w14:paraId="0333B59C" w14:textId="77777777" w:rsidR="004A3F47" w:rsidRPr="006772BB" w:rsidRDefault="00000000" w:rsidP="006772BB">
      <w:pPr>
        <w:pStyle w:val="a0"/>
        <w:spacing w:line="540" w:lineRule="exact"/>
        <w:ind w:left="0" w:firstLineChars="200" w:firstLine="640"/>
        <w:rPr>
          <w:rFonts w:eastAsia="黑体" w:cs="黑体" w:hint="default"/>
          <w:sz w:val="32"/>
        </w:rPr>
      </w:pPr>
      <w:r w:rsidRPr="006772BB">
        <w:rPr>
          <w:rFonts w:eastAsia="黑体" w:cs="黑体"/>
          <w:sz w:val="32"/>
        </w:rPr>
        <w:t>四、其他</w:t>
      </w:r>
    </w:p>
    <w:p w14:paraId="71CAD140" w14:textId="77777777" w:rsidR="004A3F47" w:rsidRDefault="00000000" w:rsidP="006772BB">
      <w:pPr>
        <w:pStyle w:val="a0"/>
        <w:spacing w:line="540" w:lineRule="exact"/>
        <w:ind w:left="0" w:firstLineChars="200" w:firstLine="640"/>
        <w:rPr>
          <w:rFonts w:hint="default"/>
        </w:rPr>
      </w:pPr>
      <w:r w:rsidRPr="006772BB">
        <w:rPr>
          <w:rFonts w:eastAsia="仿宋_GB2312" w:cs="仿宋_GB2312"/>
          <w:sz w:val="32"/>
        </w:rPr>
        <w:t>其他特殊房型和部位由双方在合同中约定。</w:t>
      </w:r>
    </w:p>
    <w:p w14:paraId="0CCA6B35" w14:textId="77777777" w:rsidR="004A3F47" w:rsidRPr="006772BB" w:rsidRDefault="004A3F47">
      <w:pPr>
        <w:pStyle w:val="toc11"/>
        <w:rPr>
          <w:rFonts w:ascii="宋体" w:hAnsi="宋体"/>
        </w:rPr>
      </w:pPr>
    </w:p>
    <w:p w14:paraId="53F022F7" w14:textId="2A8FE04B" w:rsidR="004A3F47" w:rsidRDefault="00000000" w:rsidP="006772BB">
      <w:pPr>
        <w:snapToGrid w:val="0"/>
        <w:spacing w:beforeLines="20" w:before="62" w:line="440" w:lineRule="exact"/>
        <w:ind w:right="-51" w:firstLineChars="100" w:firstLine="280"/>
      </w:pPr>
      <w:r>
        <w:rPr>
          <w:rFonts w:hint="eastAsia"/>
          <w:sz w:val="28"/>
          <w:szCs w:val="28"/>
        </w:rPr>
        <w:t xml:space="preserve"> </w:t>
      </w:r>
    </w:p>
    <w:sectPr w:rsidR="004A3F47">
      <w:footerReference w:type="default" r:id="rId8"/>
      <w:pgSz w:w="11906" w:h="16838"/>
      <w:pgMar w:top="2098" w:right="1474" w:bottom="1304" w:left="1587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D5E0" w14:textId="77777777" w:rsidR="00844935" w:rsidRDefault="00844935">
      <w:r>
        <w:separator/>
      </w:r>
    </w:p>
  </w:endnote>
  <w:endnote w:type="continuationSeparator" w:id="0">
    <w:p w14:paraId="13145315" w14:textId="77777777" w:rsidR="00844935" w:rsidRDefault="0084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B70D" w14:textId="77777777" w:rsidR="004A3F4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B23D1A" wp14:editId="31DEE1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63FF4" w14:textId="77777777" w:rsidR="004A3F47" w:rsidRDefault="00000000">
                          <w:pPr>
                            <w:snapToGrid w:val="0"/>
                            <w:ind w:leftChars="100" w:left="320" w:rightChars="100" w:right="3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23D1A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92.8pt;margin-top:0;width:2in;height:2in;z-index:2516695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D63FF4" w14:textId="77777777" w:rsidR="004A3F47" w:rsidRDefault="00000000">
                    <w:pPr>
                      <w:snapToGrid w:val="0"/>
                      <w:ind w:leftChars="100" w:left="320" w:rightChars="100" w:right="3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EDB5D97" w14:textId="77777777" w:rsidR="004A3F47" w:rsidRDefault="004A3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0A94" w14:textId="77777777" w:rsidR="00844935" w:rsidRDefault="00844935">
      <w:r>
        <w:separator/>
      </w:r>
    </w:p>
  </w:footnote>
  <w:footnote w:type="continuationSeparator" w:id="0">
    <w:p w14:paraId="03BA2558" w14:textId="77777777" w:rsidR="00844935" w:rsidRDefault="0084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C70253A"/>
    <w:multiLevelType w:val="multilevel"/>
    <w:tmpl w:val="4C70253A"/>
    <w:lvl w:ilvl="0">
      <w:start w:val="1"/>
      <w:numFmt w:val="chineseCountingThousand"/>
      <w:pStyle w:val="1"/>
      <w:suff w:val="nothing"/>
      <w:lvlText w:val="%1、 "/>
      <w:lvlJc w:val="left"/>
      <w:pPr>
        <w:ind w:left="426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-993" w:firstLine="0"/>
      </w:pPr>
      <w:rPr>
        <w:rFonts w:eastAsia="仿宋_GB2312" w:hint="eastAsia"/>
        <w:sz w:val="28"/>
        <w:szCs w:val="28"/>
      </w:rPr>
    </w:lvl>
    <w:lvl w:ilvl="2">
      <w:start w:val="1"/>
      <w:numFmt w:val="decimal"/>
      <w:suff w:val="nothing"/>
      <w:lvlText w:val="（%3）、"/>
      <w:lvlJc w:val="left"/>
      <w:pPr>
        <w:ind w:left="-993" w:firstLine="0"/>
      </w:pPr>
      <w:rPr>
        <w:rFonts w:hint="eastAsia"/>
      </w:rPr>
    </w:lvl>
    <w:lvl w:ilvl="3">
      <w:start w:val="1"/>
      <w:numFmt w:val="decimal"/>
      <w:suff w:val="nothing"/>
      <w:lvlText w:val="%3.%4  "/>
      <w:lvlJc w:val="left"/>
      <w:pPr>
        <w:ind w:left="-993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9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9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9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9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993" w:firstLine="0"/>
      </w:pPr>
      <w:rPr>
        <w:rFonts w:hint="eastAsia"/>
      </w:rPr>
    </w:lvl>
  </w:abstractNum>
  <w:abstractNum w:abstractNumId="2" w15:restartNumberingAfterBreak="0">
    <w:nsid w:val="6226C4D2"/>
    <w:multiLevelType w:val="singleLevel"/>
    <w:tmpl w:val="6226C4D2"/>
    <w:lvl w:ilvl="0">
      <w:start w:val="2"/>
      <w:numFmt w:val="decimal"/>
      <w:suff w:val="nothing"/>
      <w:lvlText w:val="%1."/>
      <w:lvlJc w:val="left"/>
    </w:lvl>
  </w:abstractNum>
  <w:num w:numId="1" w16cid:durableId="2044554169">
    <w:abstractNumId w:val="1"/>
  </w:num>
  <w:num w:numId="2" w16cid:durableId="1694846458">
    <w:abstractNumId w:val="0"/>
  </w:num>
  <w:num w:numId="3" w16cid:durableId="1935167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47"/>
    <w:rsid w:val="004A3F47"/>
    <w:rsid w:val="006772BB"/>
    <w:rsid w:val="00844935"/>
    <w:rsid w:val="00934E93"/>
    <w:rsid w:val="00D31A88"/>
    <w:rsid w:val="0CBB349F"/>
    <w:rsid w:val="10C23691"/>
    <w:rsid w:val="10CC760B"/>
    <w:rsid w:val="19D100E0"/>
    <w:rsid w:val="1D383A57"/>
    <w:rsid w:val="25A177FB"/>
    <w:rsid w:val="27756B9D"/>
    <w:rsid w:val="29B0556B"/>
    <w:rsid w:val="311163EF"/>
    <w:rsid w:val="401E4357"/>
    <w:rsid w:val="4D5A147C"/>
    <w:rsid w:val="4F795018"/>
    <w:rsid w:val="51DE2E78"/>
    <w:rsid w:val="52F8230D"/>
    <w:rsid w:val="542F3E5B"/>
    <w:rsid w:val="64F56B4A"/>
    <w:rsid w:val="65424284"/>
    <w:rsid w:val="6BD839B3"/>
    <w:rsid w:val="725C785B"/>
    <w:rsid w:val="73A05E00"/>
    <w:rsid w:val="75EB1664"/>
    <w:rsid w:val="77A74343"/>
    <w:rsid w:val="798D40AD"/>
    <w:rsid w:val="7A0D0355"/>
    <w:rsid w:val="7B9721A5"/>
    <w:rsid w:val="7D17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C69114"/>
  <w15:docId w15:val="{7369C4C7-4302-4C1F-B04F-4D15F123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仿宋_GB2312" w:hAnsi="宋体"/>
      <w:snapToGrid w:val="0"/>
      <w:kern w:val="3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1"/>
    <w:qFormat/>
    <w:pPr>
      <w:ind w:left="114"/>
    </w:pPr>
    <w:rPr>
      <w:rFonts w:eastAsia="宋体" w:hint="eastAsia"/>
      <w:sz w:val="30"/>
    </w:rPr>
  </w:style>
  <w:style w:type="paragraph" w:customStyle="1" w:styleId="toc11">
    <w:name w:val="toc 11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Body Text Indent"/>
    <w:basedOn w:val="a"/>
    <w:qFormat/>
    <w:pPr>
      <w:spacing w:line="360" w:lineRule="auto"/>
      <w:ind w:firstLineChars="200" w:firstLine="600"/>
    </w:pPr>
    <w:rPr>
      <w:rFonts w:ascii="仿宋_GB2312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无间隔1"/>
    <w:basedOn w:val="a"/>
    <w:qFormat/>
    <w:pPr>
      <w:spacing w:line="400" w:lineRule="exact"/>
    </w:pPr>
    <w:rPr>
      <w:sz w:val="24"/>
    </w:rPr>
  </w:style>
  <w:style w:type="paragraph" w:customStyle="1" w:styleId="TOC110">
    <w:name w:val="TOC 11"/>
    <w:next w:val="a"/>
    <w:qFormat/>
    <w:pPr>
      <w:wordWrap w:val="0"/>
      <w:jc w:val="both"/>
    </w:pPr>
    <w:rPr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8">
    <w:name w:val="Revision"/>
    <w:hidden/>
    <w:uiPriority w:val="99"/>
    <w:semiHidden/>
    <w:rsid w:val="00934E93"/>
    <w:rPr>
      <w:rFonts w:ascii="宋体" w:eastAsia="仿宋_GB2312" w:hAnsi="宋体"/>
      <w:snapToGrid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Reeves</cp:lastModifiedBy>
  <cp:revision>3</cp:revision>
  <cp:lastPrinted>2021-01-11T08:25:00Z</cp:lastPrinted>
  <dcterms:created xsi:type="dcterms:W3CDTF">2022-08-05T08:17:00Z</dcterms:created>
  <dcterms:modified xsi:type="dcterms:W3CDTF">2022-08-23T16:07:00Z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