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spacing w:line="240" w:lineRule="auto"/>
        <w:ind w:left="0" w:leftChars="0" w:right="0" w:rightChars="0"/>
        <w:jc w:val="left"/>
        <w:textAlignment w:val="auto"/>
        <w:rPr>
          <w:rFonts w:hint="eastAsia" w:ascii="宋体" w:hAnsi="宋体" w:eastAsia="仿宋_GB2312"/>
          <w:b w:val="0"/>
          <w:bCs w:val="0"/>
          <w:color w:val="000000"/>
          <w:sz w:val="24"/>
          <w:szCs w:val="24"/>
          <w:lang w:val="en-US" w:eastAsia="zh-CN"/>
        </w:rPr>
      </w:pPr>
      <w:r>
        <w:rPr>
          <w:rFonts w:hint="eastAsia" w:ascii="宋体" w:hAnsi="宋体" w:eastAsia="仿宋_GB2312"/>
          <w:b w:val="0"/>
          <w:bCs w:val="0"/>
          <w:color w:val="000000"/>
          <w:sz w:val="24"/>
          <w:szCs w:val="24"/>
        </w:rPr>
        <w:t>BF—20</w:t>
      </w:r>
      <w:r>
        <w:rPr>
          <w:rFonts w:hint="eastAsia" w:ascii="宋体" w:hAnsi="宋体" w:eastAsia="仿宋_GB2312"/>
          <w:b w:val="0"/>
          <w:bCs w:val="0"/>
          <w:color w:val="000000"/>
          <w:sz w:val="24"/>
          <w:szCs w:val="24"/>
          <w:lang w:val="en-US" w:eastAsia="zh-CN"/>
        </w:rPr>
        <w:t>20</w:t>
      </w:r>
      <w:r>
        <w:rPr>
          <w:rFonts w:hint="eastAsia" w:ascii="宋体" w:hAnsi="宋体" w:eastAsia="仿宋_GB2312"/>
          <w:b w:val="0"/>
          <w:bCs w:val="0"/>
          <w:color w:val="000000"/>
          <w:sz w:val="24"/>
          <w:szCs w:val="24"/>
        </w:rPr>
        <w:t>—050</w:t>
      </w:r>
      <w:r>
        <w:rPr>
          <w:rFonts w:hint="eastAsia" w:ascii="宋体" w:hAnsi="宋体" w:eastAsia="仿宋_GB2312"/>
          <w:b w:val="0"/>
          <w:bCs w:val="0"/>
          <w:color w:val="000000"/>
          <w:sz w:val="24"/>
          <w:szCs w:val="24"/>
          <w:lang w:val="en-US" w:eastAsia="zh-CN"/>
        </w:rPr>
        <w:t xml:space="preserve">7                    </w:t>
      </w:r>
      <w:r>
        <w:rPr>
          <w:rFonts w:hint="eastAsia" w:eastAsia="仿宋_GB2312"/>
          <w:b w:val="0"/>
          <w:bCs w:val="0"/>
          <w:color w:val="000000"/>
          <w:sz w:val="24"/>
          <w:szCs w:val="24"/>
          <w:lang w:val="en-US" w:eastAsia="zh-CN"/>
        </w:rPr>
        <w:t xml:space="preserve">                                 </w:t>
      </w:r>
      <w:r>
        <w:rPr>
          <w:rFonts w:hint="eastAsia" w:ascii="宋体" w:hAnsi="宋体" w:eastAsia="仿宋_GB2312"/>
          <w:b w:val="0"/>
          <w:bCs w:val="0"/>
          <w:color w:val="000000"/>
          <w:sz w:val="24"/>
          <w:szCs w:val="24"/>
        </w:rPr>
        <w:t>合同编号：</w:t>
      </w:r>
    </w:p>
    <w:p>
      <w:pPr>
        <w:pStyle w:val="2"/>
        <w:keepNext w:val="0"/>
        <w:keepLines w:val="0"/>
        <w:pageBreakBefore w:val="0"/>
        <w:kinsoku/>
        <w:wordWrap/>
        <w:overflowPunct/>
        <w:topLinePunct w:val="0"/>
        <w:autoSpaceDE/>
        <w:autoSpaceDN/>
        <w:bidi w:val="0"/>
        <w:spacing w:line="240" w:lineRule="auto"/>
        <w:ind w:left="0" w:leftChars="0" w:right="0" w:rightChars="0"/>
        <w:jc w:val="right"/>
        <w:textAlignment w:val="auto"/>
        <w:rPr>
          <w:rFonts w:hint="eastAsia" w:ascii="宋体" w:hAnsi="宋体" w:eastAsia="仿宋_GB2312"/>
          <w:b w:val="0"/>
          <w:bCs w:val="0"/>
          <w:color w:val="00000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方正小标宋简体" w:cs="方正小标宋简体"/>
          <w:b w:val="0"/>
          <w:bCs w:val="0"/>
          <w:color w:val="000000"/>
          <w:kern w:val="0"/>
          <w:sz w:val="36"/>
          <w:szCs w:val="36"/>
        </w:rPr>
      </w:pPr>
      <w:r>
        <w:rPr>
          <w:rFonts w:hint="eastAsia" w:ascii="宋体" w:hAnsi="宋体" w:eastAsia="方正小标宋简体" w:cs="方正小标宋简体"/>
          <w:b w:val="0"/>
          <w:bCs w:val="0"/>
          <w:color w:val="000000"/>
          <w:kern w:val="0"/>
          <w:sz w:val="36"/>
          <w:szCs w:val="36"/>
        </w:rPr>
        <w:t>北京市居民瓶装液化石油气</w:t>
      </w:r>
      <w:r>
        <w:rPr>
          <w:rFonts w:hint="eastAsia" w:ascii="宋体" w:hAnsi="宋体" w:eastAsia="方正小标宋简体" w:cs="方正小标宋简体"/>
          <w:b w:val="0"/>
          <w:bCs w:val="0"/>
          <w:color w:val="000000"/>
          <w:kern w:val="0"/>
          <w:sz w:val="36"/>
          <w:szCs w:val="36"/>
          <w:lang w:eastAsia="zh-CN"/>
        </w:rPr>
        <w:t>供用</w:t>
      </w:r>
      <w:r>
        <w:rPr>
          <w:rFonts w:hint="eastAsia" w:ascii="宋体" w:hAnsi="宋体" w:eastAsia="方正小标宋简体" w:cs="方正小标宋简体"/>
          <w:b w:val="0"/>
          <w:bCs w:val="0"/>
          <w:color w:val="000000"/>
          <w:kern w:val="0"/>
          <w:sz w:val="36"/>
          <w:szCs w:val="36"/>
        </w:rPr>
        <w:t>合同</w:t>
      </w:r>
    </w:p>
    <w:p>
      <w:pPr>
        <w:keepNext w:val="0"/>
        <w:keepLines w:val="0"/>
        <w:pageBreakBefore w:val="0"/>
        <w:kinsoku/>
        <w:wordWrap/>
        <w:overflowPunct/>
        <w:topLinePunct w:val="0"/>
        <w:autoSpaceDE/>
        <w:autoSpaceDN/>
        <w:bidi w:val="0"/>
        <w:snapToGrid/>
        <w:spacing w:line="240" w:lineRule="auto"/>
        <w:ind w:left="0" w:leftChars="0" w:right="0" w:rightChars="0"/>
        <w:textAlignment w:val="auto"/>
        <w:outlineLvl w:val="9"/>
        <w:rPr>
          <w:rFonts w:ascii="宋体" w:hAnsi="宋体" w:eastAsia="仿宋_GB2312"/>
          <w:b w:val="0"/>
          <w:bCs w:val="0"/>
          <w:color w:val="000000"/>
          <w:sz w:val="24"/>
          <w:szCs w:val="18"/>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仿宋_GB2312"/>
          <w:b w:val="0"/>
          <w:bCs w:val="0"/>
          <w:sz w:val="24"/>
          <w:szCs w:val="24"/>
          <w:lang w:val="en-US" w:eastAsia="zh-CN"/>
        </w:rPr>
      </w:pPr>
      <w:r>
        <w:rPr>
          <w:rFonts w:hint="eastAsia" w:ascii="宋体" w:hAnsi="宋体" w:eastAsia="仿宋_GB2312"/>
          <w:b w:val="0"/>
          <w:bCs w:val="0"/>
          <w:sz w:val="24"/>
          <w:szCs w:val="24"/>
          <w:lang w:val="en-US" w:eastAsia="zh-CN"/>
        </w:rPr>
        <w:t>根据《民法典》、《中华人民共和国消费者权益保护法》、《北京市燃气管理条例》等国家和本市有关法律法规的规定，甲乙双方在自愿、公平和诚信的基础上，订立本合同：</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480" w:firstLineChars="200"/>
        <w:jc w:val="both"/>
        <w:textAlignment w:val="auto"/>
        <w:outlineLvl w:val="9"/>
        <w:rPr>
          <w:rFonts w:ascii="宋体" w:hAnsi="宋体" w:eastAsia="仿宋_GB2312"/>
          <w:b w:val="0"/>
          <w:bCs w:val="0"/>
          <w:color w:val="000000"/>
          <w:sz w:val="24"/>
          <w:szCs w:val="24"/>
          <w:u w:val="single"/>
        </w:rPr>
      </w:pPr>
      <w:r>
        <w:rPr>
          <w:rFonts w:hint="eastAsia" w:ascii="宋体" w:hAnsi="宋体" w:eastAsia="黑体" w:cs="黑体"/>
          <w:b w:val="0"/>
          <w:bCs w:val="0"/>
          <w:color w:val="000000"/>
          <w:sz w:val="24"/>
          <w:szCs w:val="24"/>
        </w:rPr>
        <w:t>第一条  用气地点（地点填写到区、街乡镇，楼门牌号或农村的院落号）：</w:t>
      </w:r>
      <w:r>
        <w:rPr>
          <w:rFonts w:hint="eastAsia" w:ascii="宋体" w:hAnsi="宋体" w:eastAsia="仿宋_GB2312"/>
          <w:b w:val="0"/>
          <w:bCs w:val="0"/>
          <w:color w:val="000000"/>
          <w:sz w:val="24"/>
          <w:szCs w:val="24"/>
          <w:u w:val="single"/>
        </w:rPr>
        <w:t xml:space="preserve">                                                                                                                        </w:t>
      </w: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480" w:firstLineChars="200"/>
        <w:jc w:val="both"/>
        <w:textAlignment w:val="auto"/>
        <w:outlineLvl w:val="9"/>
        <w:rPr>
          <w:rFonts w:ascii="宋体" w:hAnsi="宋体" w:eastAsia="黑体" w:cs="黑体"/>
          <w:b w:val="0"/>
          <w:bCs w:val="0"/>
          <w:color w:val="000000"/>
          <w:sz w:val="24"/>
          <w:szCs w:val="24"/>
        </w:rPr>
      </w:pPr>
      <w:r>
        <w:rPr>
          <w:rFonts w:hint="eastAsia" w:ascii="宋体" w:hAnsi="宋体" w:eastAsia="黑体" w:cs="黑体"/>
          <w:b w:val="0"/>
          <w:bCs w:val="0"/>
          <w:color w:val="000000"/>
          <w:sz w:val="24"/>
          <w:szCs w:val="24"/>
        </w:rPr>
        <w:t>第二条  用气设备名称</w:t>
      </w:r>
    </w:p>
    <w:tbl>
      <w:tblPr>
        <w:tblStyle w:val="6"/>
        <w:tblW w:w="100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662"/>
        <w:gridCol w:w="1294"/>
        <w:gridCol w:w="2577"/>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01" w:type="dxa"/>
            <w:vAlign w:val="center"/>
          </w:tcPr>
          <w:p>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outlineLvl w:val="9"/>
              <w:rPr>
                <w:rFonts w:ascii="宋体" w:hAnsi="宋体" w:eastAsia="仿宋_GB2312" w:cs="Arial"/>
                <w:b w:val="0"/>
                <w:bCs w:val="0"/>
                <w:color w:val="000000"/>
                <w:kern w:val="0"/>
                <w:sz w:val="24"/>
                <w:szCs w:val="18"/>
              </w:rPr>
            </w:pPr>
            <w:r>
              <w:rPr>
                <w:rFonts w:hint="eastAsia" w:ascii="宋体" w:hAnsi="宋体" w:eastAsia="仿宋_GB2312" w:cs="Arial"/>
                <w:b w:val="0"/>
                <w:bCs w:val="0"/>
                <w:color w:val="000000"/>
                <w:kern w:val="0"/>
                <w:sz w:val="24"/>
                <w:szCs w:val="18"/>
              </w:rPr>
              <w:t>名称</w:t>
            </w:r>
          </w:p>
        </w:tc>
        <w:tc>
          <w:tcPr>
            <w:tcW w:w="2662" w:type="dxa"/>
            <w:vAlign w:val="center"/>
          </w:tcPr>
          <w:p>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outlineLvl w:val="9"/>
              <w:rPr>
                <w:rFonts w:ascii="宋体" w:hAnsi="宋体" w:eastAsia="仿宋_GB2312" w:cs="Arial"/>
                <w:b w:val="0"/>
                <w:bCs w:val="0"/>
                <w:color w:val="000000"/>
                <w:kern w:val="0"/>
                <w:sz w:val="24"/>
                <w:szCs w:val="18"/>
              </w:rPr>
            </w:pPr>
            <w:r>
              <w:rPr>
                <w:rFonts w:hint="eastAsia" w:ascii="宋体" w:hAnsi="宋体" w:eastAsia="仿宋_GB2312" w:cs="Arial"/>
                <w:b w:val="0"/>
                <w:bCs w:val="0"/>
                <w:color w:val="000000"/>
                <w:kern w:val="0"/>
                <w:sz w:val="24"/>
                <w:szCs w:val="18"/>
              </w:rPr>
              <w:t>品牌、型号</w:t>
            </w:r>
          </w:p>
        </w:tc>
        <w:tc>
          <w:tcPr>
            <w:tcW w:w="1294" w:type="dxa"/>
            <w:vAlign w:val="center"/>
          </w:tcPr>
          <w:p>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outlineLvl w:val="9"/>
              <w:rPr>
                <w:rFonts w:ascii="宋体" w:hAnsi="宋体" w:eastAsia="仿宋_GB2312" w:cs="Arial"/>
                <w:b w:val="0"/>
                <w:bCs w:val="0"/>
                <w:color w:val="000000"/>
                <w:kern w:val="0"/>
                <w:sz w:val="24"/>
                <w:szCs w:val="18"/>
              </w:rPr>
            </w:pPr>
            <w:r>
              <w:rPr>
                <w:rFonts w:hint="eastAsia" w:ascii="宋体" w:hAnsi="宋体" w:eastAsia="仿宋_GB2312" w:cs="Arial"/>
                <w:b w:val="0"/>
                <w:bCs w:val="0"/>
                <w:color w:val="000000"/>
                <w:kern w:val="0"/>
                <w:sz w:val="24"/>
                <w:szCs w:val="18"/>
              </w:rPr>
              <w:t>数量</w:t>
            </w:r>
          </w:p>
        </w:tc>
        <w:tc>
          <w:tcPr>
            <w:tcW w:w="2577" w:type="dxa"/>
            <w:vAlign w:val="center"/>
          </w:tcPr>
          <w:p>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outlineLvl w:val="9"/>
              <w:rPr>
                <w:rFonts w:ascii="宋体" w:hAnsi="宋体" w:eastAsia="仿宋_GB2312" w:cs="Arial"/>
                <w:b w:val="0"/>
                <w:bCs w:val="0"/>
                <w:color w:val="000000"/>
                <w:kern w:val="0"/>
                <w:sz w:val="24"/>
                <w:szCs w:val="18"/>
              </w:rPr>
            </w:pPr>
            <w:r>
              <w:rPr>
                <w:rFonts w:hint="eastAsia" w:ascii="宋体" w:hAnsi="宋体" w:eastAsia="仿宋_GB2312" w:cs="Arial"/>
                <w:b w:val="0"/>
                <w:bCs w:val="0"/>
                <w:color w:val="000000"/>
                <w:kern w:val="0"/>
                <w:sz w:val="24"/>
                <w:szCs w:val="18"/>
              </w:rPr>
              <w:t>安装单位</w:t>
            </w:r>
          </w:p>
        </w:tc>
        <w:tc>
          <w:tcPr>
            <w:tcW w:w="1792" w:type="dxa"/>
            <w:vAlign w:val="center"/>
          </w:tcPr>
          <w:p>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outlineLvl w:val="9"/>
              <w:rPr>
                <w:rFonts w:ascii="宋体" w:hAnsi="宋体" w:eastAsia="仿宋_GB2312" w:cs="Arial"/>
                <w:b w:val="0"/>
                <w:bCs w:val="0"/>
                <w:color w:val="000000"/>
                <w:kern w:val="0"/>
                <w:sz w:val="24"/>
                <w:szCs w:val="18"/>
              </w:rPr>
            </w:pPr>
            <w:r>
              <w:rPr>
                <w:rFonts w:hint="eastAsia" w:ascii="宋体" w:hAnsi="宋体" w:eastAsia="仿宋_GB2312" w:cs="Arial"/>
                <w:b w:val="0"/>
                <w:bCs w:val="0"/>
                <w:color w:val="000000"/>
                <w:kern w:val="0"/>
                <w:sz w:val="24"/>
                <w:szCs w:val="18"/>
              </w:rPr>
              <w:t>安装时间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01" w:type="dxa"/>
            <w:vAlign w:val="top"/>
          </w:tcPr>
          <w:p>
            <w:pPr>
              <w:keepNext w:val="0"/>
              <w:keepLines w:val="0"/>
              <w:pageBreakBefore w:val="0"/>
              <w:kinsoku/>
              <w:wordWrap/>
              <w:overflowPunct/>
              <w:topLinePunct w:val="0"/>
              <w:autoSpaceDE/>
              <w:autoSpaceDN/>
              <w:bidi w:val="0"/>
              <w:snapToGrid/>
              <w:spacing w:line="240" w:lineRule="auto"/>
              <w:ind w:left="0" w:leftChars="0" w:right="0" w:rightChars="0"/>
              <w:textAlignment w:val="auto"/>
              <w:outlineLvl w:val="9"/>
              <w:rPr>
                <w:rFonts w:ascii="宋体" w:hAnsi="宋体" w:eastAsia="仿宋_GB2312" w:cs="Arial"/>
                <w:b w:val="0"/>
                <w:bCs w:val="0"/>
                <w:color w:val="000000"/>
                <w:kern w:val="0"/>
                <w:sz w:val="24"/>
                <w:szCs w:val="18"/>
              </w:rPr>
            </w:pPr>
          </w:p>
        </w:tc>
        <w:tc>
          <w:tcPr>
            <w:tcW w:w="2662" w:type="dxa"/>
            <w:vAlign w:val="top"/>
          </w:tcPr>
          <w:p>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outlineLvl w:val="9"/>
              <w:rPr>
                <w:rFonts w:ascii="宋体" w:hAnsi="宋体" w:eastAsia="仿宋_GB2312" w:cs="Arial"/>
                <w:b w:val="0"/>
                <w:bCs w:val="0"/>
                <w:color w:val="000000"/>
                <w:kern w:val="0"/>
                <w:sz w:val="24"/>
                <w:szCs w:val="18"/>
              </w:rPr>
            </w:pPr>
          </w:p>
        </w:tc>
        <w:tc>
          <w:tcPr>
            <w:tcW w:w="1294" w:type="dxa"/>
            <w:vAlign w:val="top"/>
          </w:tcPr>
          <w:p>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outlineLvl w:val="9"/>
              <w:rPr>
                <w:rFonts w:ascii="宋体" w:hAnsi="宋体" w:eastAsia="仿宋_GB2312" w:cs="Arial"/>
                <w:b w:val="0"/>
                <w:bCs w:val="0"/>
                <w:color w:val="000000"/>
                <w:kern w:val="0"/>
                <w:sz w:val="24"/>
                <w:szCs w:val="18"/>
              </w:rPr>
            </w:pPr>
          </w:p>
        </w:tc>
        <w:tc>
          <w:tcPr>
            <w:tcW w:w="2577" w:type="dxa"/>
            <w:vAlign w:val="top"/>
          </w:tcPr>
          <w:p>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outlineLvl w:val="9"/>
              <w:rPr>
                <w:rFonts w:ascii="宋体" w:hAnsi="宋体" w:eastAsia="仿宋_GB2312" w:cs="Arial"/>
                <w:b w:val="0"/>
                <w:bCs w:val="0"/>
                <w:color w:val="000000"/>
                <w:kern w:val="0"/>
                <w:sz w:val="24"/>
                <w:szCs w:val="18"/>
              </w:rPr>
            </w:pPr>
          </w:p>
        </w:tc>
        <w:tc>
          <w:tcPr>
            <w:tcW w:w="1792" w:type="dxa"/>
            <w:vAlign w:val="top"/>
          </w:tcPr>
          <w:p>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outlineLvl w:val="9"/>
              <w:rPr>
                <w:rFonts w:ascii="宋体" w:hAnsi="宋体" w:eastAsia="仿宋_GB2312" w:cs="Arial"/>
                <w:b w:val="0"/>
                <w:bCs w:val="0"/>
                <w:color w:val="000000"/>
                <w:kern w:val="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01" w:type="dxa"/>
            <w:vAlign w:val="top"/>
          </w:tcPr>
          <w:p>
            <w:pPr>
              <w:keepNext w:val="0"/>
              <w:keepLines w:val="0"/>
              <w:pageBreakBefore w:val="0"/>
              <w:kinsoku/>
              <w:wordWrap/>
              <w:overflowPunct/>
              <w:topLinePunct w:val="0"/>
              <w:autoSpaceDE/>
              <w:autoSpaceDN/>
              <w:bidi w:val="0"/>
              <w:snapToGrid/>
              <w:spacing w:line="240" w:lineRule="auto"/>
              <w:ind w:left="0" w:leftChars="0" w:right="0" w:rightChars="0"/>
              <w:textAlignment w:val="auto"/>
              <w:outlineLvl w:val="9"/>
              <w:rPr>
                <w:rFonts w:ascii="宋体" w:hAnsi="宋体" w:eastAsia="仿宋_GB2312" w:cs="Arial"/>
                <w:b w:val="0"/>
                <w:bCs w:val="0"/>
                <w:color w:val="000000"/>
                <w:kern w:val="0"/>
                <w:sz w:val="24"/>
                <w:szCs w:val="18"/>
              </w:rPr>
            </w:pPr>
          </w:p>
        </w:tc>
        <w:tc>
          <w:tcPr>
            <w:tcW w:w="2662" w:type="dxa"/>
            <w:vAlign w:val="top"/>
          </w:tcPr>
          <w:p>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outlineLvl w:val="9"/>
              <w:rPr>
                <w:rFonts w:ascii="宋体" w:hAnsi="宋体" w:eastAsia="仿宋_GB2312" w:cs="Arial"/>
                <w:b w:val="0"/>
                <w:bCs w:val="0"/>
                <w:color w:val="000000"/>
                <w:kern w:val="0"/>
                <w:sz w:val="24"/>
                <w:szCs w:val="18"/>
              </w:rPr>
            </w:pPr>
          </w:p>
        </w:tc>
        <w:tc>
          <w:tcPr>
            <w:tcW w:w="1294" w:type="dxa"/>
            <w:vAlign w:val="top"/>
          </w:tcPr>
          <w:p>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outlineLvl w:val="9"/>
              <w:rPr>
                <w:rFonts w:ascii="宋体" w:hAnsi="宋体" w:eastAsia="仿宋_GB2312" w:cs="Arial"/>
                <w:b w:val="0"/>
                <w:bCs w:val="0"/>
                <w:color w:val="000000"/>
                <w:kern w:val="0"/>
                <w:sz w:val="24"/>
                <w:szCs w:val="18"/>
              </w:rPr>
            </w:pPr>
          </w:p>
        </w:tc>
        <w:tc>
          <w:tcPr>
            <w:tcW w:w="2577" w:type="dxa"/>
            <w:vAlign w:val="top"/>
          </w:tcPr>
          <w:p>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outlineLvl w:val="9"/>
              <w:rPr>
                <w:rFonts w:ascii="宋体" w:hAnsi="宋体" w:eastAsia="仿宋_GB2312" w:cs="Arial"/>
                <w:b w:val="0"/>
                <w:bCs w:val="0"/>
                <w:color w:val="000000"/>
                <w:kern w:val="0"/>
                <w:sz w:val="24"/>
                <w:szCs w:val="18"/>
              </w:rPr>
            </w:pPr>
          </w:p>
        </w:tc>
        <w:tc>
          <w:tcPr>
            <w:tcW w:w="1792" w:type="dxa"/>
            <w:vAlign w:val="top"/>
          </w:tcPr>
          <w:p>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outlineLvl w:val="9"/>
              <w:rPr>
                <w:rFonts w:ascii="宋体" w:hAnsi="宋体" w:eastAsia="仿宋_GB2312" w:cs="Arial"/>
                <w:b w:val="0"/>
                <w:bCs w:val="0"/>
                <w:color w:val="000000"/>
                <w:kern w:val="0"/>
                <w:sz w:val="24"/>
                <w:szCs w:val="18"/>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宋体" w:hAnsi="宋体" w:eastAsia="黑体" w:cs="黑体"/>
          <w:b w:val="0"/>
          <w:bCs w:val="0"/>
          <w:color w:val="000000"/>
          <w:sz w:val="24"/>
          <w:szCs w:val="24"/>
        </w:rPr>
      </w:pPr>
      <w:r>
        <w:rPr>
          <w:rFonts w:hint="eastAsia" w:ascii="宋体" w:hAnsi="宋体" w:eastAsia="黑体" w:cs="黑体"/>
          <w:b w:val="0"/>
          <w:bCs w:val="0"/>
          <w:color w:val="000000"/>
          <w:sz w:val="24"/>
          <w:szCs w:val="24"/>
        </w:rPr>
        <w:t>第三条  气瓶及押金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宋体" w:hAnsi="宋体" w:eastAsia="仿宋_GB2312"/>
          <w:b w:val="0"/>
          <w:bCs w:val="0"/>
          <w:color w:val="000000"/>
          <w:sz w:val="24"/>
          <w:szCs w:val="24"/>
        </w:rPr>
      </w:pPr>
      <w:r>
        <w:rPr>
          <w:rFonts w:ascii="宋体" w:hAnsi="宋体" w:eastAsia="仿宋_GB2312"/>
          <w:b w:val="0"/>
          <w:bCs w:val="0"/>
          <w:color w:val="000000"/>
          <w:sz w:val="24"/>
          <w:szCs w:val="24"/>
        </w:rPr>
        <w:t>甲方须使用乙方提供的</w:t>
      </w:r>
      <w:r>
        <w:rPr>
          <w:rFonts w:hint="eastAsia" w:ascii="宋体" w:hAnsi="宋体" w:eastAsia="仿宋_GB2312"/>
          <w:b w:val="0"/>
          <w:bCs w:val="0"/>
          <w:color w:val="000000"/>
          <w:sz w:val="24"/>
          <w:szCs w:val="24"/>
          <w:u w:val="single"/>
        </w:rPr>
        <w:t xml:space="preserve">      </w:t>
      </w:r>
      <w:r>
        <w:rPr>
          <w:rFonts w:hint="eastAsia" w:ascii="宋体" w:hAnsi="宋体" w:eastAsia="仿宋_GB2312"/>
          <w:b w:val="0"/>
          <w:bCs w:val="0"/>
          <w:color w:val="000000"/>
          <w:sz w:val="24"/>
          <w:szCs w:val="24"/>
        </w:rPr>
        <w:t>公斤（净含量）</w:t>
      </w:r>
      <w:r>
        <w:rPr>
          <w:rFonts w:ascii="宋体" w:hAnsi="宋体" w:eastAsia="仿宋_GB2312"/>
          <w:b w:val="0"/>
          <w:bCs w:val="0"/>
          <w:color w:val="000000"/>
          <w:sz w:val="24"/>
          <w:szCs w:val="24"/>
        </w:rPr>
        <w:t>气瓶，乙方向甲方提供的气瓶应符合国家和本市气瓶安全技术规范要求，且在检验周期内。气瓶须纳入北京</w:t>
      </w:r>
      <w:r>
        <w:rPr>
          <w:rFonts w:hint="eastAsia" w:ascii="宋体" w:hAnsi="宋体" w:eastAsia="仿宋_GB2312"/>
          <w:b w:val="0"/>
          <w:bCs w:val="0"/>
          <w:color w:val="000000"/>
          <w:sz w:val="24"/>
          <w:szCs w:val="24"/>
        </w:rPr>
        <w:t>市</w:t>
      </w:r>
      <w:r>
        <w:rPr>
          <w:rFonts w:ascii="宋体" w:hAnsi="宋体" w:eastAsia="仿宋_GB2312"/>
          <w:b w:val="0"/>
          <w:bCs w:val="0"/>
          <w:color w:val="000000"/>
          <w:sz w:val="24"/>
          <w:szCs w:val="24"/>
        </w:rPr>
        <w:t>统一的瓶装液化气管理信息化系统。乙方负责气瓶日常维护、定期检验及超期报废工作</w:t>
      </w:r>
      <w:r>
        <w:rPr>
          <w:rFonts w:hint="eastAsia" w:ascii="宋体" w:hAnsi="宋体" w:eastAsia="仿宋_GB2312"/>
          <w:b w:val="0"/>
          <w:bCs w:val="0"/>
          <w:color w:val="000000"/>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宋体" w:hAnsi="宋体" w:eastAsia="仿宋_GB2312" w:cs="仿宋_GB2312"/>
          <w:b w:val="0"/>
          <w:bCs w:val="0"/>
          <w:color w:val="000000"/>
          <w:sz w:val="24"/>
          <w:szCs w:val="24"/>
        </w:rPr>
      </w:pPr>
      <w:r>
        <w:rPr>
          <w:rFonts w:ascii="宋体" w:hAnsi="宋体" w:eastAsia="仿宋_GB2312"/>
          <w:b w:val="0"/>
          <w:bCs w:val="0"/>
          <w:color w:val="000000"/>
          <w:sz w:val="24"/>
          <w:szCs w:val="24"/>
        </w:rPr>
        <w:t>甲方须向乙方支付气瓶押金</w:t>
      </w:r>
      <w:r>
        <w:rPr>
          <w:rFonts w:hint="eastAsia" w:ascii="宋体" w:hAnsi="宋体" w:eastAsia="仿宋_GB2312"/>
          <w:b w:val="0"/>
          <w:bCs w:val="0"/>
          <w:color w:val="000000"/>
          <w:sz w:val="24"/>
          <w:szCs w:val="24"/>
        </w:rPr>
        <w:t>，每瓶</w:t>
      </w:r>
      <w:r>
        <w:rPr>
          <w:rFonts w:hint="eastAsia" w:ascii="宋体" w:hAnsi="宋体" w:eastAsia="仿宋_GB2312"/>
          <w:b w:val="0"/>
          <w:bCs w:val="0"/>
          <w:color w:val="auto"/>
          <w:sz w:val="24"/>
          <w:szCs w:val="24"/>
        </w:rPr>
        <w:t>【</w:t>
      </w:r>
      <w:r>
        <w:rPr>
          <w:rFonts w:hint="eastAsia" w:ascii="宋体" w:hAnsi="宋体" w:eastAsia="仿宋_GB2312"/>
          <w:b w:val="0"/>
          <w:bCs w:val="0"/>
          <w:color w:val="auto"/>
          <w:sz w:val="24"/>
          <w:szCs w:val="24"/>
          <w:lang w:val="en-US" w:eastAsia="zh-CN"/>
        </w:rPr>
        <w:t xml:space="preserve">    </w:t>
      </w:r>
      <w:r>
        <w:rPr>
          <w:rFonts w:hint="eastAsia" w:ascii="宋体" w:hAnsi="宋体" w:eastAsia="仿宋_GB2312"/>
          <w:b w:val="0"/>
          <w:bCs w:val="0"/>
          <w:color w:val="auto"/>
          <w:sz w:val="24"/>
          <w:szCs w:val="24"/>
        </w:rPr>
        <w:t>】</w:t>
      </w:r>
      <w:r>
        <w:rPr>
          <w:rFonts w:hint="eastAsia" w:ascii="宋体" w:hAnsi="宋体" w:eastAsia="仿宋_GB2312"/>
          <w:b w:val="0"/>
          <w:bCs w:val="0"/>
          <w:color w:val="000000"/>
          <w:sz w:val="24"/>
          <w:szCs w:val="24"/>
        </w:rPr>
        <w:t>元。乙方为甲方免费办理购气卡，并实行信息化管理；</w:t>
      </w:r>
      <w:r>
        <w:rPr>
          <w:rFonts w:ascii="宋体" w:hAnsi="宋体" w:eastAsia="仿宋_GB2312"/>
          <w:b w:val="0"/>
          <w:bCs w:val="0"/>
          <w:color w:val="000000"/>
          <w:sz w:val="24"/>
          <w:szCs w:val="24"/>
        </w:rPr>
        <w:t>甲方</w:t>
      </w:r>
      <w:r>
        <w:rPr>
          <w:rFonts w:hint="eastAsia" w:ascii="宋体" w:hAnsi="宋体" w:eastAsia="仿宋_GB2312"/>
          <w:b w:val="0"/>
          <w:bCs w:val="0"/>
          <w:color w:val="000000"/>
          <w:sz w:val="24"/>
          <w:szCs w:val="24"/>
        </w:rPr>
        <w:t>不再用</w:t>
      </w:r>
      <w:r>
        <w:rPr>
          <w:rFonts w:ascii="宋体" w:hAnsi="宋体" w:eastAsia="仿宋_GB2312"/>
          <w:b w:val="0"/>
          <w:bCs w:val="0"/>
          <w:color w:val="000000"/>
          <w:sz w:val="24"/>
          <w:szCs w:val="24"/>
        </w:rPr>
        <w:t>气</w:t>
      </w:r>
      <w:r>
        <w:rPr>
          <w:rFonts w:hint="eastAsia" w:ascii="宋体" w:hAnsi="宋体" w:eastAsia="仿宋_GB2312"/>
          <w:b w:val="0"/>
          <w:bCs w:val="0"/>
          <w:color w:val="000000"/>
          <w:sz w:val="24"/>
          <w:szCs w:val="24"/>
        </w:rPr>
        <w:t>时</w:t>
      </w:r>
      <w:r>
        <w:rPr>
          <w:rFonts w:ascii="宋体" w:hAnsi="宋体" w:eastAsia="仿宋_GB2312"/>
          <w:b w:val="0"/>
          <w:bCs w:val="0"/>
          <w:color w:val="000000"/>
          <w:sz w:val="24"/>
          <w:szCs w:val="24"/>
        </w:rPr>
        <w:t>，应携带</w:t>
      </w:r>
      <w:r>
        <w:rPr>
          <w:rFonts w:hint="eastAsia" w:ascii="宋体" w:hAnsi="宋体" w:eastAsia="仿宋_GB2312"/>
          <w:b w:val="0"/>
          <w:bCs w:val="0"/>
          <w:color w:val="000000"/>
          <w:sz w:val="24"/>
          <w:szCs w:val="24"/>
        </w:rPr>
        <w:t>气</w:t>
      </w:r>
      <w:r>
        <w:rPr>
          <w:rFonts w:ascii="宋体" w:hAnsi="宋体" w:eastAsia="仿宋_GB2312"/>
          <w:b w:val="0"/>
          <w:bCs w:val="0"/>
          <w:color w:val="000000"/>
          <w:sz w:val="24"/>
          <w:szCs w:val="24"/>
        </w:rPr>
        <w:t>瓶、购气卡</w:t>
      </w:r>
      <w:r>
        <w:rPr>
          <w:rFonts w:hint="eastAsia" w:ascii="宋体" w:hAnsi="宋体" w:eastAsia="仿宋_GB2312"/>
          <w:b w:val="0"/>
          <w:bCs w:val="0"/>
          <w:color w:val="000000"/>
          <w:sz w:val="24"/>
          <w:szCs w:val="24"/>
        </w:rPr>
        <w:t>、本合同原件</w:t>
      </w:r>
      <w:r>
        <w:rPr>
          <w:rFonts w:hint="eastAsia" w:ascii="宋体" w:hAnsi="宋体" w:eastAsia="仿宋_GB2312"/>
          <w:b w:val="0"/>
          <w:bCs w:val="0"/>
          <w:sz w:val="24"/>
          <w:szCs w:val="24"/>
        </w:rPr>
        <w:t>和</w:t>
      </w:r>
      <w:r>
        <w:rPr>
          <w:rFonts w:ascii="宋体" w:hAnsi="宋体" w:eastAsia="仿宋_GB2312"/>
          <w:b w:val="0"/>
          <w:bCs w:val="0"/>
          <w:sz w:val="24"/>
          <w:szCs w:val="24"/>
        </w:rPr>
        <w:t>气瓶押金凭证</w:t>
      </w:r>
      <w:r>
        <w:rPr>
          <w:rFonts w:ascii="宋体" w:hAnsi="宋体" w:eastAsia="仿宋_GB2312"/>
          <w:b w:val="0"/>
          <w:bCs w:val="0"/>
          <w:color w:val="000000"/>
          <w:sz w:val="24"/>
          <w:szCs w:val="24"/>
        </w:rPr>
        <w:t>，</w:t>
      </w:r>
      <w:r>
        <w:rPr>
          <w:rFonts w:hint="eastAsia" w:ascii="宋体" w:hAnsi="宋体" w:eastAsia="仿宋_GB2312"/>
          <w:b w:val="0"/>
          <w:bCs w:val="0"/>
          <w:color w:val="000000"/>
          <w:sz w:val="24"/>
          <w:szCs w:val="24"/>
        </w:rPr>
        <w:t>到乙方供气站点</w:t>
      </w:r>
      <w:r>
        <w:rPr>
          <w:rFonts w:ascii="宋体" w:hAnsi="宋体" w:eastAsia="仿宋_GB2312"/>
          <w:b w:val="0"/>
          <w:bCs w:val="0"/>
          <w:color w:val="000000"/>
          <w:sz w:val="24"/>
          <w:szCs w:val="24"/>
        </w:rPr>
        <w:t>办理</w:t>
      </w:r>
      <w:r>
        <w:rPr>
          <w:rFonts w:hint="eastAsia" w:ascii="宋体" w:hAnsi="宋体" w:eastAsia="仿宋_GB2312"/>
          <w:b w:val="0"/>
          <w:bCs w:val="0"/>
          <w:color w:val="000000"/>
          <w:sz w:val="24"/>
          <w:szCs w:val="24"/>
        </w:rPr>
        <w:t>销户手续，乙方</w:t>
      </w:r>
      <w:r>
        <w:rPr>
          <w:rFonts w:ascii="宋体" w:hAnsi="宋体" w:eastAsia="仿宋_GB2312"/>
          <w:b w:val="0"/>
          <w:bCs w:val="0"/>
          <w:color w:val="000000"/>
          <w:sz w:val="24"/>
          <w:szCs w:val="24"/>
        </w:rPr>
        <w:t>退还</w:t>
      </w:r>
      <w:r>
        <w:rPr>
          <w:rFonts w:hint="eastAsia" w:ascii="宋体" w:hAnsi="宋体" w:eastAsia="仿宋_GB2312"/>
          <w:b w:val="0"/>
          <w:bCs w:val="0"/>
          <w:color w:val="000000"/>
          <w:sz w:val="24"/>
          <w:szCs w:val="24"/>
        </w:rPr>
        <w:t>气瓶</w:t>
      </w:r>
      <w:r>
        <w:rPr>
          <w:rFonts w:ascii="宋体" w:hAnsi="宋体" w:eastAsia="仿宋_GB2312"/>
          <w:b w:val="0"/>
          <w:bCs w:val="0"/>
          <w:color w:val="000000"/>
          <w:sz w:val="24"/>
          <w:szCs w:val="24"/>
        </w:rPr>
        <w:t>押金</w:t>
      </w:r>
      <w:r>
        <w:rPr>
          <w:rFonts w:hint="eastAsia" w:ascii="宋体" w:hAnsi="宋体" w:eastAsia="仿宋_GB2312"/>
          <w:b w:val="0"/>
          <w:bCs w:val="0"/>
          <w:color w:val="000000"/>
          <w:sz w:val="24"/>
          <w:szCs w:val="24"/>
        </w:rPr>
        <w:t>。甲方丢失购气卡后缴纳工本费</w:t>
      </w:r>
      <w:r>
        <w:rPr>
          <w:rFonts w:hint="eastAsia" w:ascii="宋体" w:hAnsi="宋体" w:eastAsia="仿宋_GB2312"/>
          <w:b w:val="0"/>
          <w:bCs w:val="0"/>
          <w:color w:val="auto"/>
          <w:sz w:val="24"/>
          <w:szCs w:val="24"/>
        </w:rPr>
        <w:t>【</w:t>
      </w:r>
      <w:r>
        <w:rPr>
          <w:rFonts w:hint="eastAsia" w:ascii="宋体" w:hAnsi="宋体" w:eastAsia="仿宋_GB2312"/>
          <w:b w:val="0"/>
          <w:bCs w:val="0"/>
          <w:color w:val="auto"/>
          <w:sz w:val="24"/>
          <w:szCs w:val="24"/>
          <w:lang w:val="en-US" w:eastAsia="zh-CN"/>
        </w:rPr>
        <w:t xml:space="preserve">    </w:t>
      </w:r>
      <w:r>
        <w:rPr>
          <w:rFonts w:hint="eastAsia" w:ascii="宋体" w:hAnsi="宋体" w:eastAsia="仿宋_GB2312"/>
          <w:b w:val="0"/>
          <w:bCs w:val="0"/>
          <w:color w:val="auto"/>
          <w:sz w:val="24"/>
          <w:szCs w:val="24"/>
        </w:rPr>
        <w:t>】</w:t>
      </w:r>
      <w:r>
        <w:rPr>
          <w:rFonts w:hint="eastAsia" w:ascii="宋体" w:hAnsi="宋体" w:eastAsia="仿宋_GB2312"/>
          <w:b w:val="0"/>
          <w:bCs w:val="0"/>
          <w:color w:val="000000"/>
          <w:sz w:val="24"/>
          <w:szCs w:val="24"/>
        </w:rPr>
        <w:t>元，乙方予以补办。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宋体" w:hAnsi="宋体" w:eastAsia="黑体" w:cs="黑体"/>
          <w:b w:val="0"/>
          <w:bCs w:val="0"/>
          <w:color w:val="000000"/>
          <w:sz w:val="24"/>
          <w:szCs w:val="24"/>
        </w:rPr>
      </w:pPr>
      <w:r>
        <w:rPr>
          <w:rFonts w:hint="eastAsia" w:ascii="宋体" w:hAnsi="宋体" w:eastAsia="黑体" w:cs="黑体"/>
          <w:b w:val="0"/>
          <w:bCs w:val="0"/>
          <w:color w:val="000000"/>
          <w:sz w:val="24"/>
          <w:szCs w:val="24"/>
        </w:rPr>
        <w:t>第四条  气体质量、供气价格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宋体" w:hAnsi="宋体" w:eastAsia="仿宋_GB2312"/>
          <w:b w:val="0"/>
          <w:bCs w:val="0"/>
          <w:color w:val="000000"/>
          <w:sz w:val="24"/>
          <w:szCs w:val="24"/>
        </w:rPr>
      </w:pPr>
      <w:r>
        <w:rPr>
          <w:rFonts w:hint="eastAsia" w:ascii="宋体" w:hAnsi="宋体" w:eastAsia="仿宋_GB2312"/>
          <w:b w:val="0"/>
          <w:bCs w:val="0"/>
          <w:color w:val="000000"/>
          <w:sz w:val="24"/>
          <w:szCs w:val="24"/>
        </w:rPr>
        <w:t>1.气体质量</w:t>
      </w:r>
      <w:r>
        <w:rPr>
          <w:rFonts w:hint="eastAsia" w:ascii="宋体" w:hAnsi="宋体" w:eastAsia="仿宋_GB2312"/>
          <w:b w:val="0"/>
          <w:bCs w:val="0"/>
          <w:color w:val="000000"/>
          <w:sz w:val="24"/>
          <w:szCs w:val="24"/>
          <w:lang w:val="en-US" w:eastAsia="zh-CN"/>
        </w:rPr>
        <w:t xml:space="preserve">  </w:t>
      </w:r>
      <w:r>
        <w:rPr>
          <w:rFonts w:hint="eastAsia" w:ascii="宋体" w:hAnsi="宋体" w:eastAsia="仿宋_GB2312"/>
          <w:b w:val="0"/>
          <w:bCs w:val="0"/>
          <w:color w:val="000000"/>
          <w:sz w:val="24"/>
          <w:szCs w:val="24"/>
        </w:rPr>
        <w:t>乙方供应的液化石油气组分、热值和充装量须符合国家和本市相关标准要求。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宋体" w:hAnsi="宋体" w:eastAsia="仿宋_GB2312"/>
          <w:b w:val="0"/>
          <w:bCs w:val="0"/>
          <w:color w:val="000000"/>
          <w:sz w:val="24"/>
          <w:szCs w:val="24"/>
        </w:rPr>
      </w:pPr>
      <w:r>
        <w:rPr>
          <w:rFonts w:hint="eastAsia" w:ascii="宋体" w:hAnsi="宋体" w:eastAsia="仿宋_GB2312"/>
          <w:b w:val="0"/>
          <w:bCs w:val="0"/>
          <w:color w:val="000000"/>
          <w:sz w:val="24"/>
          <w:szCs w:val="24"/>
        </w:rPr>
        <w:t>2.本合同签订时供气价格为</w:t>
      </w:r>
      <w:r>
        <w:rPr>
          <w:rFonts w:hint="eastAsia" w:ascii="宋体" w:hAnsi="宋体" w:eastAsia="仿宋_GB2312"/>
          <w:b w:val="0"/>
          <w:bCs w:val="0"/>
          <w:color w:val="000000"/>
          <w:sz w:val="24"/>
          <w:szCs w:val="24"/>
          <w:u w:val="single"/>
        </w:rPr>
        <w:t xml:space="preserve">       </w:t>
      </w:r>
      <w:r>
        <w:rPr>
          <w:rFonts w:hint="eastAsia" w:ascii="宋体" w:hAnsi="宋体" w:eastAsia="仿宋_GB2312"/>
          <w:b w:val="0"/>
          <w:bCs w:val="0"/>
          <w:color w:val="000000"/>
          <w:sz w:val="24"/>
          <w:szCs w:val="24"/>
        </w:rPr>
        <w:t>元、</w:t>
      </w:r>
      <w:r>
        <w:rPr>
          <w:rFonts w:hint="eastAsia" w:ascii="宋体" w:hAnsi="宋体" w:eastAsia="仿宋_GB2312"/>
          <w:b w:val="0"/>
          <w:bCs w:val="0"/>
          <w:color w:val="000000"/>
          <w:sz w:val="24"/>
          <w:szCs w:val="24"/>
          <w:u w:val="single"/>
        </w:rPr>
        <w:t xml:space="preserve">       </w:t>
      </w:r>
      <w:r>
        <w:rPr>
          <w:rFonts w:hint="eastAsia" w:ascii="宋体" w:hAnsi="宋体" w:eastAsia="仿宋_GB2312"/>
          <w:b w:val="0"/>
          <w:bCs w:val="0"/>
          <w:color w:val="000000"/>
          <w:sz w:val="24"/>
          <w:szCs w:val="24"/>
        </w:rPr>
        <w:t>元、</w:t>
      </w:r>
      <w:r>
        <w:rPr>
          <w:rFonts w:hint="eastAsia" w:ascii="宋体" w:hAnsi="宋体" w:eastAsia="仿宋_GB2312"/>
          <w:b w:val="0"/>
          <w:bCs w:val="0"/>
          <w:color w:val="000000"/>
          <w:sz w:val="24"/>
          <w:szCs w:val="24"/>
          <w:u w:val="single"/>
        </w:rPr>
        <w:t xml:space="preserve">       </w:t>
      </w:r>
      <w:r>
        <w:rPr>
          <w:rFonts w:hint="eastAsia" w:ascii="宋体" w:hAnsi="宋体" w:eastAsia="仿宋_GB2312"/>
          <w:b w:val="0"/>
          <w:bCs w:val="0"/>
          <w:color w:val="000000"/>
          <w:sz w:val="24"/>
          <w:szCs w:val="24"/>
        </w:rPr>
        <w:t>元，遇本市政策调整，按调整后政策执行。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宋体" w:hAnsi="宋体" w:eastAsia="黑体" w:cs="黑体"/>
          <w:b w:val="0"/>
          <w:bCs w:val="0"/>
          <w:color w:val="000000"/>
          <w:sz w:val="24"/>
          <w:szCs w:val="24"/>
        </w:rPr>
      </w:pPr>
      <w:r>
        <w:rPr>
          <w:rFonts w:hint="eastAsia" w:ascii="宋体" w:hAnsi="宋体" w:eastAsia="黑体" w:cs="黑体"/>
          <w:b w:val="0"/>
          <w:bCs w:val="0"/>
          <w:color w:val="000000"/>
          <w:sz w:val="24"/>
          <w:szCs w:val="24"/>
        </w:rPr>
        <w:t>第五条  户内燃气安全防护装置安装情况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宋体" w:hAnsi="宋体" w:eastAsia="仿宋_GB2312" w:cs="仿宋_GB2312"/>
          <w:b w:val="0"/>
          <w:bCs w:val="0"/>
          <w:color w:val="000000"/>
          <w:sz w:val="24"/>
          <w:szCs w:val="24"/>
        </w:rPr>
      </w:pPr>
      <w:r>
        <w:rPr>
          <w:rFonts w:hint="eastAsia" w:ascii="宋体" w:hAnsi="宋体" w:eastAsia="仿宋_GB2312" w:cs="仿宋_GB2312"/>
          <w:b w:val="0"/>
          <w:bCs w:val="0"/>
          <w:color w:val="000000"/>
          <w:sz w:val="24"/>
          <w:szCs w:val="24"/>
        </w:rPr>
        <w:t xml:space="preserve">□液化气泄漏报警器      □安全型气瓶调压器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textAlignment w:val="auto"/>
        <w:outlineLvl w:val="9"/>
        <w:rPr>
          <w:rFonts w:ascii="宋体" w:hAnsi="宋体" w:eastAsia="仿宋_GB2312"/>
          <w:b w:val="0"/>
          <w:bCs w:val="0"/>
          <w:color w:val="000000"/>
          <w:sz w:val="24"/>
          <w:szCs w:val="24"/>
        </w:rPr>
      </w:pPr>
      <w:r>
        <w:rPr>
          <w:rFonts w:hint="eastAsia" w:ascii="宋体" w:hAnsi="宋体" w:eastAsia="仿宋_GB2312" w:cs="仿宋_GB2312"/>
          <w:b w:val="0"/>
          <w:bCs w:val="0"/>
          <w:color w:val="000000"/>
          <w:sz w:val="24"/>
          <w:szCs w:val="24"/>
        </w:rPr>
        <w:t>□长寿命灶具连接管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70" w:firstLineChars="196"/>
        <w:textAlignment w:val="auto"/>
        <w:outlineLvl w:val="9"/>
        <w:rPr>
          <w:rFonts w:ascii="宋体" w:hAnsi="宋体" w:eastAsia="黑体" w:cs="黑体"/>
          <w:b w:val="0"/>
          <w:bCs w:val="0"/>
          <w:color w:val="000000"/>
          <w:sz w:val="24"/>
          <w:szCs w:val="24"/>
        </w:rPr>
      </w:pPr>
      <w:r>
        <w:rPr>
          <w:rFonts w:hint="eastAsia" w:ascii="宋体" w:hAnsi="宋体" w:eastAsia="黑体" w:cs="黑体"/>
          <w:b w:val="0"/>
          <w:bCs w:val="0"/>
          <w:color w:val="000000"/>
          <w:sz w:val="24"/>
          <w:szCs w:val="24"/>
        </w:rPr>
        <w:t xml:space="preserve">第六条  其他约定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宋体" w:hAnsi="宋体" w:eastAsia="仿宋_GB2312"/>
          <w:b w:val="0"/>
          <w:bCs w:val="0"/>
          <w:color w:val="000000"/>
          <w:sz w:val="24"/>
          <w:szCs w:val="24"/>
        </w:rPr>
      </w:pPr>
      <w:r>
        <w:rPr>
          <w:rFonts w:hint="eastAsia" w:ascii="宋体" w:hAnsi="宋体" w:eastAsia="仿宋_GB2312"/>
          <w:b w:val="0"/>
          <w:bCs w:val="0"/>
          <w:color w:val="000000"/>
          <w:sz w:val="24"/>
          <w:szCs w:val="24"/>
        </w:rPr>
        <w:t>1.本合同一式两份，甲乙双方各执一份，自甲方签字及乙方加盖公章之日起长期有效。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ascii="宋体" w:hAnsi="宋体" w:eastAsia="仿宋_GB2312"/>
          <w:b w:val="0"/>
          <w:bCs w:val="0"/>
          <w:color w:val="000000"/>
          <w:sz w:val="24"/>
          <w:szCs w:val="24"/>
        </w:rPr>
      </w:pPr>
      <w:r>
        <w:rPr>
          <w:rFonts w:hint="eastAsia" w:ascii="宋体" w:hAnsi="宋体" w:eastAsia="仿宋_GB2312"/>
          <w:b w:val="0"/>
          <w:bCs w:val="0"/>
          <w:color w:val="000000"/>
          <w:sz w:val="24"/>
          <w:szCs w:val="24"/>
        </w:rPr>
        <w:t>2.本合同项下发生的争议，由双方协商解决，也可以向属地消费者协会或其他人民调解组织申请调解；协商不成的，向</w:t>
      </w:r>
      <w:r>
        <w:rPr>
          <w:rFonts w:hint="eastAsia" w:ascii="宋体" w:hAnsi="宋体" w:eastAsia="仿宋_GB2312"/>
          <w:b w:val="0"/>
          <w:bCs w:val="0"/>
          <w:color w:val="000000"/>
          <w:sz w:val="24"/>
          <w:szCs w:val="24"/>
          <w:u w:val="single"/>
        </w:rPr>
        <w:t xml:space="preserve">       </w:t>
      </w:r>
      <w:r>
        <w:rPr>
          <w:rFonts w:hint="eastAsia" w:ascii="宋体" w:hAnsi="宋体" w:eastAsia="仿宋_GB2312"/>
          <w:b w:val="0"/>
          <w:bCs w:val="0"/>
          <w:color w:val="000000"/>
          <w:sz w:val="24"/>
          <w:szCs w:val="24"/>
        </w:rPr>
        <w:t>人民法院提起诉讼或根据双方另行达成的仲裁协议申请仲裁。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仿宋_GB2312"/>
          <w:b w:val="0"/>
          <w:bCs w:val="0"/>
          <w:color w:val="000000"/>
          <w:sz w:val="24"/>
          <w:szCs w:val="24"/>
          <w:u w:val="wav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2" w:firstLineChars="200"/>
        <w:jc w:val="left"/>
        <w:textAlignment w:val="auto"/>
        <w:outlineLvl w:val="9"/>
        <w:rPr>
          <w:rFonts w:ascii="宋体" w:hAnsi="宋体" w:eastAsia="仿宋_GB2312"/>
          <w:b w:val="0"/>
          <w:bCs w:val="0"/>
          <w:color w:val="000000"/>
          <w:sz w:val="24"/>
          <w:szCs w:val="24"/>
          <w:u w:val="wave"/>
        </w:rPr>
      </w:pPr>
      <w:r>
        <w:rPr>
          <w:rFonts w:hint="eastAsia" w:ascii="宋体" w:hAnsi="宋体" w:eastAsia="仿宋_GB2312"/>
          <w:b/>
          <w:bCs/>
          <w:color w:val="000000"/>
          <w:sz w:val="24"/>
          <w:szCs w:val="24"/>
          <w:u w:val="wave"/>
        </w:rPr>
        <w:t>请用气人仔细阅读通用条款及供气人提供的安全用气须知，再行签署本合同。</w:t>
      </w:r>
    </w:p>
    <w:p>
      <w:pPr>
        <w:keepNext w:val="0"/>
        <w:keepLines w:val="0"/>
        <w:pageBreakBefore w:val="0"/>
        <w:widowControl/>
        <w:kinsoku/>
        <w:wordWrap/>
        <w:overflowPunct/>
        <w:topLinePunct w:val="0"/>
        <w:autoSpaceDE/>
        <w:autoSpaceDN/>
        <w:bidi w:val="0"/>
        <w:snapToGrid/>
        <w:spacing w:line="240" w:lineRule="auto"/>
        <w:ind w:left="0" w:leftChars="0" w:right="0" w:rightChars="0"/>
        <w:textAlignment w:val="auto"/>
        <w:outlineLvl w:val="9"/>
        <w:rPr>
          <w:rFonts w:hint="eastAsia" w:ascii="宋体" w:hAnsi="宋体" w:eastAsia="仿宋_GB2312"/>
          <w:b w:val="0"/>
          <w:bCs w:val="0"/>
          <w:color w:val="000000"/>
          <w:sz w:val="24"/>
          <w:szCs w:val="24"/>
        </w:rPr>
      </w:pPr>
    </w:p>
    <w:p>
      <w:pPr>
        <w:keepNext w:val="0"/>
        <w:keepLines w:val="0"/>
        <w:pageBreakBefore w:val="0"/>
        <w:widowControl/>
        <w:kinsoku/>
        <w:wordWrap/>
        <w:overflowPunct/>
        <w:topLinePunct w:val="0"/>
        <w:autoSpaceDE/>
        <w:autoSpaceDN/>
        <w:bidi w:val="0"/>
        <w:snapToGrid/>
        <w:spacing w:line="240" w:lineRule="auto"/>
        <w:ind w:left="0" w:leftChars="0" w:right="0" w:rightChars="0"/>
        <w:textAlignment w:val="auto"/>
        <w:outlineLvl w:val="9"/>
        <w:rPr>
          <w:rFonts w:hint="eastAsia" w:ascii="宋体" w:hAnsi="宋体" w:eastAsia="仿宋_GB2312"/>
          <w:b w:val="0"/>
          <w:bCs w:val="0"/>
          <w:color w:val="000000"/>
          <w:sz w:val="24"/>
          <w:szCs w:val="24"/>
          <w:lang w:val="en-US" w:eastAsia="zh-CN"/>
        </w:rPr>
      </w:pPr>
      <w:r>
        <w:rPr>
          <w:rFonts w:hint="eastAsia" w:ascii="宋体" w:hAnsi="宋体" w:eastAsia="仿宋_GB2312"/>
          <w:b w:val="0"/>
          <w:bCs w:val="0"/>
          <w:color w:val="000000"/>
          <w:sz w:val="24"/>
          <w:szCs w:val="24"/>
          <w:lang w:val="en-US" w:eastAsia="zh-CN"/>
        </w:rPr>
        <w:t>用气人（甲方）：                   供气人（乙方盖章）：</w:t>
      </w:r>
    </w:p>
    <w:p>
      <w:pPr>
        <w:keepNext w:val="0"/>
        <w:keepLines w:val="0"/>
        <w:pageBreakBefore w:val="0"/>
        <w:widowControl/>
        <w:kinsoku/>
        <w:wordWrap/>
        <w:overflowPunct/>
        <w:topLinePunct w:val="0"/>
        <w:autoSpaceDE/>
        <w:autoSpaceDN/>
        <w:bidi w:val="0"/>
        <w:snapToGrid/>
        <w:spacing w:line="240" w:lineRule="auto"/>
        <w:ind w:left="0" w:leftChars="0" w:right="0" w:rightChars="0"/>
        <w:textAlignment w:val="auto"/>
        <w:outlineLvl w:val="9"/>
        <w:rPr>
          <w:rFonts w:hint="eastAsia" w:ascii="宋体" w:hAnsi="宋体" w:eastAsia="仿宋_GB2312"/>
          <w:b w:val="0"/>
          <w:bCs w:val="0"/>
          <w:color w:val="000000"/>
          <w:sz w:val="24"/>
          <w:szCs w:val="24"/>
          <w:lang w:val="en-US" w:eastAsia="zh-CN"/>
        </w:rPr>
      </w:pPr>
    </w:p>
    <w:tbl>
      <w:tblPr>
        <w:tblStyle w:val="6"/>
        <w:tblW w:w="10080" w:type="dxa"/>
        <w:jc w:val="center"/>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5040"/>
        <w:gridCol w:w="504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24" w:hRule="atLeast"/>
          <w:jc w:val="center"/>
        </w:trPr>
        <w:tc>
          <w:tcPr>
            <w:tcW w:w="5040" w:type="dxa"/>
            <w:tcBorders>
              <w:tl2br w:val="nil"/>
              <w:tr2bl w:val="nil"/>
            </w:tcBorders>
            <w:vAlign w:val="top"/>
          </w:tcPr>
          <w:p>
            <w:pPr>
              <w:keepNext w:val="0"/>
              <w:keepLines w:val="0"/>
              <w:pageBreakBefore w:val="0"/>
              <w:widowControl/>
              <w:kinsoku/>
              <w:wordWrap/>
              <w:overflowPunct/>
              <w:topLinePunct w:val="0"/>
              <w:autoSpaceDE/>
              <w:autoSpaceDN/>
              <w:bidi w:val="0"/>
              <w:snapToGrid/>
              <w:spacing w:line="240" w:lineRule="auto"/>
              <w:ind w:left="0" w:leftChars="0" w:right="0" w:rightChars="0"/>
              <w:textAlignment w:val="auto"/>
              <w:outlineLvl w:val="9"/>
              <w:rPr>
                <w:rFonts w:hint="eastAsia" w:ascii="宋体" w:hAnsi="宋体" w:eastAsia="仿宋_GB2312"/>
                <w:b w:val="0"/>
                <w:bCs w:val="0"/>
                <w:color w:val="000000"/>
                <w:sz w:val="24"/>
                <w:szCs w:val="24"/>
                <w:lang w:val="en-US" w:eastAsia="zh-CN"/>
              </w:rPr>
            </w:pPr>
            <w:r>
              <w:rPr>
                <w:rFonts w:hint="eastAsia" w:ascii="宋体" w:hAnsi="宋体" w:eastAsia="仿宋_GB2312"/>
                <w:b w:val="0"/>
                <w:bCs w:val="0"/>
                <w:color w:val="000000"/>
                <w:sz w:val="24"/>
                <w:szCs w:val="24"/>
                <w:lang w:val="en-US" w:eastAsia="zh-CN"/>
              </w:rPr>
              <w:t xml:space="preserve">公民身份号码：  </w:t>
            </w:r>
          </w:p>
        </w:tc>
        <w:tc>
          <w:tcPr>
            <w:tcW w:w="5040" w:type="dxa"/>
            <w:tcBorders>
              <w:tl2br w:val="nil"/>
              <w:tr2bl w:val="nil"/>
            </w:tcBorders>
            <w:vAlign w:val="top"/>
          </w:tcPr>
          <w:p>
            <w:pPr>
              <w:keepNext w:val="0"/>
              <w:keepLines w:val="0"/>
              <w:pageBreakBefore w:val="0"/>
              <w:widowControl/>
              <w:kinsoku/>
              <w:wordWrap/>
              <w:overflowPunct/>
              <w:topLinePunct w:val="0"/>
              <w:autoSpaceDE/>
              <w:autoSpaceDN/>
              <w:bidi w:val="0"/>
              <w:snapToGrid/>
              <w:spacing w:line="240" w:lineRule="auto"/>
              <w:ind w:left="0" w:leftChars="0" w:right="0" w:rightChars="0"/>
              <w:textAlignment w:val="auto"/>
              <w:outlineLvl w:val="9"/>
              <w:rPr>
                <w:rFonts w:hint="eastAsia" w:ascii="宋体" w:hAnsi="宋体" w:eastAsia="仿宋_GB2312"/>
                <w:b w:val="0"/>
                <w:bCs w:val="0"/>
                <w:color w:val="000000"/>
                <w:sz w:val="24"/>
                <w:szCs w:val="24"/>
                <w:lang w:val="en-US" w:eastAsia="zh-CN"/>
              </w:rPr>
            </w:pPr>
            <w:r>
              <w:rPr>
                <w:rFonts w:hint="eastAsia" w:ascii="宋体" w:hAnsi="宋体" w:eastAsia="仿宋_GB2312"/>
                <w:b w:val="0"/>
                <w:bCs w:val="0"/>
                <w:color w:val="000000"/>
                <w:sz w:val="24"/>
                <w:szCs w:val="24"/>
                <w:lang w:val="en-US" w:eastAsia="zh-CN"/>
              </w:rPr>
              <w:t>统一社会信用代码：</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24" w:hRule="atLeast"/>
          <w:jc w:val="center"/>
        </w:trPr>
        <w:tc>
          <w:tcPr>
            <w:tcW w:w="5040" w:type="dxa"/>
            <w:tcBorders>
              <w:tl2br w:val="nil"/>
              <w:tr2bl w:val="nil"/>
            </w:tcBorders>
            <w:vAlign w:val="top"/>
          </w:tcPr>
          <w:p>
            <w:pPr>
              <w:keepNext w:val="0"/>
              <w:keepLines w:val="0"/>
              <w:pageBreakBefore w:val="0"/>
              <w:widowControl/>
              <w:kinsoku/>
              <w:wordWrap/>
              <w:overflowPunct/>
              <w:topLinePunct w:val="0"/>
              <w:autoSpaceDE/>
              <w:autoSpaceDN/>
              <w:bidi w:val="0"/>
              <w:snapToGrid/>
              <w:spacing w:line="240" w:lineRule="auto"/>
              <w:ind w:left="0" w:leftChars="0" w:right="0" w:rightChars="0"/>
              <w:textAlignment w:val="auto"/>
              <w:outlineLvl w:val="9"/>
              <w:rPr>
                <w:rFonts w:hint="eastAsia" w:ascii="宋体" w:hAnsi="宋体" w:eastAsia="仿宋_GB2312"/>
                <w:b w:val="0"/>
                <w:bCs w:val="0"/>
                <w:color w:val="000000"/>
                <w:sz w:val="24"/>
                <w:szCs w:val="24"/>
                <w:lang w:val="en-US" w:eastAsia="zh-CN"/>
              </w:rPr>
            </w:pPr>
            <w:r>
              <w:rPr>
                <w:rFonts w:hint="eastAsia" w:ascii="宋体" w:hAnsi="宋体" w:eastAsia="仿宋_GB2312"/>
                <w:b w:val="0"/>
                <w:bCs w:val="0"/>
                <w:color w:val="000000"/>
                <w:sz w:val="24"/>
                <w:szCs w:val="24"/>
                <w:lang w:val="en-US" w:eastAsia="zh-CN"/>
              </w:rPr>
              <w:t>联系电话：</w:t>
            </w:r>
          </w:p>
        </w:tc>
        <w:tc>
          <w:tcPr>
            <w:tcW w:w="5040" w:type="dxa"/>
            <w:tcBorders>
              <w:tl2br w:val="nil"/>
              <w:tr2bl w:val="nil"/>
            </w:tcBorders>
            <w:vAlign w:val="top"/>
          </w:tcPr>
          <w:p>
            <w:pPr>
              <w:keepNext w:val="0"/>
              <w:keepLines w:val="0"/>
              <w:pageBreakBefore w:val="0"/>
              <w:widowControl/>
              <w:kinsoku/>
              <w:wordWrap/>
              <w:overflowPunct/>
              <w:topLinePunct w:val="0"/>
              <w:autoSpaceDE/>
              <w:autoSpaceDN/>
              <w:bidi w:val="0"/>
              <w:snapToGrid/>
              <w:spacing w:line="240" w:lineRule="auto"/>
              <w:ind w:left="0" w:leftChars="0" w:right="0" w:rightChars="0"/>
              <w:textAlignment w:val="auto"/>
              <w:outlineLvl w:val="9"/>
              <w:rPr>
                <w:rFonts w:hint="eastAsia" w:ascii="宋体" w:hAnsi="宋体" w:eastAsia="仿宋_GB2312"/>
                <w:b w:val="0"/>
                <w:bCs w:val="0"/>
                <w:color w:val="000000"/>
                <w:sz w:val="24"/>
                <w:szCs w:val="24"/>
                <w:lang w:val="en-US" w:eastAsia="zh-CN"/>
              </w:rPr>
            </w:pPr>
            <w:r>
              <w:rPr>
                <w:rFonts w:hint="eastAsia" w:ascii="宋体" w:hAnsi="宋体" w:eastAsia="仿宋_GB2312"/>
                <w:b w:val="0"/>
                <w:bCs w:val="0"/>
                <w:color w:val="000000"/>
                <w:sz w:val="24"/>
                <w:szCs w:val="24"/>
                <w:lang w:val="en-US" w:eastAsia="zh-CN"/>
              </w:rPr>
              <w:t>服务电话：</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jc w:val="center"/>
        </w:trPr>
        <w:tc>
          <w:tcPr>
            <w:tcW w:w="5040" w:type="dxa"/>
            <w:tcBorders>
              <w:tl2br w:val="nil"/>
              <w:tr2bl w:val="nil"/>
            </w:tcBorders>
            <w:vAlign w:val="top"/>
          </w:tcPr>
          <w:p>
            <w:pPr>
              <w:keepNext w:val="0"/>
              <w:keepLines w:val="0"/>
              <w:pageBreakBefore w:val="0"/>
              <w:widowControl/>
              <w:kinsoku/>
              <w:wordWrap/>
              <w:overflowPunct/>
              <w:topLinePunct w:val="0"/>
              <w:autoSpaceDE/>
              <w:autoSpaceDN/>
              <w:bidi w:val="0"/>
              <w:snapToGrid/>
              <w:spacing w:line="240" w:lineRule="auto"/>
              <w:ind w:left="0" w:leftChars="0" w:right="0" w:rightChars="0"/>
              <w:textAlignment w:val="auto"/>
              <w:outlineLvl w:val="9"/>
              <w:rPr>
                <w:rFonts w:hint="eastAsia" w:ascii="宋体" w:hAnsi="宋体" w:eastAsia="仿宋_GB2312"/>
                <w:b w:val="0"/>
                <w:bCs w:val="0"/>
                <w:color w:val="000000"/>
                <w:sz w:val="24"/>
                <w:szCs w:val="24"/>
                <w:lang w:val="en-US" w:eastAsia="zh-CN"/>
              </w:rPr>
            </w:pPr>
            <w:r>
              <w:rPr>
                <w:rFonts w:hint="eastAsia" w:ascii="宋体" w:hAnsi="宋体" w:eastAsia="仿宋_GB2312"/>
                <w:b w:val="0"/>
                <w:bCs w:val="0"/>
                <w:color w:val="000000"/>
                <w:sz w:val="24"/>
                <w:szCs w:val="24"/>
                <w:lang w:val="en-US" w:eastAsia="zh-CN"/>
              </w:rPr>
              <w:t>应急联系人姓名及电话：</w:t>
            </w:r>
          </w:p>
        </w:tc>
        <w:tc>
          <w:tcPr>
            <w:tcW w:w="5040" w:type="dxa"/>
            <w:tcBorders>
              <w:tl2br w:val="nil"/>
              <w:tr2bl w:val="nil"/>
            </w:tcBorders>
            <w:vAlign w:val="top"/>
          </w:tcPr>
          <w:p>
            <w:pPr>
              <w:keepNext w:val="0"/>
              <w:keepLines w:val="0"/>
              <w:pageBreakBefore w:val="0"/>
              <w:widowControl/>
              <w:kinsoku/>
              <w:wordWrap/>
              <w:overflowPunct/>
              <w:topLinePunct w:val="0"/>
              <w:autoSpaceDE/>
              <w:autoSpaceDN/>
              <w:bidi w:val="0"/>
              <w:snapToGrid/>
              <w:spacing w:line="240" w:lineRule="auto"/>
              <w:ind w:left="0" w:leftChars="0" w:right="0" w:rightChars="0"/>
              <w:textAlignment w:val="auto"/>
              <w:outlineLvl w:val="9"/>
              <w:rPr>
                <w:rFonts w:hint="eastAsia" w:ascii="宋体" w:hAnsi="宋体" w:eastAsia="仿宋_GB2312"/>
                <w:b w:val="0"/>
                <w:bCs w:val="0"/>
                <w:color w:val="000000"/>
                <w:sz w:val="24"/>
                <w:szCs w:val="24"/>
                <w:lang w:val="en-US" w:eastAsia="zh-CN"/>
              </w:rPr>
            </w:pPr>
            <w:r>
              <w:rPr>
                <w:rFonts w:hint="eastAsia" w:ascii="宋体" w:hAnsi="宋体" w:eastAsia="仿宋_GB2312"/>
                <w:b w:val="0"/>
                <w:bCs w:val="0"/>
                <w:color w:val="000000"/>
                <w:sz w:val="24"/>
                <w:szCs w:val="24"/>
                <w:lang w:val="en-US" w:eastAsia="zh-CN"/>
              </w:rPr>
              <w:t>24小时报修电话：</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jc w:val="center"/>
        </w:trPr>
        <w:tc>
          <w:tcPr>
            <w:tcW w:w="5040" w:type="dxa"/>
            <w:tcBorders>
              <w:tl2br w:val="nil"/>
              <w:tr2bl w:val="nil"/>
            </w:tcBorders>
            <w:vAlign w:val="top"/>
          </w:tcPr>
          <w:p>
            <w:pPr>
              <w:keepNext w:val="0"/>
              <w:keepLines w:val="0"/>
              <w:pageBreakBefore w:val="0"/>
              <w:widowControl/>
              <w:kinsoku/>
              <w:wordWrap/>
              <w:overflowPunct/>
              <w:topLinePunct w:val="0"/>
              <w:autoSpaceDE/>
              <w:autoSpaceDN/>
              <w:bidi w:val="0"/>
              <w:snapToGrid/>
              <w:spacing w:line="240" w:lineRule="auto"/>
              <w:ind w:left="0" w:leftChars="0" w:right="0" w:rightChars="0"/>
              <w:textAlignment w:val="auto"/>
              <w:outlineLvl w:val="9"/>
              <w:rPr>
                <w:rFonts w:hint="eastAsia" w:ascii="宋体" w:hAnsi="宋体" w:eastAsia="仿宋_GB2312"/>
                <w:b w:val="0"/>
                <w:bCs w:val="0"/>
                <w:color w:val="000000"/>
                <w:sz w:val="24"/>
                <w:szCs w:val="24"/>
                <w:lang w:val="en-US" w:eastAsia="zh-CN"/>
              </w:rPr>
            </w:pPr>
            <w:r>
              <w:rPr>
                <w:rFonts w:hint="eastAsia" w:ascii="宋体" w:hAnsi="宋体" w:eastAsia="仿宋_GB2312"/>
                <w:b w:val="0"/>
                <w:bCs w:val="0"/>
                <w:color w:val="000000"/>
                <w:sz w:val="24"/>
                <w:szCs w:val="24"/>
                <w:lang w:val="en-US" w:eastAsia="zh-CN"/>
              </w:rPr>
              <w:t>电子邮件：</w:t>
            </w:r>
          </w:p>
        </w:tc>
        <w:tc>
          <w:tcPr>
            <w:tcW w:w="5040" w:type="dxa"/>
            <w:tcBorders>
              <w:tl2br w:val="nil"/>
              <w:tr2bl w:val="nil"/>
            </w:tcBorders>
            <w:vAlign w:val="top"/>
          </w:tcPr>
          <w:p>
            <w:pPr>
              <w:keepNext w:val="0"/>
              <w:keepLines w:val="0"/>
              <w:pageBreakBefore w:val="0"/>
              <w:widowControl/>
              <w:kinsoku/>
              <w:wordWrap/>
              <w:overflowPunct/>
              <w:topLinePunct w:val="0"/>
              <w:autoSpaceDE/>
              <w:autoSpaceDN/>
              <w:bidi w:val="0"/>
              <w:snapToGrid/>
              <w:spacing w:line="240" w:lineRule="auto"/>
              <w:ind w:left="0" w:leftChars="0" w:right="0" w:rightChars="0"/>
              <w:textAlignment w:val="auto"/>
              <w:outlineLvl w:val="9"/>
              <w:rPr>
                <w:rFonts w:hint="eastAsia" w:ascii="宋体" w:hAnsi="宋体" w:eastAsia="仿宋_GB2312"/>
                <w:b w:val="0"/>
                <w:bCs w:val="0"/>
                <w:color w:val="000000"/>
                <w:sz w:val="24"/>
                <w:szCs w:val="24"/>
                <w:lang w:val="en-US" w:eastAsia="zh-CN"/>
              </w:rPr>
            </w:pPr>
            <w:r>
              <w:rPr>
                <w:rFonts w:hint="eastAsia" w:ascii="宋体" w:hAnsi="宋体" w:eastAsia="仿宋_GB2312"/>
                <w:b w:val="0"/>
                <w:bCs w:val="0"/>
                <w:color w:val="000000"/>
                <w:sz w:val="24"/>
                <w:szCs w:val="24"/>
                <w:lang w:val="en-US" w:eastAsia="zh-CN"/>
              </w:rPr>
              <w:t xml:space="preserve">电子邮件：     </w:t>
            </w:r>
          </w:p>
        </w:tc>
      </w:tr>
    </w:tbl>
    <w:p>
      <w:pPr>
        <w:keepNext w:val="0"/>
        <w:keepLines w:val="0"/>
        <w:pageBreakBefore w:val="0"/>
        <w:widowControl/>
        <w:kinsoku/>
        <w:wordWrap/>
        <w:overflowPunct/>
        <w:topLinePunct w:val="0"/>
        <w:autoSpaceDE/>
        <w:autoSpaceDN/>
        <w:bidi w:val="0"/>
        <w:snapToGrid/>
        <w:spacing w:line="240" w:lineRule="auto"/>
        <w:ind w:left="0" w:leftChars="0" w:right="0" w:rightChars="0"/>
        <w:textAlignment w:val="auto"/>
        <w:outlineLvl w:val="9"/>
        <w:rPr>
          <w:rFonts w:hint="eastAsia"/>
          <w:b w:val="0"/>
          <w:bCs w:val="0"/>
          <w:color w:val="000000"/>
          <w:sz w:val="24"/>
          <w:szCs w:val="24"/>
          <w:lang w:val="en-US" w:eastAsia="zh-CN"/>
        </w:rPr>
      </w:pPr>
      <w:r>
        <w:rPr>
          <w:rFonts w:hint="eastAsia" w:ascii="宋体" w:hAnsi="宋体" w:eastAsia="仿宋_GB2312"/>
          <w:b w:val="0"/>
          <w:bCs w:val="0"/>
          <w:color w:val="000000"/>
          <w:sz w:val="24"/>
          <w:szCs w:val="24"/>
          <w:lang w:val="en-US" w:eastAsia="zh-CN"/>
        </w:rPr>
        <w:t xml:space="preserve">                         </w:t>
      </w:r>
      <w:r>
        <w:rPr>
          <w:rFonts w:hint="eastAsia"/>
          <w:b w:val="0"/>
          <w:bCs w:val="0"/>
          <w:color w:val="000000"/>
          <w:sz w:val="24"/>
          <w:szCs w:val="24"/>
          <w:lang w:val="en-US" w:eastAsia="zh-CN"/>
        </w:rPr>
        <w:t xml:space="preserve">             </w:t>
      </w:r>
    </w:p>
    <w:p>
      <w:pPr>
        <w:keepNext w:val="0"/>
        <w:keepLines w:val="0"/>
        <w:pageBreakBefore w:val="0"/>
        <w:widowControl/>
        <w:kinsoku/>
        <w:wordWrap/>
        <w:overflowPunct/>
        <w:topLinePunct w:val="0"/>
        <w:autoSpaceDE/>
        <w:autoSpaceDN/>
        <w:bidi w:val="0"/>
        <w:snapToGrid/>
        <w:spacing w:line="240" w:lineRule="auto"/>
        <w:ind w:left="0" w:leftChars="0" w:right="0" w:rightChars="0"/>
        <w:textAlignment w:val="auto"/>
        <w:outlineLvl w:val="9"/>
        <w:rPr>
          <w:rFonts w:hint="eastAsia"/>
          <w:b w:val="0"/>
          <w:bCs w:val="0"/>
          <w:color w:val="000000"/>
          <w:sz w:val="24"/>
          <w:szCs w:val="24"/>
          <w:lang w:val="en-US" w:eastAsia="zh-CN"/>
        </w:rPr>
      </w:pPr>
    </w:p>
    <w:p>
      <w:pPr>
        <w:keepNext w:val="0"/>
        <w:keepLines w:val="0"/>
        <w:pageBreakBefore w:val="0"/>
        <w:widowControl/>
        <w:kinsoku/>
        <w:wordWrap/>
        <w:overflowPunct/>
        <w:topLinePunct w:val="0"/>
        <w:autoSpaceDE/>
        <w:autoSpaceDN/>
        <w:bidi w:val="0"/>
        <w:snapToGrid/>
        <w:spacing w:line="240" w:lineRule="auto"/>
        <w:ind w:left="0" w:leftChars="0" w:right="0" w:rightChars="0" w:firstLine="6480" w:firstLineChars="2700"/>
        <w:textAlignment w:val="auto"/>
        <w:outlineLvl w:val="9"/>
        <w:rPr>
          <w:rFonts w:hint="eastAsia" w:ascii="宋体" w:hAnsi="宋体" w:eastAsia="仿宋_GB2312"/>
          <w:b w:val="0"/>
          <w:bCs w:val="0"/>
          <w:color w:val="000000"/>
          <w:sz w:val="24"/>
          <w:szCs w:val="24"/>
          <w:lang w:val="en-US" w:eastAsia="zh-CN"/>
        </w:rPr>
      </w:pPr>
      <w:r>
        <w:rPr>
          <w:rFonts w:hint="eastAsia" w:ascii="宋体" w:hAnsi="宋体" w:eastAsia="仿宋_GB2312"/>
          <w:b w:val="0"/>
          <w:bCs w:val="0"/>
          <w:color w:val="000000"/>
          <w:sz w:val="24"/>
          <w:szCs w:val="24"/>
          <w:lang w:val="en-US" w:eastAsia="zh-CN"/>
        </w:rPr>
        <w:t xml:space="preserve">签订时间：      年   月   日        </w:t>
      </w:r>
    </w:p>
    <w:p>
      <w:pPr>
        <w:keepNext w:val="0"/>
        <w:keepLines w:val="0"/>
        <w:pageBreakBefore w:val="0"/>
        <w:kinsoku/>
        <w:overflowPunct/>
        <w:topLinePunct w:val="0"/>
        <w:autoSpaceDE/>
        <w:autoSpaceDN/>
        <w:bidi w:val="0"/>
        <w:adjustRightInd/>
        <w:snapToGrid/>
        <w:spacing w:line="240" w:lineRule="auto"/>
        <w:ind w:left="0" w:right="0" w:rightChars="0" w:firstLine="480" w:firstLineChars="200"/>
        <w:jc w:val="both"/>
        <w:textAlignment w:val="auto"/>
        <w:outlineLvl w:val="9"/>
        <w:rPr>
          <w:rFonts w:hint="eastAsia" w:ascii="宋体" w:hAnsi="宋体" w:eastAsia="仿宋_GB2312"/>
          <w:b w:val="0"/>
          <w:bCs w:val="0"/>
          <w:sz w:val="24"/>
          <w:szCs w:val="24"/>
          <w:lang w:eastAsia="zh-CN"/>
        </w:rPr>
      </w:pPr>
    </w:p>
    <w:p>
      <w:pPr>
        <w:pStyle w:val="2"/>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p>
    <w:p>
      <w:pPr>
        <w:pStyle w:val="3"/>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p>
    <w:p>
      <w:pPr>
        <w:pStyle w:val="2"/>
        <w:keepNext w:val="0"/>
        <w:keepLines w:val="0"/>
        <w:pageBreakBefore w:val="0"/>
        <w:kinsoku/>
        <w:overflowPunct/>
        <w:topLinePunct w:val="0"/>
        <w:autoSpaceDE/>
        <w:autoSpaceDN/>
        <w:bidi w:val="0"/>
        <w:spacing w:line="240" w:lineRule="auto"/>
        <w:ind w:right="0" w:rightChars="0"/>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方正小标宋简体" w:cs="方正小标宋简体"/>
          <w:b w:val="0"/>
          <w:bCs w:val="0"/>
          <w:sz w:val="36"/>
          <w:szCs w:val="36"/>
          <w:lang w:eastAsia="zh-CN"/>
        </w:rPr>
      </w:pPr>
      <w:r>
        <w:rPr>
          <w:rFonts w:hint="eastAsia" w:ascii="宋体" w:hAnsi="宋体" w:eastAsia="方正小标宋简体" w:cs="方正小标宋简体"/>
          <w:b w:val="0"/>
          <w:bCs w:val="0"/>
          <w:sz w:val="36"/>
          <w:szCs w:val="36"/>
          <w:lang w:eastAsia="zh-CN"/>
        </w:rPr>
        <w:t>通 用 条 款</w:t>
      </w: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黑体" w:cs="黑体"/>
          <w:b w:val="0"/>
          <w:bCs w:val="0"/>
          <w:sz w:val="24"/>
          <w:szCs w:val="24"/>
          <w:lang w:eastAsia="zh-CN"/>
        </w:rPr>
      </w:pPr>
      <w:r>
        <w:rPr>
          <w:rFonts w:hint="eastAsia" w:ascii="宋体" w:hAnsi="宋体" w:eastAsia="黑体" w:cs="黑体"/>
          <w:b w:val="0"/>
          <w:bCs w:val="0"/>
          <w:sz w:val="24"/>
          <w:szCs w:val="24"/>
          <w:lang w:eastAsia="zh-CN"/>
        </w:rPr>
        <w:t>一、安全和服务责任</w:t>
      </w: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1.甲方应了解液化气安全使用常识，对室(户)内用气场所、燃气燃烧器具进行日常检查，配合乙方的入户安全检查，及时整改安全用气隐患。</w:t>
      </w:r>
      <w:bookmarkStart w:id="0" w:name="_GoBack"/>
      <w:bookmarkEnd w:id="0"/>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2.甲方发现室（户）内燃气泄漏等故障时先关闭气瓶角阀，并向乙方报修；乙方提供24小时应急服务。</w:t>
      </w: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3.甲方购气时，可以自行运送或者由乙方直接配送，乙方应每</w:t>
      </w:r>
      <w:r>
        <w:rPr>
          <w:rFonts w:hint="eastAsia"/>
          <w:b w:val="0"/>
          <w:bCs w:val="0"/>
          <w:sz w:val="24"/>
          <w:szCs w:val="24"/>
          <w:highlight w:val="none"/>
          <w:lang w:eastAsia="zh-CN"/>
        </w:rPr>
        <w:t>年</w:t>
      </w:r>
      <w:r>
        <w:rPr>
          <w:rFonts w:hint="eastAsia" w:ascii="宋体" w:hAnsi="宋体" w:eastAsia="仿宋_GB2312"/>
          <w:b w:val="0"/>
          <w:bCs w:val="0"/>
          <w:sz w:val="24"/>
          <w:szCs w:val="24"/>
          <w:lang w:eastAsia="zh-CN"/>
        </w:rPr>
        <w:t>对甲方室（户）内用气场所、燃气燃烧器具进行免费入户安全检查；选择直接配送方式的，乙方应当于每次配送上门时对居民用户的用气场所、燃气燃烧器具进行安全检查。</w:t>
      </w: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4.甲方至乙方换气或由乙方直接配送上门时，乙方应向甲方发放安全用气须知。</w:t>
      </w: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5.因甲方原因导致气瓶毁损、丢失的，乙方扣减气瓶押金；甲方需要继续用气的，须补足气瓶押金，乙方提供合格气瓶。</w:t>
      </w: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6.甲方使用的气瓶在检验周期、报废期限到期前三十日的，乙方应通知甲方将气瓶送交乙方。</w:t>
      </w: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7.乙方提供24小时售气服务，在售气网点和营业场所等主动向甲方公示服务质量承诺和相关收费标准。</w:t>
      </w: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8.甲方至乙方购气时，乙方应登记甲方实际购气人的身份信息；乙方为甲方配送上门时，乙方应登记甲方气瓶接收人的身份信息，并实行信息化管理。</w:t>
      </w: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9.乙方发现甲方用气场所、燃气燃烧器具等存在安全隐患的，应书面告知整改建议，并应甲方要求提供相应的整改服务，甲方承担相应费用。</w:t>
      </w: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10.乙方可为甲方提供代办液化气综合保险业务。</w:t>
      </w: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11.甲方禁止实施下列行为：</w:t>
      </w: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（1）利用气瓶倒装燃气，摔、砸、滚动、倒置气瓶，加热气瓶、倾倒瓶内残液或者拆修瓶阀等附件；</w:t>
      </w: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（2）发现燃气设施或者燃气燃烧器具异常、燃气泄漏时，在现场使用明火、开关电器或者拨打电话；</w:t>
      </w: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（3）无正当理由拒绝入户安全检查，或者拒不整改用气安全隐患；</w:t>
      </w: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（4）安装、使用不带熄火保护功能或使用期限超过8年的燃气燃烧器具；</w:t>
      </w: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（5）严禁在同一房间内同时使用液化气和其他明火（如煤火、柴火等）；</w:t>
      </w: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（6）禁止在地下、半地下空间内和有人员居住的房间内使用液化石油气。</w:t>
      </w: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黑体" w:cs="黑体"/>
          <w:b w:val="0"/>
          <w:bCs w:val="0"/>
          <w:sz w:val="24"/>
          <w:szCs w:val="24"/>
          <w:lang w:eastAsia="zh-CN"/>
        </w:rPr>
      </w:pPr>
      <w:r>
        <w:rPr>
          <w:rFonts w:hint="eastAsia" w:ascii="宋体" w:hAnsi="宋体" w:eastAsia="黑体" w:cs="黑体"/>
          <w:b w:val="0"/>
          <w:bCs w:val="0"/>
          <w:sz w:val="24"/>
          <w:szCs w:val="24"/>
          <w:lang w:eastAsia="zh-CN"/>
        </w:rPr>
        <w:t>二、违约责任</w:t>
      </w: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1.甲方拒绝乙方入户安全检查、拒不整改危及公共安全的燃气隐患并经劝阻无效的，乙方在履行书面告知义务后，可暂停售气。</w:t>
      </w: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2.甲方违反法律法规、标准规范、安全用气须知以及本合同规定使用液化气造成事故的，由甲方承担责任；给其他方造成损失的，甲方应承担赔偿责任。</w:t>
      </w: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3.乙方未按照约定周期及作业内容进行安全巡检、发现甲方用气场所和燃气燃烧器具存在安全隐患未向甲方书面告知，导致发生燃气安全事故，给甲方和其他方造成损失的，乙方应承担相应赔偿责任。</w:t>
      </w: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4.因乙方提供的燃气不符合国家标准，导致甲方在用气过程中产生安全事故，造成人身伤害或死亡的，由乙方承担全部责任，并赔偿相应损失。</w:t>
      </w: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5.甲方向本合同约定以外的单位或个人购买液化石油气的，本合同自动解除，乙方同时向甲方所在的街道乡镇报告，产生的后果由甲方承担。</w:t>
      </w: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黑体" w:cs="黑体"/>
          <w:b w:val="0"/>
          <w:bCs w:val="0"/>
          <w:sz w:val="24"/>
          <w:szCs w:val="24"/>
          <w:lang w:eastAsia="zh-CN"/>
        </w:rPr>
      </w:pPr>
      <w:r>
        <w:rPr>
          <w:rFonts w:hint="eastAsia" w:ascii="宋体" w:hAnsi="宋体" w:eastAsia="黑体" w:cs="黑体"/>
          <w:b w:val="0"/>
          <w:bCs w:val="0"/>
          <w:sz w:val="24"/>
          <w:szCs w:val="24"/>
          <w:lang w:eastAsia="zh-CN"/>
        </w:rPr>
        <w:t>三、合同解除</w:t>
      </w:r>
    </w:p>
    <w:p>
      <w:pPr>
        <w:keepNext w:val="0"/>
        <w:keepLines w:val="0"/>
        <w:pageBreakBefore w:val="0"/>
        <w:kinsoku/>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仿宋_GB2312"/>
          <w:b w:val="0"/>
          <w:bCs w:val="0"/>
          <w:sz w:val="24"/>
          <w:szCs w:val="24"/>
          <w:lang w:eastAsia="zh-CN"/>
        </w:rPr>
      </w:pPr>
      <w:r>
        <w:rPr>
          <w:rFonts w:hint="eastAsia" w:ascii="宋体" w:hAnsi="宋体" w:eastAsia="仿宋_GB2312"/>
          <w:b w:val="0"/>
          <w:bCs w:val="0"/>
          <w:sz w:val="24"/>
          <w:szCs w:val="24"/>
          <w:lang w:eastAsia="zh-CN"/>
        </w:rPr>
        <w:t>履行期内甲方可随时要求终止合同。</w:t>
      </w:r>
    </w:p>
    <w:p>
      <w:pPr>
        <w:keepNext w:val="0"/>
        <w:keepLines w:val="0"/>
        <w:pageBreakBefore w:val="0"/>
        <w:kinsoku/>
        <w:overflowPunct/>
        <w:topLinePunct w:val="0"/>
        <w:autoSpaceDE/>
        <w:autoSpaceDN/>
        <w:bidi w:val="0"/>
        <w:spacing w:line="240" w:lineRule="auto"/>
        <w:ind w:right="0" w:rightChars="0"/>
        <w:textAlignment w:val="auto"/>
        <w:rPr>
          <w:sz w:val="24"/>
          <w:szCs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0"/>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ont-weight : 700">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ingFangSC-Light-Identity-H">
    <w:altName w:val="微软雅黑"/>
    <w:panose1 w:val="00000000000000000000"/>
    <w:charset w:val="00"/>
    <w:family w:val="roman"/>
    <w:pitch w:val="default"/>
    <w:sig w:usb0="00000000" w:usb1="00000000" w:usb2="00000000" w:usb3="00000000" w:csb0="00040001" w:csb1="00000000"/>
  </w:font>
  <w:font w:name="TimesNewRomanPSMT">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Garamond">
    <w:panose1 w:val="02020404030301010803"/>
    <w:charset w:val="00"/>
    <w:family w:val="roman"/>
    <w:pitch w:val="default"/>
    <w:sig w:usb0="00000287" w:usb1="00000000" w:usb2="00000000" w:usb3="00000000" w:csb0="0000009F" w:csb1="DFD70000"/>
  </w:font>
  <w:font w:name="华文隶书">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D57913"/>
    <w:rsid w:val="0ED57913"/>
    <w:rsid w:val="2CFE77AA"/>
    <w:rsid w:val="3C260F06"/>
    <w:rsid w:val="442773A8"/>
    <w:rsid w:val="55CB7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snapToGrid w:val="0"/>
      <w:kern w:val="32"/>
      <w:sz w:val="32"/>
      <w:szCs w:val="3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ind w:left="114"/>
    </w:pPr>
    <w:rPr>
      <w:rFonts w:hint="eastAsia" w:eastAsia="宋体"/>
      <w:sz w:val="30"/>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2021-01-19T02:47:00Z</dcterms:created>
  <dc:creator>LRL</dc:creator>
  <cp:lastModifiedBy>LRL</cp:lastModifiedBy>
  <dcterms:modified xsi:type="dcterms:W3CDTF">2021-01-25T09:28:53Z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