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jc w:val="both"/>
        <w:rPr>
          <w:rFonts w:hint="eastAsia" w:ascii="宋体" w:hAnsi="宋体" w:eastAsia="黑体" w:cs="黑体"/>
          <w:b w:val="0"/>
          <w:bCs/>
          <w:i w:val="0"/>
          <w:color w:val="auto"/>
          <w:kern w:val="0"/>
          <w:sz w:val="32"/>
          <w:szCs w:val="32"/>
          <w:u w:val="none"/>
          <w:lang w:val="en-US" w:eastAsia="zh-CN" w:bidi="ar"/>
        </w:rPr>
      </w:pPr>
      <w:r>
        <w:rPr>
          <w:rFonts w:hint="eastAsia" w:ascii="宋体" w:hAnsi="宋体" w:eastAsia="黑体" w:cs="黑体"/>
          <w:b w:val="0"/>
          <w:bCs/>
          <w:i w:val="0"/>
          <w:color w:val="auto"/>
          <w:kern w:val="0"/>
          <w:sz w:val="32"/>
          <w:szCs w:val="32"/>
          <w:u w:val="none"/>
          <w:lang w:val="en-US" w:eastAsia="zh-CN" w:bidi="ar"/>
        </w:rPr>
        <w:t>附件2</w:t>
      </w:r>
    </w:p>
    <w:p>
      <w:pPr>
        <w:pStyle w:val="9"/>
        <w:widowControl w:val="0"/>
        <w:spacing w:before="220" w:beforeLines="50" w:after="220" w:afterLines="50" w:line="600" w:lineRule="exact"/>
        <w:jc w:val="center"/>
        <w:rPr>
          <w:rFonts w:hint="eastAsia" w:ascii="宋体" w:hAnsi="宋体" w:eastAsia="方正小标宋简体" w:cs="方正小标宋简体"/>
          <w:b w:val="0"/>
          <w:i w:val="0"/>
          <w:color w:val="auto"/>
          <w:kern w:val="0"/>
          <w:sz w:val="44"/>
          <w:szCs w:val="44"/>
          <w:u w:val="none"/>
          <w:lang w:val="en-US" w:eastAsia="zh-CN" w:bidi="ar-SA"/>
        </w:rPr>
      </w:pPr>
      <w:bookmarkStart w:id="0" w:name="_GoBack"/>
      <w:r>
        <w:rPr>
          <w:rFonts w:hint="eastAsia" w:ascii="宋体" w:hAnsi="宋体" w:eastAsia="方正小标宋简体" w:cs="方正小标宋简体"/>
          <w:b w:val="0"/>
          <w:i w:val="0"/>
          <w:color w:val="auto"/>
          <w:kern w:val="0"/>
          <w:sz w:val="44"/>
          <w:szCs w:val="44"/>
          <w:u w:val="none"/>
          <w:lang w:val="en-US" w:eastAsia="zh-CN" w:bidi="ar-SA"/>
        </w:rPr>
        <w:t>企业负向分记分项及计分标准</w:t>
      </w:r>
      <w:bookmarkEnd w:id="0"/>
    </w:p>
    <w:tbl>
      <w:tblPr>
        <w:tblStyle w:val="6"/>
        <w:tblW w:w="14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8656"/>
        <w:gridCol w:w="6"/>
        <w:gridCol w:w="2808"/>
        <w:gridCol w:w="1521"/>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84" w:hRule="atLeast"/>
          <w:tblHeader/>
          <w:jc w:val="center"/>
        </w:trPr>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黑体" w:cs="黑体"/>
                <w:b w:val="0"/>
                <w:bCs w:val="0"/>
                <w:i w:val="0"/>
                <w:color w:val="auto"/>
                <w:sz w:val="22"/>
                <w:szCs w:val="22"/>
                <w:highlight w:val="none"/>
                <w:u w:val="none"/>
              </w:rPr>
            </w:pPr>
          </w:p>
        </w:tc>
        <w:tc>
          <w:tcPr>
            <w:tcW w:w="86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bidi="ar"/>
              </w:rPr>
              <w:t>违法违规行为</w:t>
            </w:r>
          </w:p>
        </w:tc>
        <w:tc>
          <w:tcPr>
            <w:tcW w:w="28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bidi="ar"/>
              </w:rPr>
              <w:t>计分分值</w:t>
            </w:r>
          </w:p>
        </w:tc>
        <w:tc>
          <w:tcPr>
            <w:tcW w:w="1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黑体" w:cs="黑体"/>
                <w:b w:val="0"/>
                <w:bCs w:val="0"/>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bidi="ar"/>
              </w:rPr>
              <w:t>计分部门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bidi="ar"/>
              </w:rPr>
              <w:t>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基础管理</w:t>
            </w: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企业没有固定停车办公场地的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每次计20分</w:t>
            </w:r>
          </w:p>
        </w:tc>
        <w:tc>
          <w:tcPr>
            <w:tcW w:w="152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城市管理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企业相应管理制度未有效执行的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w:t>
            </w:r>
            <w:r>
              <w:rPr>
                <w:rFonts w:hint="eastAsia" w:ascii="宋体" w:hAnsi="宋体" w:cs="仿宋_GB2312"/>
                <w:i w:val="0"/>
                <w:color w:val="auto"/>
                <w:kern w:val="0"/>
                <w:sz w:val="22"/>
                <w:szCs w:val="22"/>
                <w:highlight w:val="none"/>
                <w:u w:val="none"/>
                <w:lang w:val="en-US" w:eastAsia="zh-CN" w:bidi="ar"/>
              </w:rPr>
              <w:t>2</w:t>
            </w:r>
            <w:r>
              <w:rPr>
                <w:rFonts w:hint="eastAsia" w:ascii="宋体" w:hAnsi="宋体" w:eastAsia="仿宋_GB2312" w:cs="仿宋_GB2312"/>
                <w:i w:val="0"/>
                <w:color w:val="auto"/>
                <w:kern w:val="0"/>
                <w:sz w:val="22"/>
                <w:szCs w:val="22"/>
                <w:highlight w:val="none"/>
                <w:u w:val="none"/>
                <w:lang w:val="en-US" w:eastAsia="zh-CN" w:bidi="ar"/>
              </w:rPr>
              <w:t>0分</w:t>
            </w:r>
          </w:p>
        </w:tc>
        <w:tc>
          <w:tcPr>
            <w:tcW w:w="152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企业变更经营地址未向区城市管理部门报备的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每次计10分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车辆停放场所内车位数量与车辆数量不匹配的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每次计10分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车辆停放场所不符合安全及消防相关要求的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每次计10分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2"/>
                <w:sz w:val="22"/>
                <w:szCs w:val="22"/>
                <w:highlight w:val="none"/>
                <w:u w:val="none"/>
                <w:lang w:val="en-US" w:eastAsia="zh-CN" w:bidi="ar-SA"/>
              </w:rPr>
            </w:pPr>
            <w:r>
              <w:rPr>
                <w:rFonts w:hint="eastAsia" w:ascii="宋体" w:hAnsi="宋体" w:eastAsia="仿宋_GB2312" w:cs="仿宋_GB2312"/>
                <w:i w:val="0"/>
                <w:color w:val="auto"/>
                <w:kern w:val="0"/>
                <w:sz w:val="22"/>
                <w:szCs w:val="22"/>
                <w:highlight w:val="none"/>
                <w:u w:val="none"/>
                <w:lang w:val="en-US" w:eastAsia="zh-CN" w:bidi="ar"/>
              </w:rPr>
              <w:t>未按时报送建筑垃圾管理台账的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2"/>
                <w:sz w:val="22"/>
                <w:szCs w:val="22"/>
                <w:highlight w:val="none"/>
                <w:u w:val="none"/>
                <w:lang w:val="en-US" w:eastAsia="zh-CN" w:bidi="ar-SA"/>
              </w:rPr>
            </w:pPr>
            <w:r>
              <w:rPr>
                <w:rFonts w:hint="eastAsia" w:ascii="宋体" w:hAnsi="宋体" w:eastAsia="仿宋_GB2312" w:cs="仿宋_GB2312"/>
                <w:i w:val="0"/>
                <w:color w:val="auto"/>
                <w:kern w:val="0"/>
                <w:sz w:val="22"/>
                <w:szCs w:val="22"/>
                <w:highlight w:val="none"/>
                <w:u w:val="none"/>
                <w:lang w:val="en-US" w:eastAsia="zh-CN" w:bidi="ar"/>
              </w:rPr>
              <w:t>每次计10分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8" w:hRule="atLeast"/>
          <w:jc w:val="center"/>
        </w:trPr>
        <w:tc>
          <w:tcPr>
            <w:tcW w:w="148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0"/>
                <w:sz w:val="22"/>
                <w:szCs w:val="22"/>
                <w:highlight w:val="none"/>
                <w:u w:val="none"/>
                <w:lang w:val="en-US" w:eastAsia="zh-CN" w:bidi="ar"/>
              </w:rPr>
            </w:pPr>
            <w:r>
              <w:rPr>
                <w:rFonts w:hint="eastAsia" w:ascii="宋体" w:hAnsi="宋体" w:cs="仿宋_GB2312"/>
                <w:color w:val="auto"/>
                <w:kern w:val="0"/>
                <w:sz w:val="22"/>
                <w:szCs w:val="22"/>
                <w:highlight w:val="none"/>
                <w:lang w:val="en-US" w:eastAsia="zh-CN" w:bidi="ar"/>
              </w:rPr>
              <w:t>监督管理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无从业资质证件的司机驾驶车辆运输建筑垃圾的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每次计20分</w:t>
            </w:r>
          </w:p>
        </w:tc>
        <w:tc>
          <w:tcPr>
            <w:tcW w:w="152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交通</w:t>
            </w:r>
            <w:r>
              <w:rPr>
                <w:rFonts w:hint="eastAsia" w:cs="仿宋_GB2312"/>
                <w:i w:val="0"/>
                <w:color w:val="auto"/>
                <w:kern w:val="0"/>
                <w:sz w:val="22"/>
                <w:szCs w:val="22"/>
                <w:highlight w:val="none"/>
                <w:u w:val="none"/>
                <w:lang w:val="en-US" w:eastAsia="zh-CN" w:bidi="ar"/>
              </w:rPr>
              <w:t>执法</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擅自改装已取得《道路运输证》的车辆的</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每次计20分</w:t>
            </w:r>
          </w:p>
        </w:tc>
        <w:tc>
          <w:tcPr>
            <w:tcW w:w="152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98" w:hRule="atLeast"/>
          <w:jc w:val="center"/>
        </w:trPr>
        <w:tc>
          <w:tcPr>
            <w:tcW w:w="148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tc>
        <w:tc>
          <w:tcPr>
            <w:tcW w:w="8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一年内违法超限运输超过3次的货运车辆和一年内违法超限运输的货运车辆超过本单位货运车辆总数10%的企业</w:t>
            </w:r>
          </w:p>
        </w:tc>
        <w:tc>
          <w:tcPr>
            <w:tcW w:w="281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计</w:t>
            </w:r>
            <w:r>
              <w:rPr>
                <w:rFonts w:hint="eastAsia" w:cs="仿宋_GB2312"/>
                <w:i w:val="0"/>
                <w:color w:val="auto"/>
                <w:kern w:val="0"/>
                <w:sz w:val="22"/>
                <w:szCs w:val="22"/>
                <w:highlight w:val="none"/>
                <w:u w:val="none"/>
                <w:lang w:val="en-US" w:eastAsia="zh-CN" w:bidi="ar"/>
              </w:rPr>
              <w:t>50</w:t>
            </w:r>
            <w:r>
              <w:rPr>
                <w:rFonts w:hint="eastAsia" w:ascii="宋体" w:hAnsi="宋体" w:eastAsia="仿宋_GB2312" w:cs="仿宋_GB2312"/>
                <w:i w:val="0"/>
                <w:color w:val="auto"/>
                <w:kern w:val="0"/>
                <w:sz w:val="22"/>
                <w:szCs w:val="22"/>
                <w:highlight w:val="none"/>
                <w:u w:val="none"/>
                <w:lang w:val="en-US" w:eastAsia="zh-CN" w:bidi="ar"/>
              </w:rPr>
              <w:t>分</w:t>
            </w:r>
          </w:p>
        </w:tc>
        <w:tc>
          <w:tcPr>
            <w:tcW w:w="152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28"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驾驶机动车违反禁令标志、禁止标线指示的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每次计3分</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公安交管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Times New Roman"/>
                <w:i w:val="0"/>
                <w:color w:val="auto"/>
                <w:sz w:val="22"/>
                <w:szCs w:val="22"/>
                <w:highlight w:val="none"/>
                <w:u w:val="none"/>
                <w:lang w:val="en-US" w:eastAsia="zh-CN"/>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cs="仿宋_GB2312"/>
                <w:color w:val="auto"/>
                <w:kern w:val="0"/>
                <w:sz w:val="22"/>
                <w:szCs w:val="22"/>
                <w:highlight w:val="none"/>
                <w:lang w:val="en-US" w:eastAsia="zh-CN" w:bidi="ar"/>
              </w:rPr>
              <w:t>监督管理</w:t>
            </w: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驾驶擅自改变已登记的结构、构造或者特征的载货汽车上道路行驶的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每次计3分</w:t>
            </w:r>
          </w:p>
        </w:tc>
        <w:tc>
          <w:tcPr>
            <w:tcW w:w="1521"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公安交管</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驾驶机动车在道路上行驶时，机动车驾驶人未按规定系安全带的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每次计3分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驾驶载货汽车载物超过最大允许总质量未达到30%</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每次计3分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28"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驾驶中型以上载货汽车在高速公路、城市快速路以外的道路上行驶超过规定时速10%以上未达到20%的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驾驶机动车非紧急情况下在高速公路、城市快速路应急车道上停车的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驾驶机动车在高速公路、城市快速路上不按规定车道行驶的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jc w:val="center"/>
        </w:trPr>
        <w:tc>
          <w:tcPr>
            <w:tcW w:w="14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驾驶时拨打接听手持电话的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每次计5分</w:t>
            </w:r>
          </w:p>
        </w:tc>
        <w:tc>
          <w:tcPr>
            <w:tcW w:w="15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驾驶机动车不按规定超车、让行，或者在高速公路、城市快速路以外的道路上逆行的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每次计10分</w:t>
            </w:r>
          </w:p>
        </w:tc>
        <w:tc>
          <w:tcPr>
            <w:tcW w:w="1524" w:type="dxa"/>
            <w:gridSpan w:val="2"/>
            <w:vMerge w:val="continue"/>
            <w:vAlign w:val="top"/>
          </w:tcPr>
          <w:p>
            <w:pPr>
              <w:pStyle w:val="3"/>
              <w:rPr>
                <w:rFonts w:hint="default" w:ascii="宋体" w:hAnsi="宋体" w:eastAsia="仿宋_GB2312" w:cs="Times New Roman"/>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行经人行横道未减速行驶，遇行人正在通过人行横道时未停车让行，行经没有交通信号的道路时，遇行人横过道路未避让的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每次计10分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驾驶载货汽车载物超过最大允许总质量30%以上未达到50%的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每次计10分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56" w:type="dxa"/>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驾驶中型以上载货汽车在高速公路、城市快速路上行驶超过规定时速未达20％的；或者在高速公路、城市快速路以外的道路上行驶超过规定时速20%以上未达到50%的</w:t>
            </w:r>
          </w:p>
        </w:tc>
        <w:tc>
          <w:tcPr>
            <w:tcW w:w="2814" w:type="dxa"/>
            <w:gridSpan w:val="2"/>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每次计10分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连续驾驶危险物品运输车辆以外的载货汽车超过4小时未停车休息，或者停车休息时间少于20分钟的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每次计10分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违反道路交通信号灯通行的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每次计20分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cs="仿宋_GB2312"/>
                <w:color w:val="auto"/>
                <w:kern w:val="0"/>
                <w:sz w:val="22"/>
                <w:szCs w:val="22"/>
                <w:highlight w:val="none"/>
                <w:lang w:val="en-US" w:eastAsia="zh-CN" w:bidi="ar"/>
              </w:rPr>
              <w:t>监督管理</w:t>
            </w: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驾驶未悬挂机动车号牌或者故意污损、遮挡的机动车上道路行驶的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每次计20分</w:t>
            </w:r>
          </w:p>
        </w:tc>
        <w:tc>
          <w:tcPr>
            <w:tcW w:w="1524"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公安交管</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spacing w:val="-6"/>
                <w:kern w:val="0"/>
                <w:sz w:val="22"/>
                <w:szCs w:val="22"/>
                <w:highlight w:val="none"/>
                <w:u w:val="none"/>
                <w:lang w:val="en-US" w:eastAsia="zh-CN" w:bidi="ar"/>
              </w:rPr>
              <w:t>驾驶中型以上载货汽车在高速公路、城市快速路上行驶超过规定时速20％以上未达50%的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每次计20分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驾驶载货汽车载物超过最大允许总质量50%以上</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货运机动车超过核定载质量，经处罚不改的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使用伪造、变造的机动车号牌、行驶证、驾驶证或者使用其他车辆的机动车号牌、行驶证的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驾驶中型以上载货汽车在高速公路、城市快速路或者在高速公路、城市快速路以外的道路上行驶超过规定时速50%以上的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饮酒或者服用国家管制的精神、麻醉药品后驾驶机动车的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驾驶逾期未检验、已达报废标准的车辆上道路行驶的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被评定为高风险道路运输企业的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单位未履行道路交通安全防范责任制度，被公安机关交通管理部门采取禁止机动车上道路行驶或者罚款处罚措施的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每次计50分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发生3人（不含）以下负同等以上责任亡人事故的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每次计100分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widowControl w:val="0"/>
              <w:suppressLineNumbers w:val="0"/>
              <w:adjustRightInd w:val="0"/>
              <w:snapToGrid w:val="0"/>
              <w:jc w:val="left"/>
              <w:textAlignment w:val="center"/>
              <w:rPr>
                <w:rFonts w:hint="eastAsia" w:ascii="宋体" w:hAnsi="宋体" w:eastAsia="仿宋_GB2312" w:cs="仿宋_GB2312"/>
                <w:i w:val="0"/>
                <w:color w:val="auto"/>
                <w:kern w:val="0"/>
                <w:sz w:val="22"/>
                <w:szCs w:val="22"/>
                <w:highlight w:val="none"/>
                <w:u w:val="none"/>
                <w:lang w:bidi="ar"/>
              </w:rPr>
            </w:pPr>
            <w:r>
              <w:rPr>
                <w:rFonts w:hint="eastAsia" w:ascii="宋体" w:hAnsi="宋体" w:eastAsia="仿宋_GB2312" w:cs="仿宋_GB2312"/>
                <w:i w:val="0"/>
                <w:iCs w:val="0"/>
                <w:color w:val="auto"/>
                <w:kern w:val="0"/>
                <w:sz w:val="22"/>
                <w:szCs w:val="22"/>
                <w:highlight w:val="none"/>
                <w:u w:val="none"/>
                <w:lang w:val="en-US" w:eastAsia="zh-CN" w:bidi="ar"/>
              </w:rPr>
              <w:t>发生3人（含）以上负同等以上责任亡人事故的</w:t>
            </w:r>
          </w:p>
        </w:tc>
        <w:tc>
          <w:tcPr>
            <w:tcW w:w="2808" w:type="dxa"/>
            <w:vAlign w:val="center"/>
          </w:tcPr>
          <w:p>
            <w:pPr>
              <w:keepNext w:val="0"/>
              <w:keepLines w:val="0"/>
              <w:widowControl w:val="0"/>
              <w:suppressLineNumbers w:val="0"/>
              <w:adjustRightInd w:val="0"/>
              <w:snapToGrid w:val="0"/>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iCs w:val="0"/>
                <w:color w:val="auto"/>
                <w:kern w:val="0"/>
                <w:sz w:val="22"/>
                <w:szCs w:val="22"/>
                <w:highlight w:val="none"/>
                <w:u w:val="none"/>
                <w:lang w:val="en-US" w:eastAsia="zh-CN" w:bidi="ar"/>
              </w:rPr>
              <w:t>依法吊销许可</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入户机动车尾气排放不合格</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每次计3分</w:t>
            </w:r>
          </w:p>
        </w:tc>
        <w:tc>
          <w:tcPr>
            <w:tcW w:w="152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生态环境</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0"/>
                <w:sz w:val="22"/>
                <w:szCs w:val="22"/>
                <w:highlight w:val="none"/>
                <w:u w:val="none"/>
                <w:lang w:val="en-US" w:eastAsia="zh-CN" w:bidi="ar"/>
              </w:rPr>
            </w:pPr>
            <w:r>
              <w:rPr>
                <w:rFonts w:hint="eastAsia" w:ascii="宋体" w:hAnsi="宋体" w:cs="仿宋_GB2312"/>
                <w:color w:val="auto"/>
                <w:kern w:val="0"/>
                <w:sz w:val="22"/>
                <w:szCs w:val="22"/>
                <w:highlight w:val="none"/>
                <w:lang w:val="en-US" w:eastAsia="zh-CN" w:bidi="ar"/>
              </w:rPr>
              <w:t>监督管理</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运输建筑垃圾未按规定使用电子运单的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每车次计</w:t>
            </w:r>
            <w:r>
              <w:rPr>
                <w:rFonts w:hint="eastAsia" w:cs="仿宋_GB2312"/>
                <w:i w:val="0"/>
                <w:color w:val="auto"/>
                <w:kern w:val="0"/>
                <w:sz w:val="22"/>
                <w:szCs w:val="22"/>
                <w:highlight w:val="none"/>
                <w:u w:val="none"/>
                <w:lang w:val="en-US" w:eastAsia="zh-CN" w:bidi="ar"/>
              </w:rPr>
              <w:t>5</w:t>
            </w:r>
            <w:r>
              <w:rPr>
                <w:rFonts w:hint="eastAsia" w:ascii="宋体" w:hAnsi="宋体" w:eastAsia="仿宋_GB2312" w:cs="仿宋_GB2312"/>
                <w:i w:val="0"/>
                <w:color w:val="auto"/>
                <w:kern w:val="0"/>
                <w:sz w:val="22"/>
                <w:szCs w:val="22"/>
                <w:highlight w:val="none"/>
                <w:u w:val="none"/>
                <w:lang w:val="en-US" w:eastAsia="zh-CN" w:bidi="ar"/>
              </w:rPr>
              <w:t>分</w:t>
            </w:r>
          </w:p>
        </w:tc>
        <w:tc>
          <w:tcPr>
            <w:tcW w:w="1524"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城管执法</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使用或雇佣无准运证车辆运输建筑垃圾的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每车次计20分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未采取密闭等措施防止建筑垃圾遗撒泄漏的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每车次计10分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使用或雇佣不符合本市标准的车辆运输建筑垃圾的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每次计20分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建筑垃圾与其他生活垃圾、危险废物混装混运的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每车次计20分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建筑垃圾运输车辆7天未上传数据的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每车次计5分</w:t>
            </w:r>
          </w:p>
        </w:tc>
        <w:tc>
          <w:tcPr>
            <w:tcW w:w="1524"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r>
              <w:rPr>
                <w:rFonts w:hint="default" w:ascii="宋体" w:hAnsi="宋体" w:eastAsia="仿宋_GB2312" w:cs="仿宋_GB2312"/>
                <w:i w:val="0"/>
                <w:color w:val="auto"/>
                <w:kern w:val="2"/>
                <w:sz w:val="22"/>
                <w:szCs w:val="22"/>
                <w:highlight w:val="none"/>
                <w:u w:val="none"/>
                <w:lang w:val="en-US" w:eastAsia="zh-CN" w:bidi="ar"/>
              </w:rPr>
              <w:t>城市管理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r>
              <w:rPr>
                <w:rFonts w:hint="default" w:ascii="宋体" w:hAnsi="宋体" w:eastAsia="仿宋_GB2312" w:cs="仿宋_GB2312"/>
                <w:i w:val="0"/>
                <w:color w:val="auto"/>
                <w:kern w:val="2"/>
                <w:sz w:val="22"/>
                <w:szCs w:val="22"/>
                <w:highlight w:val="none"/>
                <w:u w:val="none"/>
                <w:lang w:val="en-US" w:eastAsia="zh-CN" w:bidi="ar"/>
              </w:rPr>
              <w:t>部门</w:t>
            </w:r>
            <w:r>
              <w:rPr>
                <w:rFonts w:hint="default" w:ascii="宋体" w:hAnsi="宋体" w:cs="仿宋_GB2312"/>
                <w:i w:val="0"/>
                <w:color w:val="auto"/>
                <w:kern w:val="2"/>
                <w:sz w:val="22"/>
                <w:szCs w:val="22"/>
                <w:highlight w:val="none"/>
                <w:u w:val="none"/>
                <w:lang w:val="en-US" w:eastAsia="zh-CN" w:bidi="ar"/>
              </w:rPr>
              <w:t>、</w:t>
            </w:r>
            <w:r>
              <w:rPr>
                <w:rFonts w:hint="default" w:ascii="宋体" w:hAnsi="宋体" w:eastAsia="仿宋_GB2312" w:cs="仿宋_GB2312"/>
                <w:i w:val="0"/>
                <w:color w:val="auto"/>
                <w:kern w:val="2"/>
                <w:sz w:val="22"/>
                <w:szCs w:val="22"/>
                <w:highlight w:val="none"/>
                <w:u w:val="none"/>
                <w:lang w:val="en-US" w:eastAsia="zh-CN" w:bidi="ar"/>
              </w:rPr>
              <w:t>公安</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r>
              <w:rPr>
                <w:rFonts w:hint="default" w:ascii="宋体" w:hAnsi="宋体" w:eastAsia="仿宋_GB2312" w:cs="仿宋_GB2312"/>
                <w:i w:val="0"/>
                <w:color w:val="auto"/>
                <w:kern w:val="2"/>
                <w:sz w:val="22"/>
                <w:szCs w:val="22"/>
                <w:highlight w:val="none"/>
                <w:u w:val="none"/>
                <w:lang w:val="en-US" w:eastAsia="zh-CN" w:bidi="ar"/>
              </w:rPr>
              <w:t>环食药旅部门</w:t>
            </w:r>
            <w:r>
              <w:rPr>
                <w:rFonts w:hint="default" w:ascii="宋体" w:hAnsi="宋体" w:cs="仿宋_GB2312"/>
                <w:i w:val="0"/>
                <w:color w:val="auto"/>
                <w:kern w:val="2"/>
                <w:sz w:val="22"/>
                <w:szCs w:val="22"/>
                <w:highlight w:val="none"/>
                <w:u w:val="none"/>
                <w:lang w:val="en-US" w:eastAsia="zh-CN" w:bidi="ar"/>
              </w:rPr>
              <w:t>、</w:t>
            </w:r>
            <w:r>
              <w:rPr>
                <w:rFonts w:hint="default" w:ascii="宋体" w:hAnsi="宋体" w:eastAsia="仿宋_GB2312" w:cs="仿宋_GB2312"/>
                <w:i w:val="0"/>
                <w:color w:val="auto"/>
                <w:kern w:val="2"/>
                <w:sz w:val="22"/>
                <w:szCs w:val="22"/>
                <w:highlight w:val="none"/>
                <w:u w:val="none"/>
                <w:lang w:val="en-US" w:eastAsia="zh-CN" w:bidi="ar"/>
              </w:rPr>
              <w:t>城管执</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仿宋_GB2312"/>
                <w:color w:val="auto"/>
                <w:sz w:val="22"/>
                <w:szCs w:val="22"/>
                <w:highlight w:val="none"/>
                <w:lang w:val="en-US" w:eastAsia="zh-CN"/>
              </w:rPr>
            </w:pPr>
            <w:r>
              <w:rPr>
                <w:rFonts w:hint="default" w:ascii="宋体" w:hAnsi="宋体" w:eastAsia="仿宋_GB2312" w:cs="仿宋_GB2312"/>
                <w:i w:val="0"/>
                <w:color w:val="auto"/>
                <w:kern w:val="2"/>
                <w:sz w:val="22"/>
                <w:szCs w:val="22"/>
                <w:highlight w:val="none"/>
                <w:u w:val="none"/>
                <w:lang w:val="en-US" w:eastAsia="zh-CN" w:bidi="ar"/>
              </w:rPr>
              <w:t>法部门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pStyle w:val="4"/>
              <w:widowControl w:val="0"/>
              <w:jc w:val="center"/>
              <w:rPr>
                <w:rFonts w:hint="default" w:ascii="宋体" w:hAnsi="宋体" w:eastAsia="仿宋_GB2312" w:cs="Times New Roman"/>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空气重污染预警或重大活动期间，建筑垃圾运输车辆未按规定停驶的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每车次计</w:t>
            </w:r>
            <w:r>
              <w:rPr>
                <w:rFonts w:hint="eastAsia" w:ascii="宋体" w:hAnsi="宋体" w:cs="仿宋_GB2312"/>
                <w:i w:val="0"/>
                <w:color w:val="auto"/>
                <w:kern w:val="0"/>
                <w:sz w:val="22"/>
                <w:szCs w:val="22"/>
                <w:highlight w:val="none"/>
                <w:u w:val="none"/>
                <w:lang w:val="en-US" w:eastAsia="zh-CN" w:bidi="ar"/>
              </w:rPr>
              <w:t>50</w:t>
            </w:r>
            <w:r>
              <w:rPr>
                <w:rFonts w:hint="eastAsia" w:ascii="宋体" w:hAnsi="宋体" w:eastAsia="仿宋_GB2312" w:cs="仿宋_GB2312"/>
                <w:i w:val="0"/>
                <w:color w:val="auto"/>
                <w:kern w:val="0"/>
                <w:sz w:val="22"/>
                <w:szCs w:val="22"/>
                <w:highlight w:val="none"/>
                <w:u w:val="none"/>
                <w:lang w:val="en-US" w:eastAsia="zh-CN" w:bidi="ar"/>
              </w:rPr>
              <w:t>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出现违规运单的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每单计</w:t>
            </w:r>
            <w:r>
              <w:rPr>
                <w:rFonts w:hint="eastAsia" w:cs="仿宋_GB2312"/>
                <w:i w:val="0"/>
                <w:color w:val="auto"/>
                <w:kern w:val="0"/>
                <w:sz w:val="22"/>
                <w:szCs w:val="22"/>
                <w:highlight w:val="none"/>
                <w:u w:val="none"/>
                <w:lang w:val="en-US" w:eastAsia="zh-CN" w:bidi="ar"/>
              </w:rPr>
              <w:t>5</w:t>
            </w:r>
            <w:r>
              <w:rPr>
                <w:rFonts w:hint="eastAsia" w:ascii="宋体" w:hAnsi="宋体" w:eastAsia="仿宋_GB2312" w:cs="仿宋_GB2312"/>
                <w:i w:val="0"/>
                <w:color w:val="auto"/>
                <w:kern w:val="0"/>
                <w:sz w:val="22"/>
                <w:szCs w:val="22"/>
                <w:highlight w:val="none"/>
                <w:u w:val="none"/>
                <w:lang w:val="en-US" w:eastAsia="zh-CN" w:bidi="ar"/>
              </w:rPr>
              <w:t>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2"/>
                <w:sz w:val="22"/>
                <w:szCs w:val="22"/>
                <w:highlight w:val="none"/>
                <w:u w:val="none"/>
                <w:lang w:val="en-US" w:eastAsia="zh-CN" w:bidi="ar-SA"/>
              </w:rPr>
            </w:pPr>
            <w:r>
              <w:rPr>
                <w:rFonts w:hint="eastAsia" w:ascii="宋体" w:hAnsi="宋体" w:eastAsia="仿宋_GB2312" w:cs="仿宋_GB2312"/>
                <w:i w:val="0"/>
                <w:color w:val="auto"/>
                <w:kern w:val="0"/>
                <w:sz w:val="22"/>
                <w:szCs w:val="22"/>
                <w:highlight w:val="none"/>
                <w:u w:val="none"/>
                <w:lang w:val="en-US" w:eastAsia="zh-CN" w:bidi="ar"/>
              </w:rPr>
              <w:t>使用黑加油车或在黑加油点加油的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2"/>
                <w:sz w:val="22"/>
                <w:szCs w:val="22"/>
                <w:highlight w:val="none"/>
                <w:u w:val="none"/>
                <w:lang w:val="en-US" w:eastAsia="zh-CN" w:bidi="ar-SA"/>
              </w:rPr>
            </w:pPr>
            <w:r>
              <w:rPr>
                <w:rFonts w:hint="eastAsia" w:ascii="宋体" w:hAnsi="宋体" w:eastAsia="仿宋_GB2312" w:cs="仿宋_GB2312"/>
                <w:i w:val="0"/>
                <w:color w:val="auto"/>
                <w:kern w:val="0"/>
                <w:sz w:val="22"/>
                <w:szCs w:val="22"/>
                <w:highlight w:val="none"/>
                <w:u w:val="none"/>
                <w:lang w:val="en-US" w:eastAsia="zh-CN" w:bidi="ar"/>
              </w:rPr>
              <w:t>每次计3分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伪造、变造电子运单的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lang w:val="en-US"/>
              </w:rPr>
            </w:pPr>
            <w:r>
              <w:rPr>
                <w:rFonts w:hint="eastAsia" w:ascii="宋体" w:hAnsi="宋体" w:eastAsia="仿宋_GB2312" w:cs="仿宋_GB2312"/>
                <w:i w:val="0"/>
                <w:color w:val="auto"/>
                <w:kern w:val="0"/>
                <w:sz w:val="22"/>
                <w:szCs w:val="22"/>
                <w:highlight w:val="none"/>
                <w:u w:val="none"/>
                <w:lang w:val="en-US" w:eastAsia="zh-CN" w:bidi="ar"/>
              </w:rPr>
              <w:t>每次计100分，情节严重的依法吊销许可</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乱倒乱卸建筑垃圾的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每次计100分，情节严重的依法吊销许可</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参与有组织的乱倒乱卸</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每次计100分，情节严重的依法吊销许可</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组织乱倒乱卸</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依法吊销许可</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8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cs="仿宋_GB2312"/>
                <w:color w:val="auto"/>
                <w:kern w:val="0"/>
                <w:sz w:val="22"/>
                <w:szCs w:val="22"/>
                <w:highlight w:val="none"/>
                <w:lang w:val="en-US" w:eastAsia="zh-CN" w:bidi="ar"/>
              </w:rPr>
              <w:t>监督管理</w:t>
            </w: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单车计分达到30分（含）</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约谈并责令整改</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单车计分达到50分（含）</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立即实施准运许可重新</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审查程序</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8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2"/>
                <w:szCs w:val="22"/>
                <w:highlight w:val="none"/>
                <w:u w:val="none"/>
                <w:lang w:val="en-US"/>
              </w:rPr>
            </w:pPr>
            <w:r>
              <w:rPr>
                <w:rFonts w:hint="eastAsia" w:ascii="宋体" w:hAnsi="宋体" w:eastAsia="仿宋_GB2312" w:cs="仿宋_GB2312"/>
                <w:i w:val="0"/>
                <w:color w:val="auto"/>
                <w:kern w:val="0"/>
                <w:sz w:val="22"/>
                <w:szCs w:val="22"/>
                <w:highlight w:val="none"/>
                <w:u w:val="none"/>
                <w:lang w:val="en-US" w:eastAsia="zh-CN" w:bidi="ar"/>
              </w:rPr>
              <w:t>被群众举报（12345热线通报），查证属实的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r>
              <w:rPr>
                <w:rFonts w:hint="eastAsia" w:ascii="宋体" w:hAnsi="宋体" w:eastAsia="仿宋_GB2312" w:cs="仿宋_GB2312"/>
                <w:i w:val="0"/>
                <w:color w:val="auto"/>
                <w:kern w:val="0"/>
                <w:sz w:val="22"/>
                <w:szCs w:val="22"/>
                <w:highlight w:val="none"/>
                <w:u w:val="none"/>
                <w:lang w:val="en-US" w:eastAsia="zh-CN" w:bidi="ar"/>
              </w:rPr>
              <w:t>每次计10分</w:t>
            </w:r>
          </w:p>
        </w:tc>
        <w:tc>
          <w:tcPr>
            <w:tcW w:w="1524"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发生严重违法违规行为被主要媒体曝光后，查证属实的</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每次计100分，情节严重的依法吊销许可</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86" w:type="dxa"/>
            <w:vMerge w:val="restart"/>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sz w:val="22"/>
                <w:szCs w:val="22"/>
                <w:highlight w:val="none"/>
                <w:u w:val="none"/>
                <w:lang w:eastAsia="zh-CN"/>
              </w:rPr>
              <w:t>企业经营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lang w:eastAsia="zh-CN"/>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企业被列入严重违法失信名单</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计50分</w:t>
            </w:r>
          </w:p>
        </w:tc>
        <w:tc>
          <w:tcPr>
            <w:tcW w:w="1524" w:type="dxa"/>
            <w:gridSpan w:val="2"/>
            <w:vMerge w:val="restart"/>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color w:val="auto"/>
                <w:sz w:val="22"/>
                <w:szCs w:val="22"/>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color w:val="auto"/>
                <w:sz w:val="22"/>
                <w:szCs w:val="22"/>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color w:val="auto"/>
                <w:sz w:val="22"/>
                <w:szCs w:val="22"/>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color w:val="auto"/>
                <w:sz w:val="22"/>
                <w:szCs w:val="22"/>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color w:val="auto"/>
                <w:sz w:val="22"/>
                <w:szCs w:val="22"/>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p>
          <w:p>
            <w:pPr>
              <w:widowControl w:val="0"/>
              <w:adjustRightInd w:val="0"/>
              <w:snapToGrid w:val="0"/>
              <w:jc w:val="center"/>
              <w:textAlignment w:val="center"/>
              <w:rPr>
                <w:rFonts w:hint="eastAsia" w:ascii="宋体" w:hAnsi="宋体" w:eastAsia="仿宋_GB2312" w:cs="仿宋_GB2312"/>
                <w:i w:val="0"/>
                <w:color w:val="auto"/>
                <w:kern w:val="2"/>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城市管理</w:t>
            </w:r>
            <w:r>
              <w:rPr>
                <w:rFonts w:hint="eastAsia" w:cs="仿宋_GB2312"/>
                <w:i w:val="0"/>
                <w:color w:val="auto"/>
                <w:kern w:val="0"/>
                <w:sz w:val="22"/>
                <w:szCs w:val="22"/>
                <w:highlight w:val="none"/>
                <w:u w:val="none"/>
                <w:lang w:val="en-US" w:eastAsia="zh-CN" w:bidi="ar"/>
              </w:rPr>
              <w:t>等有关</w:t>
            </w:r>
            <w:r>
              <w:rPr>
                <w:rFonts w:hint="eastAsia" w:ascii="宋体" w:hAnsi="宋体" w:eastAsia="仿宋_GB2312" w:cs="仿宋_GB2312"/>
                <w:i w:val="0"/>
                <w:color w:val="auto"/>
                <w:kern w:val="0"/>
                <w:sz w:val="22"/>
                <w:szCs w:val="22"/>
                <w:highlight w:val="none"/>
                <w:u w:val="none"/>
                <w:lang w:val="en-US" w:eastAsia="zh-CN" w:bidi="ar"/>
              </w:rPr>
              <w:t>部门</w:t>
            </w:r>
          </w:p>
          <w:p>
            <w:pPr>
              <w:widowControl w:val="0"/>
              <w:adjustRightInd w:val="0"/>
              <w:snapToGrid w:val="0"/>
              <w:spacing w:line="240" w:lineRule="auto"/>
              <w:textAlignment w:val="center"/>
              <w:rPr>
                <w:rFonts w:hint="default" w:ascii="宋体" w:hAnsi="宋体" w:eastAsia="仿宋_GB2312" w:cs="仿宋_GB2312"/>
                <w:i w:val="0"/>
                <w:color w:val="auto"/>
                <w:kern w:val="2"/>
                <w:sz w:val="22"/>
                <w:szCs w:val="2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仿宋_GB2312" w:cs="仿宋_GB2312"/>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企业被列入经营异常名录</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计20分</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企业存在逾期未交纳罚款</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计50分/次</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双随机、专项检査等不配合检査情节严重情形</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计50分/次</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rPr>
            </w:pPr>
          </w:p>
        </w:tc>
        <w:tc>
          <w:tcPr>
            <w:tcW w:w="866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双随机、专项检査等发现问题不改正情形</w:t>
            </w:r>
          </w:p>
        </w:tc>
        <w:tc>
          <w:tcPr>
            <w:tcW w:w="28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auto"/>
                <w:kern w:val="0"/>
                <w:sz w:val="22"/>
                <w:szCs w:val="22"/>
                <w:highlight w:val="none"/>
                <w:u w:val="none"/>
                <w:lang w:val="en-US" w:eastAsia="zh-CN" w:bidi="ar"/>
              </w:rPr>
            </w:pPr>
            <w:r>
              <w:rPr>
                <w:rFonts w:hint="eastAsia" w:ascii="宋体" w:hAnsi="宋体" w:eastAsia="仿宋_GB2312" w:cs="仿宋_GB2312"/>
                <w:i w:val="0"/>
                <w:color w:val="auto"/>
                <w:kern w:val="0"/>
                <w:sz w:val="22"/>
                <w:szCs w:val="22"/>
                <w:highlight w:val="none"/>
                <w:u w:val="none"/>
                <w:lang w:val="en-US" w:eastAsia="zh-CN" w:bidi="ar"/>
              </w:rPr>
              <w:t>计50分/次</w:t>
            </w:r>
          </w:p>
        </w:tc>
        <w:tc>
          <w:tcPr>
            <w:tcW w:w="152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仿宋_GB2312" w:cs="仿宋_GB2312"/>
                <w:i w:val="0"/>
                <w:color w:val="auto"/>
                <w:sz w:val="22"/>
                <w:szCs w:val="22"/>
                <w:highlight w:val="none"/>
                <w:u w:val="none"/>
                <w:lang w:eastAsia="zh-CN"/>
              </w:rPr>
            </w:pPr>
          </w:p>
        </w:tc>
      </w:tr>
    </w:tbl>
    <w:p>
      <w:pPr>
        <w:keepNext w:val="0"/>
        <w:keepLines w:val="0"/>
        <w:widowControl w:val="0"/>
        <w:suppressLineNumbers w:val="0"/>
        <w:jc w:val="both"/>
        <w:textAlignment w:val="center"/>
        <w:rPr>
          <w:rFonts w:hint="eastAsia" w:ascii="宋体" w:hAnsi="宋体" w:eastAsia="黑体" w:cs="黑体"/>
          <w:b w:val="0"/>
          <w:bCs/>
          <w:i w:val="0"/>
          <w:color w:val="auto"/>
          <w:kern w:val="0"/>
          <w:sz w:val="32"/>
          <w:szCs w:val="32"/>
          <w:u w:val="none"/>
          <w:lang w:val="en-US" w:eastAsia="zh-CN" w:bidi="ar"/>
        </w:rPr>
        <w:sectPr>
          <w:footerReference r:id="rId3" w:type="default"/>
          <w:pgSz w:w="16838" w:h="11905" w:orient="landscape"/>
          <w:pgMar w:top="2098" w:right="1474" w:bottom="1304" w:left="1587" w:header="851" w:footer="907" w:gutter="0"/>
          <w:pgNumType w:fmt="decimal"/>
          <w:cols w:space="720" w:num="1"/>
          <w:rtlGutter w:val="0"/>
          <w:docGrid w:type="lines" w:linePitch="437"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hint="eastAsia"/>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spacing w:beforeLines="0" w:afterLines="0"/>
                            <w:ind w:left="320" w:leftChars="100" w:right="320" w:rightChars="100" w:firstLine="0"/>
                            <w:jc w:val="right"/>
                          </w:pPr>
                          <w:r>
                            <w:rPr>
                              <w:rStyle w:val="8"/>
                              <w:rFonts w:ascii="宋体" w:hAnsi="宋体"/>
                              <w:sz w:val="28"/>
                            </w:rPr>
                            <w:t>—</w:t>
                          </w:r>
                          <w:r>
                            <w:rPr>
                              <w:rStyle w:val="8"/>
                              <w:rFonts w:hint="eastAsia"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3</w:t>
                          </w:r>
                          <w:r>
                            <w:rPr>
                              <w:rFonts w:ascii="宋体" w:hAnsi="宋体"/>
                              <w:sz w:val="28"/>
                            </w:rPr>
                            <w:fldChar w:fldCharType="end"/>
                          </w:r>
                          <w:r>
                            <w:rPr>
                              <w:rStyle w:val="8"/>
                              <w:rFonts w:hint="eastAsia" w:ascii="宋体" w:hAnsi="宋体"/>
                              <w:sz w:val="28"/>
                            </w:rPr>
                            <w:t xml:space="preserve"> </w:t>
                          </w:r>
                          <w:r>
                            <w:rPr>
                              <w:rStyle w:val="8"/>
                              <w:rFonts w:ascii="宋体" w:hAnsi="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l1RCnRAQAApAMAAA4AAAAAAAAAAQAgAAAAHgEAAGRy&#10;cy9lMm9Eb2MueG1sUEsFBgAAAAAGAAYAWQEAAGEFAAAAAA==&#10;">
              <v:fill on="f" focussize="0,0"/>
              <v:stroke on="f"/>
              <v:imagedata o:title=""/>
              <o:lock v:ext="edit" aspectratio="f"/>
              <v:textbox inset="0mm,0mm,0mm,0mm" style="mso-fit-shape-to-text:t;">
                <w:txbxContent>
                  <w:p>
                    <w:pPr>
                      <w:pStyle w:val="5"/>
                      <w:spacing w:beforeLines="0" w:afterLines="0"/>
                      <w:ind w:left="320" w:leftChars="100" w:right="320" w:rightChars="100" w:firstLine="0"/>
                      <w:jc w:val="right"/>
                    </w:pPr>
                    <w:r>
                      <w:rPr>
                        <w:rStyle w:val="8"/>
                        <w:rFonts w:ascii="宋体" w:hAnsi="宋体"/>
                        <w:sz w:val="28"/>
                      </w:rPr>
                      <w:t>—</w:t>
                    </w:r>
                    <w:r>
                      <w:rPr>
                        <w:rStyle w:val="8"/>
                        <w:rFonts w:hint="eastAsia"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3</w:t>
                    </w:r>
                    <w:r>
                      <w:rPr>
                        <w:rFonts w:ascii="宋体" w:hAnsi="宋体"/>
                        <w:sz w:val="28"/>
                      </w:rPr>
                      <w:fldChar w:fldCharType="end"/>
                    </w:r>
                    <w:r>
                      <w:rPr>
                        <w:rStyle w:val="8"/>
                        <w:rFonts w:hint="eastAsia" w:ascii="宋体" w:hAnsi="宋体"/>
                        <w:sz w:val="28"/>
                      </w:rPr>
                      <w:t xml:space="preserve"> </w:t>
                    </w:r>
                    <w:r>
                      <w:rPr>
                        <w:rStyle w:val="8"/>
                        <w:rFonts w:ascii="宋体" w:hAnsi="宋体"/>
                        <w:sz w:val="28"/>
                      </w:rPr>
                      <w:t>—</w:t>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21B2A"/>
    <w:rsid w:val="4822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718" w:leftChars="-342" w:right="-512" w:rightChars="-244"/>
      <w:jc w:val="center"/>
    </w:pPr>
    <w:rPr>
      <w:rFonts w:ascii="仿宋_GB2312"/>
      <w:snapToGrid/>
      <w:kern w:val="2"/>
      <w:sz w:val="44"/>
    </w:rPr>
  </w:style>
  <w:style w:type="paragraph" w:styleId="3">
    <w:name w:val="Body Text"/>
    <w:basedOn w:val="1"/>
    <w:next w:val="4"/>
    <w:qFormat/>
    <w:uiPriority w:val="0"/>
    <w:pPr>
      <w:ind w:left="114"/>
    </w:pPr>
    <w:rPr>
      <w:rFonts w:hint="eastAsia" w:eastAsia="宋体"/>
      <w:sz w:val="30"/>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character" w:styleId="8">
    <w:name w:val="page number"/>
    <w:basedOn w:val="7"/>
    <w:qFormat/>
    <w:uiPriority w:val="0"/>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2023-03-27T11:18:00Z</dcterms:created>
  <dc:creator>洪硕</dc:creator>
  <cp:lastModifiedBy>洪硕</cp:lastModifiedBy>
  <dcterms:modified xsi:type="dcterms:W3CDTF">2023-03-27T11:18:50Z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