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4"/>
        <w:spacing w:beforeLines="0" w:afterLines="0" w:line="240" w:lineRule="auto"/>
        <w:jc w:val="center"/>
        <w:rPr>
          <w:rFonts w:hint="eastAsia" w:ascii="方正小标宋简体" w:hAnsi="方正小标宋简体" w:eastAsia="方正小标宋简体" w:cs="方正小标宋简体"/>
          <w:bCs/>
          <w:kern w:val="2"/>
          <w:sz w:val="44"/>
          <w:szCs w:val="44"/>
        </w:rPr>
      </w:pPr>
      <w:r>
        <w:rPr>
          <w:rFonts w:hint="eastAsia" w:ascii="方正小标宋简体" w:hAnsi="方正小标宋简体" w:eastAsia="方正小标宋简体" w:cs="方正小标宋简体"/>
          <w:bCs/>
          <w:snapToGrid/>
          <w:kern w:val="2"/>
          <w:sz w:val="44"/>
          <w:szCs w:val="44"/>
        </w:rPr>
        <w:t>北京市2023年电力市场化交易方案</w:t>
      </w:r>
    </w:p>
    <w:p>
      <w:pPr>
        <w:spacing w:line="560" w:lineRule="exact"/>
        <w:jc w:val="center"/>
        <w:rPr>
          <w:rFonts w:eastAsia="方正小标宋简体" w:cs="方正小标宋简体"/>
          <w:sz w:val="44"/>
          <w:szCs w:val="44"/>
        </w:rPr>
      </w:pPr>
    </w:p>
    <w:p>
      <w:pPr>
        <w:spacing w:line="560" w:lineRule="exact"/>
        <w:ind w:firstLine="640" w:firstLineChars="200"/>
        <w:rPr>
          <w:rStyle w:val="108"/>
          <w:rFonts w:ascii="仿宋_GB2312" w:hAnsi="仿宋_GB2312" w:cs="仿宋_GB2312"/>
          <w:color w:val="000000"/>
          <w:szCs w:val="36"/>
        </w:rPr>
      </w:pPr>
      <w:r>
        <w:rPr>
          <w:rStyle w:val="108"/>
          <w:rFonts w:hint="eastAsia" w:cs="仿宋_GB2312"/>
          <w:color w:val="000000"/>
          <w:szCs w:val="36"/>
        </w:rPr>
        <w:t>为贯彻落实国家发展改革委《关于进一步深化燃煤发电上网电价</w:t>
      </w:r>
      <w:r>
        <w:rPr>
          <w:rStyle w:val="108"/>
          <w:rFonts w:hint="eastAsia" w:ascii="仿宋_GB2312" w:hAnsi="仿宋_GB2312" w:cs="仿宋_GB2312"/>
          <w:color w:val="000000"/>
          <w:szCs w:val="36"/>
        </w:rPr>
        <w:t>市场化改革的通知》（发改价格〔2021〕1439号）、国家发展改革委办公厅《关于组织开展电网企业代理购电工作有关事项的通知》（发改办价格〔2021〕809号）、《关于2023年电力中长期合同签订履约工作的通知》</w:t>
      </w:r>
      <w:r>
        <w:rPr>
          <w:rFonts w:hint="eastAsia" w:ascii="仿宋_GB2312" w:hAnsi="仿宋_GB2312" w:cs="仿宋_GB2312"/>
        </w:rPr>
        <w:t>等文件</w:t>
      </w:r>
      <w:r>
        <w:rPr>
          <w:rStyle w:val="108"/>
          <w:rFonts w:hint="eastAsia" w:ascii="仿宋_GB2312" w:hAnsi="仿宋_GB2312" w:cs="仿宋_GB2312"/>
          <w:color w:val="000000"/>
          <w:szCs w:val="36"/>
        </w:rPr>
        <w:t>要求，持续做好北京地区电力市场化改革，充分发挥电力中长期交易压舱石、稳定器的作用，稳妥推进</w:t>
      </w:r>
      <w:r>
        <w:rPr>
          <w:rStyle w:val="108"/>
          <w:rFonts w:hint="eastAsia" w:ascii="仿宋_GB2312" w:hAnsi="仿宋_GB2312" w:cs="仿宋_GB2312"/>
          <w:color w:val="000000"/>
          <w:spacing w:val="-6"/>
          <w:szCs w:val="36"/>
        </w:rPr>
        <w:t>北京市2023年电力市场化直接交易工作，结合北京市实际，特制定本方案。</w:t>
      </w:r>
    </w:p>
    <w:p>
      <w:pPr>
        <w:spacing w:line="560" w:lineRule="exact"/>
        <w:ind w:firstLine="640" w:firstLineChars="200"/>
        <w:rPr>
          <w:rFonts w:eastAsia="黑体" w:cs="黑体"/>
        </w:rPr>
      </w:pPr>
      <w:r>
        <w:rPr>
          <w:rFonts w:hint="eastAsia" w:eastAsia="黑体" w:cs="黑体"/>
        </w:rPr>
        <w:t>一、交易电量规模</w:t>
      </w:r>
    </w:p>
    <w:p>
      <w:pPr>
        <w:spacing w:line="560" w:lineRule="exact"/>
        <w:ind w:firstLine="640" w:firstLineChars="200"/>
        <w:rPr>
          <w:rStyle w:val="108"/>
          <w:rFonts w:ascii="仿宋_GB2312" w:hAnsi="仿宋_GB2312" w:cs="仿宋_GB2312"/>
          <w:color w:val="000000"/>
          <w:szCs w:val="36"/>
          <w:highlight w:val="none"/>
        </w:rPr>
      </w:pPr>
      <w:r>
        <w:rPr>
          <w:rStyle w:val="108"/>
          <w:rFonts w:hint="eastAsia" w:ascii="仿宋_GB2312" w:hAnsi="仿宋_GB2312" w:cs="仿宋_GB2312"/>
          <w:color w:val="000000"/>
          <w:szCs w:val="36"/>
          <w:highlight w:val="none"/>
        </w:rPr>
        <w:t>2023年，北京市电力市场化交易总电量规模拟安排826亿千瓦时，其中，直接市场交易规模260亿千瓦时，电网代理购电规模566亿千瓦时。</w:t>
      </w:r>
    </w:p>
    <w:p>
      <w:pPr>
        <w:spacing w:line="560" w:lineRule="exact"/>
        <w:ind w:firstLine="640" w:firstLineChars="200"/>
        <w:rPr>
          <w:rFonts w:eastAsia="黑体" w:cs="黑体"/>
        </w:rPr>
      </w:pPr>
      <w:r>
        <w:rPr>
          <w:rFonts w:hint="eastAsia" w:eastAsia="黑体" w:cs="黑体"/>
        </w:rPr>
        <w:t>二、市场参与方式</w:t>
      </w:r>
    </w:p>
    <w:p>
      <w:pPr>
        <w:spacing w:line="560" w:lineRule="exact"/>
        <w:ind w:firstLine="640" w:firstLineChars="200"/>
        <w:rPr>
          <w:rStyle w:val="108"/>
          <w:rFonts w:ascii="仿宋_GB2312" w:hAnsi="仿宋_GB2312" w:cs="仿宋_GB2312"/>
          <w:color w:val="000000"/>
          <w:szCs w:val="36"/>
        </w:rPr>
      </w:pPr>
      <w:r>
        <w:rPr>
          <w:rStyle w:val="108"/>
          <w:rFonts w:hint="eastAsia" w:ascii="仿宋_GB2312" w:hAnsi="仿宋_GB2312" w:cs="仿宋_GB2312"/>
          <w:color w:val="000000"/>
          <w:szCs w:val="36"/>
        </w:rPr>
        <w:t>执行大工业电价（工业电价）、一般工商业电价的电力用户可选择市场直接购电，10千伏及以上工商业用户原则上直接参与市场交易，鼓励其他工商业用户直接从电力市场购电。</w:t>
      </w:r>
    </w:p>
    <w:p>
      <w:pPr>
        <w:pStyle w:val="2"/>
        <w:spacing w:after="0" w:line="560" w:lineRule="exact"/>
        <w:ind w:firstLine="640" w:firstLineChars="200"/>
        <w:rPr>
          <w:rFonts w:ascii="仿宋_GB2312" w:hAnsi="仿宋_GB2312" w:cs="仿宋_GB2312"/>
        </w:rPr>
      </w:pPr>
      <w:r>
        <w:rPr>
          <w:rStyle w:val="108"/>
          <w:rFonts w:hint="eastAsia" w:ascii="仿宋_GB2312" w:hAnsi="仿宋_GB2312" w:cs="仿宋_GB2312"/>
          <w:color w:val="000000"/>
          <w:szCs w:val="36"/>
        </w:rPr>
        <w:t>已在首都电力交易中心完成市场注册的电力用户可以直接向发电企业或售电公司购电</w:t>
      </w:r>
      <w:r>
        <w:rPr>
          <w:rStyle w:val="108"/>
          <w:rFonts w:hint="eastAsia" w:ascii="仿宋_GB2312" w:hAnsi="仿宋_GB2312" w:cs="仿宋_GB2312"/>
          <w:color w:val="000000"/>
          <w:szCs w:val="36"/>
          <w:shd w:val="clear" w:color="auto" w:fill="FFFFFF"/>
        </w:rPr>
        <w:t>，</w:t>
      </w:r>
      <w:r>
        <w:rPr>
          <w:rStyle w:val="108"/>
          <w:rFonts w:hint="eastAsia" w:ascii="仿宋_GB2312" w:hAnsi="仿宋_GB2312" w:cs="仿宋_GB2312"/>
          <w:color w:val="000000"/>
          <w:szCs w:val="36"/>
        </w:rPr>
        <w:t>其全部电量均应通过市场交易购买。</w:t>
      </w:r>
      <w:r>
        <w:rPr>
          <w:rStyle w:val="108"/>
          <w:rFonts w:hint="eastAsia" w:ascii="仿宋_GB2312" w:hAnsi="仿宋_GB2312" w:cs="仿宋_GB2312"/>
          <w:color w:val="000000"/>
          <w:szCs w:val="36"/>
          <w:shd w:val="clear" w:color="auto" w:fill="FFFFFF"/>
        </w:rPr>
        <w:t>支持年用电量超过500万千瓦时的用户与发电企业开展电力直接交易。</w:t>
      </w:r>
    </w:p>
    <w:p>
      <w:pPr>
        <w:spacing w:line="560" w:lineRule="exact"/>
        <w:ind w:firstLine="640" w:firstLineChars="200"/>
        <w:rPr>
          <w:rStyle w:val="108"/>
          <w:rFonts w:ascii="仿宋_GB2312" w:hAnsi="仿宋_GB2312" w:cs="仿宋_GB2312"/>
          <w:color w:val="000000"/>
          <w:szCs w:val="36"/>
        </w:rPr>
      </w:pPr>
      <w:r>
        <w:rPr>
          <w:rStyle w:val="108"/>
          <w:rFonts w:hint="eastAsia" w:ascii="仿宋_GB2312" w:hAnsi="仿宋_GB2312" w:cs="仿宋_GB2312"/>
          <w:color w:val="000000"/>
          <w:szCs w:val="36"/>
        </w:rPr>
        <w:t>对暂未从电力市场直接购电的用户，由国网北京市电力公司代理购电；已直接参与市场交易又退出的电力用户，以用户编号为单位，由国网北京市电力公司代理购电，</w:t>
      </w:r>
      <w:r>
        <w:rPr>
          <w:rStyle w:val="108"/>
          <w:rFonts w:hint="eastAsia" w:ascii="仿宋_GB2312" w:hAnsi="仿宋_GB2312" w:cs="仿宋_GB2312"/>
          <w:color w:val="000000"/>
          <w:szCs w:val="36"/>
          <w:shd w:val="clear" w:color="auto" w:fill="FFFFFF"/>
        </w:rPr>
        <w:t>其用电价格按照国家有关政策文件执行。由国网北京市电力公司代理购电的工商业用户，可在每季度最后15日前，在首都电力交易平台完成注册，选择</w:t>
      </w:r>
      <w:r>
        <w:rPr>
          <w:rStyle w:val="108"/>
          <w:rFonts w:hint="eastAsia" w:ascii="仿宋_GB2312" w:hAnsi="仿宋_GB2312" w:cs="仿宋_GB2312"/>
          <w:color w:val="000000"/>
          <w:szCs w:val="36"/>
          <w:shd w:val="clear" w:color="auto" w:fill="FFFFFF"/>
          <w:lang w:eastAsia="zh-CN"/>
        </w:rPr>
        <w:t>自</w:t>
      </w:r>
      <w:r>
        <w:rPr>
          <w:rStyle w:val="108"/>
          <w:rFonts w:hint="eastAsia" w:ascii="仿宋_GB2312" w:hAnsi="仿宋_GB2312" w:cs="仿宋_GB2312"/>
          <w:color w:val="000000"/>
          <w:szCs w:val="36"/>
          <w:shd w:val="clear" w:color="auto" w:fill="FFFFFF"/>
        </w:rPr>
        <w:t>下一季度起直接参与市场交易，国网北京市电力公司代理购电相应终止。首都电力交易</w:t>
      </w:r>
      <w:r>
        <w:rPr>
          <w:rStyle w:val="108"/>
          <w:rFonts w:hint="eastAsia" w:ascii="仿宋_GB2312" w:hAnsi="仿宋_GB2312" w:cs="仿宋_GB2312"/>
          <w:color w:val="000000"/>
          <w:szCs w:val="36"/>
        </w:rPr>
        <w:t>中心应将上述变更信息于2日内告知国网北京市电力公司。</w:t>
      </w:r>
    </w:p>
    <w:p>
      <w:pPr>
        <w:spacing w:line="560" w:lineRule="exact"/>
        <w:ind w:firstLine="640" w:firstLineChars="200"/>
        <w:rPr>
          <w:rFonts w:eastAsia="黑体" w:cs="黑体"/>
        </w:rPr>
      </w:pPr>
      <w:r>
        <w:rPr>
          <w:rFonts w:hint="eastAsia" w:eastAsia="黑体" w:cs="黑体"/>
        </w:rPr>
        <w:t>三、交易组织安排</w:t>
      </w:r>
    </w:p>
    <w:p>
      <w:pPr>
        <w:spacing w:line="560" w:lineRule="exact"/>
        <w:ind w:firstLine="640" w:firstLineChars="200"/>
        <w:rPr>
          <w:rStyle w:val="108"/>
          <w:rFonts w:cs="仿宋_GB2312"/>
          <w:color w:val="000000"/>
          <w:szCs w:val="36"/>
        </w:rPr>
      </w:pPr>
      <w:r>
        <w:rPr>
          <w:rStyle w:val="108"/>
          <w:rFonts w:hint="eastAsia" w:cs="仿宋_GB2312"/>
          <w:color w:val="000000"/>
          <w:szCs w:val="36"/>
        </w:rPr>
        <w:t>北京市电力市场化交易工作由北京电力交易中心、首都电力交易中心共同组织开展。</w:t>
      </w:r>
    </w:p>
    <w:p>
      <w:pPr>
        <w:spacing w:line="560" w:lineRule="exact"/>
        <w:ind w:firstLine="640" w:firstLineChars="200"/>
        <w:rPr>
          <w:rFonts w:eastAsia="楷体_GB2312" w:cs="楷体_GB2312"/>
        </w:rPr>
      </w:pPr>
      <w:r>
        <w:rPr>
          <w:rFonts w:hint="eastAsia" w:eastAsia="楷体_GB2312" w:cs="楷体_GB2312"/>
        </w:rPr>
        <w:t>（一）交易成员</w:t>
      </w:r>
    </w:p>
    <w:p>
      <w:pPr>
        <w:spacing w:line="560" w:lineRule="exact"/>
        <w:ind w:firstLine="640" w:firstLineChars="200"/>
        <w:rPr>
          <w:rStyle w:val="108"/>
          <w:rFonts w:ascii="仿宋_GB2312" w:hAnsi="仿宋_GB2312" w:cs="仿宋_GB2312"/>
          <w:color w:val="000000"/>
          <w:szCs w:val="36"/>
        </w:rPr>
      </w:pPr>
      <w:r>
        <w:rPr>
          <w:rStyle w:val="108"/>
          <w:rFonts w:hint="eastAsia" w:ascii="仿宋_GB2312" w:hAnsi="仿宋_GB2312" w:cs="仿宋_GB2312"/>
          <w:color w:val="000000"/>
          <w:szCs w:val="36"/>
        </w:rPr>
        <w:t>1.发电企业</w:t>
      </w:r>
    </w:p>
    <w:p>
      <w:pPr>
        <w:spacing w:line="560" w:lineRule="exact"/>
        <w:ind w:firstLine="640" w:firstLineChars="200"/>
        <w:rPr>
          <w:rStyle w:val="108"/>
          <w:rFonts w:ascii="仿宋_GB2312" w:hAnsi="仿宋_GB2312" w:cs="仿宋_GB2312"/>
          <w:color w:val="000000"/>
          <w:szCs w:val="36"/>
        </w:rPr>
      </w:pPr>
      <w:r>
        <w:rPr>
          <w:rStyle w:val="108"/>
          <w:rFonts w:hint="eastAsia" w:ascii="仿宋_GB2312" w:hAnsi="仿宋_GB2312" w:cs="仿宋_GB2312"/>
          <w:color w:val="000000"/>
          <w:szCs w:val="36"/>
        </w:rPr>
        <w:t>符合华北能源监管局《关于印发&lt;京津唐电网电力中长期交易规则&gt;的通知》（华北监能市场〔2020〕221号）有关要求的发电企业，具体以电力交易中心公告为准。</w:t>
      </w:r>
    </w:p>
    <w:p>
      <w:pPr>
        <w:spacing w:line="560" w:lineRule="exact"/>
        <w:ind w:firstLine="640" w:firstLineChars="200"/>
        <w:rPr>
          <w:rStyle w:val="108"/>
          <w:rFonts w:ascii="仿宋_GB2312" w:hAnsi="仿宋_GB2312" w:cs="仿宋_GB2312"/>
          <w:color w:val="000000"/>
          <w:szCs w:val="36"/>
        </w:rPr>
      </w:pPr>
      <w:r>
        <w:rPr>
          <w:rStyle w:val="108"/>
          <w:rFonts w:hint="eastAsia" w:ascii="仿宋_GB2312" w:hAnsi="仿宋_GB2312" w:cs="仿宋_GB2312"/>
          <w:color w:val="000000"/>
          <w:szCs w:val="36"/>
        </w:rPr>
        <w:t>2.售电公司</w:t>
      </w:r>
    </w:p>
    <w:p>
      <w:pPr>
        <w:spacing w:line="560" w:lineRule="exact"/>
        <w:ind w:firstLine="640" w:firstLineChars="200"/>
        <w:rPr>
          <w:rStyle w:val="108"/>
          <w:rFonts w:ascii="仿宋_GB2312" w:hAnsi="仿宋_GB2312" w:cs="仿宋_GB2312"/>
          <w:color w:val="000000"/>
          <w:szCs w:val="36"/>
        </w:rPr>
      </w:pPr>
      <w:r>
        <w:rPr>
          <w:rStyle w:val="108"/>
          <w:rFonts w:hint="eastAsia" w:ascii="仿宋_GB2312" w:hAnsi="仿宋_GB2312" w:cs="仿宋_GB2312"/>
          <w:color w:val="000000"/>
          <w:szCs w:val="36"/>
        </w:rPr>
        <w:t>在首都电力交易平台注册生效的售电公司。</w:t>
      </w:r>
    </w:p>
    <w:p>
      <w:pPr>
        <w:spacing w:line="560" w:lineRule="exact"/>
        <w:ind w:firstLine="640" w:firstLineChars="200"/>
        <w:rPr>
          <w:rStyle w:val="108"/>
          <w:rFonts w:ascii="仿宋_GB2312" w:hAnsi="仿宋_GB2312" w:cs="仿宋_GB2312"/>
          <w:color w:val="000000"/>
          <w:szCs w:val="36"/>
        </w:rPr>
      </w:pPr>
      <w:r>
        <w:rPr>
          <w:rStyle w:val="108"/>
          <w:rFonts w:hint="eastAsia" w:ascii="仿宋_GB2312" w:hAnsi="仿宋_GB2312" w:cs="仿宋_GB2312"/>
          <w:color w:val="000000"/>
          <w:szCs w:val="36"/>
        </w:rPr>
        <w:t>3.直接参与市场交易的电力用户</w:t>
      </w:r>
    </w:p>
    <w:p>
      <w:pPr>
        <w:spacing w:line="560" w:lineRule="exact"/>
        <w:ind w:firstLine="640" w:firstLineChars="200"/>
        <w:rPr>
          <w:rStyle w:val="108"/>
          <w:rFonts w:ascii="仿宋_GB2312" w:hAnsi="仿宋_GB2312" w:cs="仿宋_GB2312"/>
          <w:color w:val="000000"/>
          <w:szCs w:val="36"/>
        </w:rPr>
      </w:pPr>
      <w:r>
        <w:rPr>
          <w:rStyle w:val="108"/>
          <w:rFonts w:hint="eastAsia" w:ascii="仿宋_GB2312" w:hAnsi="仿宋_GB2312" w:cs="仿宋_GB2312"/>
          <w:color w:val="000000"/>
          <w:szCs w:val="36"/>
        </w:rPr>
        <w:t>在首都电力交易平台注册生效的电力用户。</w:t>
      </w:r>
    </w:p>
    <w:p>
      <w:pPr>
        <w:spacing w:line="560" w:lineRule="exact"/>
        <w:ind w:firstLine="640" w:firstLineChars="200"/>
        <w:rPr>
          <w:rStyle w:val="108"/>
          <w:rFonts w:ascii="仿宋_GB2312" w:hAnsi="仿宋_GB2312" w:cs="仿宋_GB2312"/>
          <w:color w:val="000000"/>
          <w:szCs w:val="36"/>
        </w:rPr>
      </w:pPr>
      <w:r>
        <w:rPr>
          <w:rStyle w:val="108"/>
          <w:rFonts w:hint="eastAsia" w:ascii="仿宋_GB2312" w:hAnsi="仿宋_GB2312" w:cs="仿宋_GB2312"/>
          <w:color w:val="000000"/>
          <w:szCs w:val="36"/>
        </w:rPr>
        <w:t>4.国网北京市电力公司及其代理的电力用户</w:t>
      </w:r>
    </w:p>
    <w:p>
      <w:pPr>
        <w:spacing w:line="560" w:lineRule="exact"/>
        <w:ind w:firstLine="640" w:firstLineChars="200"/>
        <w:rPr>
          <w:rFonts w:eastAsia="楷体_GB2312" w:cs="楷体_GB2312"/>
        </w:rPr>
      </w:pPr>
      <w:r>
        <w:rPr>
          <w:rFonts w:hint="eastAsia" w:eastAsia="楷体_GB2312" w:cs="楷体_GB2312"/>
        </w:rPr>
        <w:t>（二）交易组织具体方式</w:t>
      </w:r>
    </w:p>
    <w:p>
      <w:pPr>
        <w:spacing w:line="560" w:lineRule="exact"/>
        <w:ind w:firstLine="640" w:firstLineChars="200"/>
        <w:rPr>
          <w:rStyle w:val="108"/>
          <w:rFonts w:ascii="仿宋_GB2312" w:hAnsi="仿宋_GB2312" w:cs="仿宋_GB2312"/>
          <w:color w:val="000000"/>
          <w:szCs w:val="36"/>
        </w:rPr>
      </w:pPr>
      <w:r>
        <w:rPr>
          <w:rStyle w:val="108"/>
          <w:rFonts w:hint="eastAsia" w:ascii="仿宋_GB2312" w:hAnsi="仿宋_GB2312" w:cs="仿宋_GB2312"/>
          <w:color w:val="000000"/>
          <w:szCs w:val="36"/>
        </w:rPr>
        <w:t>1.交易方式</w:t>
      </w:r>
    </w:p>
    <w:p>
      <w:pPr>
        <w:widowControl/>
        <w:spacing w:line="560" w:lineRule="exact"/>
        <w:ind w:firstLine="640" w:firstLineChars="200"/>
        <w:jc w:val="both"/>
        <w:rPr>
          <w:rStyle w:val="108"/>
          <w:rFonts w:ascii="仿宋_GB2312" w:hAnsi="仿宋_GB2312" w:cs="仿宋_GB2312"/>
          <w:color w:val="000000"/>
        </w:rPr>
      </w:pPr>
      <w:r>
        <w:rPr>
          <w:rStyle w:val="108"/>
          <w:rFonts w:hint="eastAsia" w:ascii="仿宋_GB2312" w:hAnsi="仿宋_GB2312" w:cs="仿宋_GB2312"/>
          <w:color w:val="000000"/>
        </w:rPr>
        <w:t>（1）为贯彻落实国家电力市场化改革工作部署，2023年北京市采用双边协商、集中交易等方式开展分时段电力中长期交易</w:t>
      </w:r>
      <w:r>
        <w:rPr>
          <w:rFonts w:hint="eastAsia" w:ascii="仿宋_GB2312" w:hAnsi="仿宋_GB2312" w:cs="仿宋_GB2312"/>
          <w:color w:val="000000"/>
        </w:rPr>
        <w:t>。</w:t>
      </w:r>
      <w:r>
        <w:rPr>
          <w:rStyle w:val="108"/>
          <w:rFonts w:hint="eastAsia" w:ascii="仿宋_GB2312" w:hAnsi="仿宋_GB2312" w:cs="仿宋_GB2312"/>
          <w:color w:val="000000"/>
        </w:rPr>
        <w:t>交易周期包含年度、月度等。年度交易按月申报，以双边协商为主，月度、</w:t>
      </w:r>
      <w:r>
        <w:rPr>
          <w:rFonts w:hint="eastAsia" w:ascii="仿宋_GB2312" w:hAnsi="仿宋_GB2312" w:cs="仿宋_GB2312"/>
          <w:color w:val="000000"/>
        </w:rPr>
        <w:t>月内</w:t>
      </w:r>
      <w:r>
        <w:rPr>
          <w:rStyle w:val="108"/>
          <w:rFonts w:hint="eastAsia" w:ascii="仿宋_GB2312" w:hAnsi="仿宋_GB2312" w:cs="仿宋_GB2312"/>
          <w:color w:val="000000"/>
        </w:rPr>
        <w:t>交易以集中竞价为主。具体内容按照电力交易中心发布的交易公告执行。电网企业代理购电交易方式按照国家、北京市有关文件规定执行。</w:t>
      </w:r>
    </w:p>
    <w:p>
      <w:pPr>
        <w:widowControl/>
        <w:spacing w:line="560" w:lineRule="exact"/>
        <w:ind w:firstLine="640" w:firstLineChars="200"/>
        <w:jc w:val="left"/>
        <w:rPr>
          <w:rStyle w:val="108"/>
          <w:rFonts w:ascii="仿宋_GB2312" w:hAnsi="仿宋_GB2312" w:cs="仿宋_GB2312"/>
          <w:color w:val="000000"/>
        </w:rPr>
      </w:pPr>
      <w:r>
        <w:rPr>
          <w:rStyle w:val="108"/>
          <w:rFonts w:hint="eastAsia" w:ascii="仿宋_GB2312" w:hAnsi="仿宋_GB2312" w:cs="仿宋_GB2312"/>
          <w:color w:val="000000"/>
        </w:rPr>
        <w:t>（2）用户侧合同电量转让交易</w:t>
      </w:r>
    </w:p>
    <w:p>
      <w:pPr>
        <w:spacing w:line="560" w:lineRule="exact"/>
        <w:ind w:firstLine="640" w:firstLineChars="200"/>
        <w:rPr>
          <w:rFonts w:ascii="仿宋_GB2312" w:hAnsi="仿宋_GB2312" w:cs="仿宋_GB2312"/>
        </w:rPr>
      </w:pPr>
      <w:r>
        <w:rPr>
          <w:rFonts w:hint="eastAsia" w:ascii="仿宋_GB2312" w:hAnsi="仿宋_GB2312" w:cs="仿宋_GB2312"/>
        </w:rPr>
        <w:t>合同电量转让交易产生的合同仅限于用户侧批发市场交易结算，</w:t>
      </w:r>
      <w:r>
        <w:rPr>
          <w:rFonts w:hint="eastAsia" w:ascii="仿宋_GB2312" w:hAnsi="仿宋_GB2312" w:cs="仿宋_GB2312"/>
          <w:color w:val="000000"/>
          <w:kern w:val="0"/>
          <w:lang w:bidi="ar"/>
        </w:rPr>
        <w:t>原则上在同批次电力直接交易前开展。</w:t>
      </w:r>
      <w:r>
        <w:rPr>
          <w:rFonts w:hint="eastAsia" w:ascii="仿宋_GB2312" w:hAnsi="仿宋_GB2312" w:cs="仿宋_GB2312"/>
        </w:rPr>
        <w:t>北京地区电力市场用户的用电价格中，电能量交易价格成分不包含合同电量转让交易价格。合同电量转让交易价格由市场主体在北京地区220千伏落地侧交易达成（不含省内输配电价、政府性基金及附加）。</w:t>
      </w:r>
    </w:p>
    <w:p>
      <w:pPr>
        <w:widowControl/>
        <w:spacing w:line="560" w:lineRule="exact"/>
        <w:ind w:firstLine="640" w:firstLineChars="200"/>
        <w:jc w:val="both"/>
        <w:rPr>
          <w:rFonts w:ascii="仿宋_GB2312" w:hAnsi="仿宋_GB2312" w:cs="仿宋_GB2312"/>
          <w:highlight w:val="none"/>
        </w:rPr>
      </w:pPr>
      <w:r>
        <w:rPr>
          <w:rFonts w:hint="eastAsia" w:ascii="仿宋_GB2312" w:hAnsi="仿宋_GB2312" w:cs="仿宋_GB2312"/>
          <w:color w:val="000000"/>
          <w:kern w:val="0"/>
          <w:highlight w:val="none"/>
          <w:lang w:bidi="ar"/>
        </w:rPr>
        <w:t>合同电量转让交易结算采用月清月结方式。已</w:t>
      </w:r>
      <w:r>
        <w:rPr>
          <w:rFonts w:hint="eastAsia" w:ascii="仿宋_GB2312" w:hAnsi="仿宋_GB2312" w:cs="仿宋_GB2312"/>
          <w:highlight w:val="none"/>
        </w:rPr>
        <w:t>达成年度（有分月结果）或月度（含月内）电力直接交易结果的市场主体方可参加合同电量转让交易。</w:t>
      </w:r>
      <w:r>
        <w:rPr>
          <w:rFonts w:hint="eastAsia" w:ascii="仿宋_GB2312" w:hAnsi="仿宋_GB2312" w:cs="仿宋_GB2312"/>
          <w:color w:val="000000"/>
          <w:kern w:val="0"/>
          <w:highlight w:val="none"/>
          <w:lang w:bidi="ar"/>
        </w:rPr>
        <w:t xml:space="preserve"> </w:t>
      </w:r>
    </w:p>
    <w:p>
      <w:pPr>
        <w:spacing w:line="560" w:lineRule="exact"/>
        <w:ind w:firstLine="640" w:firstLineChars="200"/>
        <w:rPr>
          <w:rStyle w:val="108"/>
          <w:rFonts w:ascii="仿宋_GB2312" w:hAnsi="仿宋_GB2312" w:cs="仿宋_GB2312"/>
          <w:color w:val="000000"/>
        </w:rPr>
      </w:pPr>
      <w:r>
        <w:rPr>
          <w:rStyle w:val="108"/>
          <w:rFonts w:hint="eastAsia" w:ascii="仿宋_GB2312" w:hAnsi="仿宋_GB2312" w:cs="仿宋_GB2312"/>
          <w:color w:val="000000"/>
        </w:rPr>
        <w:t>2.交易单元</w:t>
      </w:r>
    </w:p>
    <w:p>
      <w:pPr>
        <w:spacing w:line="560" w:lineRule="exact"/>
        <w:ind w:firstLine="640" w:firstLineChars="200"/>
        <w:rPr>
          <w:rStyle w:val="108"/>
          <w:rFonts w:ascii="仿宋_GB2312" w:hAnsi="仿宋_GB2312" w:cs="仿宋_GB2312"/>
          <w:color w:val="000000"/>
        </w:rPr>
      </w:pPr>
      <w:r>
        <w:rPr>
          <w:rStyle w:val="108"/>
          <w:rFonts w:hint="eastAsia" w:ascii="仿宋_GB2312" w:hAnsi="仿宋_GB2312" w:cs="仿宋_GB2312"/>
          <w:color w:val="000000"/>
        </w:rPr>
        <w:t>电力用户：将注册用户全部电压等级的用电单元统一打包参与交易。</w:t>
      </w:r>
    </w:p>
    <w:p>
      <w:pPr>
        <w:spacing w:line="560" w:lineRule="exact"/>
        <w:ind w:firstLine="640" w:firstLineChars="200"/>
        <w:rPr>
          <w:rStyle w:val="108"/>
          <w:rFonts w:ascii="仿宋_GB2312" w:hAnsi="仿宋_GB2312" w:cs="仿宋_GB2312"/>
          <w:color w:val="000000"/>
        </w:rPr>
      </w:pPr>
      <w:r>
        <w:rPr>
          <w:rStyle w:val="108"/>
          <w:rFonts w:hint="eastAsia" w:ascii="仿宋_GB2312" w:hAnsi="仿宋_GB2312" w:cs="仿宋_GB2312"/>
          <w:color w:val="000000"/>
        </w:rPr>
        <w:t>售电公司：将所代理用户全部电压等级的用电单元统一打包参与交易。</w:t>
      </w:r>
    </w:p>
    <w:p>
      <w:pPr>
        <w:spacing w:line="560" w:lineRule="exact"/>
        <w:ind w:firstLine="640" w:firstLineChars="200"/>
        <w:rPr>
          <w:rStyle w:val="108"/>
          <w:rFonts w:ascii="仿宋_GB2312" w:hAnsi="仿宋_GB2312" w:cs="仿宋_GB2312"/>
          <w:color w:val="000000"/>
        </w:rPr>
      </w:pPr>
      <w:r>
        <w:rPr>
          <w:rStyle w:val="108"/>
          <w:rFonts w:hint="eastAsia" w:ascii="仿宋_GB2312" w:hAnsi="仿宋_GB2312" w:cs="仿宋_GB2312"/>
          <w:color w:val="000000"/>
        </w:rPr>
        <w:t>国网北京市电力公司：将所代理用户全部电压等级的用户编号统一打包参与交易。</w:t>
      </w:r>
    </w:p>
    <w:p>
      <w:pPr>
        <w:spacing w:line="560" w:lineRule="exact"/>
        <w:ind w:firstLine="640" w:firstLineChars="200"/>
        <w:rPr>
          <w:rStyle w:val="108"/>
          <w:rFonts w:ascii="仿宋_GB2312" w:hAnsi="仿宋_GB2312" w:cs="仿宋_GB2312"/>
          <w:color w:val="000000"/>
        </w:rPr>
      </w:pPr>
      <w:r>
        <w:rPr>
          <w:rStyle w:val="108"/>
          <w:rFonts w:hint="eastAsia" w:ascii="仿宋_GB2312" w:hAnsi="仿宋_GB2312" w:cs="仿宋_GB2312"/>
          <w:color w:val="000000"/>
        </w:rPr>
        <w:t>3.安全校核</w:t>
      </w:r>
    </w:p>
    <w:p>
      <w:pPr>
        <w:spacing w:line="560" w:lineRule="exact"/>
        <w:ind w:firstLine="640" w:firstLineChars="200"/>
        <w:rPr>
          <w:rStyle w:val="108"/>
          <w:rFonts w:ascii="仿宋_GB2312" w:hAnsi="仿宋_GB2312" w:cs="仿宋_GB2312"/>
          <w:color w:val="000000"/>
        </w:rPr>
      </w:pPr>
      <w:r>
        <w:rPr>
          <w:rStyle w:val="108"/>
          <w:rFonts w:hint="eastAsia" w:ascii="仿宋_GB2312" w:hAnsi="仿宋_GB2312" w:cs="仿宋_GB2312"/>
          <w:color w:val="000000"/>
        </w:rPr>
        <w:t>由国网华北分部电力调度控制中心会同相关电力调度机构协调开展直接交易安全校核工作。</w:t>
      </w:r>
    </w:p>
    <w:p>
      <w:pPr>
        <w:spacing w:line="560" w:lineRule="exact"/>
        <w:ind w:firstLine="640" w:firstLineChars="200"/>
        <w:rPr>
          <w:rStyle w:val="108"/>
          <w:rFonts w:ascii="仿宋_GB2312" w:hAnsi="仿宋_GB2312" w:cs="仿宋_GB2312"/>
          <w:color w:val="000000"/>
        </w:rPr>
      </w:pPr>
      <w:r>
        <w:rPr>
          <w:rStyle w:val="108"/>
          <w:rFonts w:hint="eastAsia" w:ascii="仿宋_GB2312" w:hAnsi="仿宋_GB2312" w:cs="仿宋_GB2312"/>
          <w:color w:val="000000"/>
        </w:rPr>
        <w:t>4.交易结果发布</w:t>
      </w:r>
    </w:p>
    <w:p>
      <w:pPr>
        <w:spacing w:line="560" w:lineRule="exact"/>
        <w:ind w:firstLine="640" w:firstLineChars="200"/>
        <w:rPr>
          <w:rStyle w:val="108"/>
          <w:rFonts w:ascii="仿宋_GB2312" w:hAnsi="仿宋_GB2312" w:cs="仿宋_GB2312"/>
          <w:color w:val="000000"/>
        </w:rPr>
      </w:pPr>
      <w:r>
        <w:rPr>
          <w:rStyle w:val="108"/>
          <w:rFonts w:hint="eastAsia" w:ascii="仿宋_GB2312" w:hAnsi="仿宋_GB2312" w:cs="仿宋_GB2312"/>
          <w:color w:val="000000"/>
        </w:rPr>
        <w:t>由北京电力交易中心、首都电力交易中心联合发布交易结果。交易结果一经电力交易平台发布即作为交易执行依据，交易各方不再签订纸质合同。</w:t>
      </w:r>
    </w:p>
    <w:p>
      <w:pPr>
        <w:spacing w:line="560" w:lineRule="exact"/>
        <w:ind w:firstLine="640" w:firstLineChars="200"/>
        <w:rPr>
          <w:rFonts w:eastAsia="黑体" w:cs="黑体"/>
        </w:rPr>
      </w:pPr>
      <w:r>
        <w:rPr>
          <w:rFonts w:hint="eastAsia" w:eastAsia="黑体" w:cs="黑体"/>
        </w:rPr>
        <w:t>四、直接交易价格</w:t>
      </w:r>
    </w:p>
    <w:p>
      <w:pPr>
        <w:spacing w:line="560" w:lineRule="exact"/>
        <w:ind w:firstLine="640" w:firstLineChars="200"/>
        <w:rPr>
          <w:rStyle w:val="108"/>
          <w:rFonts w:ascii="仿宋_GB2312" w:hAnsi="仿宋_GB2312" w:cs="仿宋_GB2312"/>
          <w:color w:val="000000"/>
        </w:rPr>
      </w:pPr>
      <w:r>
        <w:rPr>
          <w:rFonts w:hint="eastAsia" w:ascii="仿宋_GB2312" w:hAnsi="仿宋_GB2312" w:cs="仿宋_GB2312"/>
          <w:color w:val="000000"/>
        </w:rPr>
        <w:t>燃煤发电市场交易价格在“基准价+上下浮动</w:t>
      </w:r>
      <w:r>
        <w:rPr>
          <w:rFonts w:ascii="仿宋_GB2312" w:hAnsi="仿宋_GB2312" w:cs="仿宋_GB2312"/>
          <w:color w:val="000000"/>
        </w:rPr>
        <w:t>”</w:t>
      </w:r>
      <w:r>
        <w:rPr>
          <w:rFonts w:hint="eastAsia" w:ascii="仿宋_GB2312" w:hAnsi="仿宋_GB2312" w:cs="仿宋_GB2312"/>
          <w:color w:val="000000"/>
        </w:rPr>
        <w:t>范围内形成，基准价适用落地省基准价水平，浮动范围原则上均不超过20%。高耗能企业市场交易电价不受上浮20%限制</w:t>
      </w:r>
      <w:r>
        <w:rPr>
          <w:rFonts w:hint="eastAsia" w:ascii="仿宋_GB2312" w:hAnsi="仿宋_GB2312" w:cs="仿宋_GB2312"/>
          <w:color w:val="404040"/>
        </w:rPr>
        <w:t>。</w:t>
      </w:r>
      <w:r>
        <w:rPr>
          <w:rStyle w:val="108"/>
          <w:rFonts w:hint="eastAsia" w:ascii="仿宋_GB2312" w:hAnsi="仿宋_GB2312" w:cs="仿宋_GB2312"/>
          <w:color w:val="000000"/>
        </w:rPr>
        <w:t>鼓励购售双方在中长期合同中设立交易电价随燃料成本变化合理浮动条款，实行交易价格与煤炭价格挂钩联动，保障能源稳定供应。</w:t>
      </w:r>
    </w:p>
    <w:p>
      <w:pPr>
        <w:spacing w:line="560" w:lineRule="exact"/>
        <w:ind w:firstLine="640" w:firstLineChars="200"/>
        <w:rPr>
          <w:rFonts w:eastAsia="楷体_GB2312" w:cs="楷体_GB2312"/>
        </w:rPr>
      </w:pPr>
      <w:r>
        <w:rPr>
          <w:rFonts w:hint="eastAsia" w:eastAsia="楷体_GB2312" w:cs="楷体_GB2312"/>
        </w:rPr>
        <w:t>（一）时段划分</w:t>
      </w:r>
    </w:p>
    <w:p>
      <w:pPr>
        <w:spacing w:line="560" w:lineRule="exact"/>
        <w:ind w:firstLine="640" w:firstLineChars="200"/>
        <w:rPr>
          <w:rStyle w:val="108"/>
          <w:rFonts w:ascii="仿宋_GB2312" w:hAnsi="仿宋_GB2312" w:cs="仿宋_GB2312"/>
          <w:color w:val="000000"/>
          <w:szCs w:val="36"/>
        </w:rPr>
      </w:pPr>
      <w:r>
        <w:rPr>
          <w:rStyle w:val="108"/>
          <w:rFonts w:hint="eastAsia" w:ascii="仿宋_GB2312" w:hAnsi="仿宋_GB2312" w:cs="仿宋_GB2312"/>
          <w:color w:val="000000"/>
          <w:szCs w:val="36"/>
        </w:rPr>
        <w:t>2023年北京市电力市场化交易申报分为以下四个时段：</w:t>
      </w:r>
    </w:p>
    <w:p>
      <w:pPr>
        <w:spacing w:line="560" w:lineRule="exact"/>
        <w:ind w:firstLine="640" w:firstLineChars="200"/>
        <w:rPr>
          <w:rStyle w:val="108"/>
          <w:rFonts w:ascii="仿宋_GB2312" w:hAnsi="仿宋_GB2312" w:cs="仿宋_GB2312"/>
          <w:color w:val="000000"/>
          <w:szCs w:val="36"/>
        </w:rPr>
      </w:pPr>
      <w:r>
        <w:rPr>
          <w:rStyle w:val="108"/>
          <w:rFonts w:hint="eastAsia" w:ascii="仿宋_GB2312" w:hAnsi="仿宋_GB2312" w:cs="仿宋_GB2312"/>
          <w:color w:val="000000"/>
          <w:szCs w:val="36"/>
        </w:rPr>
        <w:t>1.高峰时段：每日10:00-15:00、18:00-21:00；</w:t>
      </w:r>
    </w:p>
    <w:p>
      <w:pPr>
        <w:spacing w:line="560" w:lineRule="exact"/>
        <w:ind w:firstLine="640" w:firstLineChars="200"/>
        <w:rPr>
          <w:rStyle w:val="108"/>
          <w:rFonts w:ascii="仿宋_GB2312" w:hAnsi="仿宋_GB2312" w:cs="仿宋_GB2312"/>
          <w:color w:val="000000"/>
          <w:szCs w:val="36"/>
        </w:rPr>
      </w:pPr>
      <w:r>
        <w:rPr>
          <w:rStyle w:val="108"/>
          <w:rFonts w:hint="eastAsia" w:ascii="仿宋_GB2312" w:hAnsi="仿宋_GB2312" w:cs="仿宋_GB2312"/>
          <w:color w:val="000000"/>
          <w:szCs w:val="36"/>
        </w:rPr>
        <w:t>2.平段：每日7:00-10:00、15:00-18:00、21:00-23:00；</w:t>
      </w:r>
    </w:p>
    <w:p>
      <w:pPr>
        <w:spacing w:line="560" w:lineRule="exact"/>
        <w:ind w:firstLine="640" w:firstLineChars="200"/>
        <w:rPr>
          <w:rStyle w:val="108"/>
          <w:rFonts w:ascii="仿宋_GB2312" w:hAnsi="仿宋_GB2312" w:cs="仿宋_GB2312"/>
          <w:color w:val="000000"/>
          <w:szCs w:val="36"/>
        </w:rPr>
      </w:pPr>
      <w:r>
        <w:rPr>
          <w:rStyle w:val="108"/>
          <w:rFonts w:hint="eastAsia" w:ascii="仿宋_GB2312" w:hAnsi="仿宋_GB2312" w:cs="仿宋_GB2312"/>
          <w:color w:val="000000"/>
          <w:szCs w:val="36"/>
        </w:rPr>
        <w:t>3.低谷时段：每日23:00-次日7:00；</w:t>
      </w:r>
    </w:p>
    <w:p>
      <w:pPr>
        <w:spacing w:line="560" w:lineRule="exact"/>
        <w:ind w:firstLine="640" w:firstLineChars="200"/>
        <w:rPr>
          <w:rStyle w:val="108"/>
          <w:rFonts w:ascii="仿宋_GB2312" w:hAnsi="仿宋_GB2312" w:cs="仿宋_GB2312"/>
          <w:color w:val="000000"/>
          <w:szCs w:val="36"/>
        </w:rPr>
      </w:pPr>
      <w:r>
        <w:rPr>
          <w:rStyle w:val="108"/>
          <w:rFonts w:hint="eastAsia" w:ascii="仿宋_GB2312" w:hAnsi="仿宋_GB2312" w:cs="仿宋_GB2312"/>
          <w:color w:val="000000"/>
          <w:szCs w:val="36"/>
        </w:rPr>
        <w:t>4.夏季尖峰时段：7-8月每日11:00-13:00、16:00-17:00。</w:t>
      </w:r>
    </w:p>
    <w:p>
      <w:pPr>
        <w:spacing w:line="560" w:lineRule="exact"/>
        <w:ind w:firstLine="640" w:firstLineChars="200"/>
        <w:rPr>
          <w:rFonts w:eastAsia="楷体_GB2312" w:cs="楷体_GB2312"/>
        </w:rPr>
      </w:pPr>
      <w:r>
        <w:rPr>
          <w:rFonts w:hint="eastAsia" w:eastAsia="楷体_GB2312" w:cs="楷体_GB2312"/>
        </w:rPr>
        <w:t>（二）交易价格</w:t>
      </w:r>
    </w:p>
    <w:p>
      <w:pPr>
        <w:spacing w:line="560" w:lineRule="exact"/>
        <w:ind w:firstLine="640" w:firstLineChars="200"/>
        <w:rPr>
          <w:rStyle w:val="108"/>
          <w:rFonts w:ascii="仿宋_GB2312" w:hAnsi="仿宋_GB2312" w:cs="仿宋_GB2312"/>
          <w:color w:val="000000"/>
          <w:highlight w:val="green"/>
        </w:rPr>
      </w:pPr>
      <w:r>
        <w:rPr>
          <w:rStyle w:val="108"/>
          <w:rFonts w:hint="eastAsia" w:ascii="仿宋_GB2312" w:hAnsi="仿宋_GB2312" w:cs="仿宋_GB2312"/>
          <w:color w:val="000000"/>
        </w:rPr>
        <w:t>电能量交易价格为通过电力市场直接交易形成的价格。</w:t>
      </w:r>
    </w:p>
    <w:p>
      <w:pPr>
        <w:spacing w:line="560" w:lineRule="exact"/>
        <w:ind w:firstLine="640" w:firstLineChars="200"/>
        <w:rPr>
          <w:rStyle w:val="108"/>
          <w:rFonts w:ascii="仿宋_GB2312" w:hAnsi="仿宋_GB2312" w:cs="仿宋_GB2312"/>
          <w:color w:val="000000"/>
        </w:rPr>
      </w:pPr>
      <w:r>
        <w:rPr>
          <w:rStyle w:val="108"/>
          <w:rFonts w:hint="eastAsia" w:ascii="仿宋_GB2312" w:hAnsi="仿宋_GB2312" w:cs="仿宋_GB2312"/>
          <w:color w:val="000000"/>
        </w:rPr>
        <w:t>北京市电力市场用户的用电价格由电能量交易价格、输配电价格、辅助服务费用、政府性基金及附加等构成。国网北京市电力公司为保障北京市居民、农业用电价格稳定产生的新增损益（含偏差电费）、线损电量平均购电价格与当期电网企业平均购电成本相比的新增损益，按月由全体工商业用户分摊或分享。</w:t>
      </w:r>
    </w:p>
    <w:p>
      <w:pPr>
        <w:spacing w:line="560" w:lineRule="exact"/>
        <w:ind w:firstLine="640" w:firstLineChars="200"/>
        <w:rPr>
          <w:rStyle w:val="108"/>
          <w:rFonts w:ascii="仿宋_GB2312" w:hAnsi="仿宋_GB2312" w:cs="仿宋_GB2312"/>
          <w:color w:val="000000"/>
          <w:highlight w:val="none"/>
        </w:rPr>
      </w:pPr>
      <w:r>
        <w:rPr>
          <w:rStyle w:val="108"/>
          <w:rFonts w:hint="eastAsia" w:ascii="仿宋_GB2312" w:hAnsi="仿宋_GB2312" w:cs="仿宋_GB2312"/>
          <w:color w:val="000000"/>
          <w:highlight w:val="none"/>
        </w:rPr>
        <w:t>第三监管周期输配电价执行前，2023年北京电网输配电价暂按照《国家发展改革委关于核定2020-2022年省级电网输配电价的通知》(发改价格规〔2020〕1508号)执行。送出省输电价按有关文件执行。待新的输配电价文件发布后，按相关规定执行。</w:t>
      </w:r>
    </w:p>
    <w:p>
      <w:pPr>
        <w:spacing w:line="560" w:lineRule="exact"/>
        <w:ind w:firstLine="640" w:firstLineChars="200"/>
        <w:rPr>
          <w:rStyle w:val="108"/>
          <w:rFonts w:ascii="仿宋_GB2312" w:hAnsi="仿宋_GB2312" w:cs="仿宋_GB2312"/>
          <w:color w:val="000000"/>
          <w:highlight w:val="yellow"/>
        </w:rPr>
      </w:pPr>
      <w:r>
        <w:rPr>
          <w:rStyle w:val="108"/>
          <w:rFonts w:hint="eastAsia" w:ascii="仿宋_GB2312" w:hAnsi="仿宋_GB2312" w:cs="仿宋_GB2312"/>
          <w:color w:val="000000"/>
        </w:rPr>
        <w:t>发电企业直接报总量参与交易，交易价格执行单一报价，峰段、平段、谷段各时段电价一致。电力直接交易批发交易用户（电力用户、售电公司）采用分时段报量、单一报价的模式，按照峰段、平段、谷段分别报量，以总量参与交易。</w:t>
      </w:r>
    </w:p>
    <w:p>
      <w:pPr>
        <w:spacing w:line="560" w:lineRule="exact"/>
        <w:ind w:firstLine="640" w:firstLineChars="200"/>
        <w:rPr>
          <w:rStyle w:val="108"/>
          <w:rFonts w:ascii="仿宋_GB2312" w:hAnsi="仿宋_GB2312" w:cs="仿宋_GB2312"/>
          <w:color w:val="000000"/>
        </w:rPr>
      </w:pPr>
      <w:r>
        <w:rPr>
          <w:rStyle w:val="108"/>
          <w:rFonts w:hint="eastAsia" w:ascii="仿宋_GB2312" w:hAnsi="仿宋_GB2312" w:cs="仿宋_GB2312"/>
          <w:color w:val="000000"/>
        </w:rPr>
        <w:t>执行峰谷分时电价政策的用户，继续执行峰谷分时电价政策；电能量交易价格作为平段电价，峰谷分时电价浮动比例暂按原目录电价（不含政府性基金及附加）相应类别比价计算，如遇政策调整，按新文件规定执行。</w:t>
      </w:r>
    </w:p>
    <w:p>
      <w:pPr>
        <w:spacing w:line="560" w:lineRule="exact"/>
        <w:ind w:firstLine="640" w:firstLineChars="200"/>
        <w:rPr>
          <w:rFonts w:ascii="仿宋_GB2312" w:hAnsi="仿宋_GB2312" w:cs="仿宋_GB2312"/>
        </w:rPr>
      </w:pPr>
      <w:r>
        <w:rPr>
          <w:rStyle w:val="108"/>
          <w:rFonts w:hint="eastAsia" w:ascii="仿宋_GB2312" w:hAnsi="仿宋_GB2312" w:cs="仿宋_GB2312"/>
          <w:color w:val="000000"/>
        </w:rPr>
        <w:t>北京电网输配电价、华北电网输电价格和政府性基金及附加不执行峰谷分时电价。如遇电价政策调整，按照新政策执行。</w:t>
      </w:r>
    </w:p>
    <w:p>
      <w:pPr>
        <w:spacing w:line="560" w:lineRule="exact"/>
        <w:ind w:firstLine="640" w:firstLineChars="200"/>
        <w:rPr>
          <w:rFonts w:ascii="黑体" w:hAnsi="黑体" w:eastAsia="黑体" w:cs="黑体"/>
        </w:rPr>
      </w:pPr>
      <w:r>
        <w:rPr>
          <w:rFonts w:hint="eastAsia" w:ascii="黑体" w:hAnsi="黑体" w:eastAsia="黑体" w:cs="黑体"/>
        </w:rPr>
        <w:t>五、结算方式</w:t>
      </w:r>
    </w:p>
    <w:p>
      <w:pPr>
        <w:pStyle w:val="59"/>
        <w:spacing w:line="560" w:lineRule="exact"/>
        <w:ind w:firstLine="640"/>
        <w:rPr>
          <w:rFonts w:ascii="仿宋_GB2312" w:hAnsi="仿宋_GB2312" w:eastAsia="仿宋_GB2312" w:cs="仿宋_GB2312"/>
          <w:snapToGrid w:val="0"/>
          <w:kern w:val="32"/>
          <w:sz w:val="32"/>
          <w:szCs w:val="32"/>
        </w:rPr>
      </w:pPr>
      <w:r>
        <w:rPr>
          <w:rFonts w:hint="eastAsia" w:ascii="仿宋_GB2312" w:hAnsi="仿宋_GB2312" w:eastAsia="仿宋_GB2312" w:cs="仿宋_GB2312"/>
          <w:snapToGrid w:val="0"/>
          <w:kern w:val="32"/>
          <w:sz w:val="32"/>
          <w:szCs w:val="32"/>
        </w:rPr>
        <w:t>2023年北京地区电力市场化交易结算方式按照华北能源监管局现行政策文件执行。电网企业代理购电产生的偏差电量，按国家、北京市相关文件规定执行。如遇政策调整，按照新政策执行。</w:t>
      </w:r>
    </w:p>
    <w:p>
      <w:pPr>
        <w:spacing w:line="560" w:lineRule="exact"/>
        <w:ind w:firstLine="640" w:firstLineChars="200"/>
        <w:rPr>
          <w:rFonts w:eastAsia="楷体_GB2312" w:cs="楷体_GB2312"/>
        </w:rPr>
      </w:pPr>
      <w:r>
        <w:rPr>
          <w:rFonts w:hint="eastAsia" w:eastAsia="楷体_GB2312" w:cs="楷体_GB2312"/>
        </w:rPr>
        <w:t>（一）调节系数</w:t>
      </w:r>
    </w:p>
    <w:p>
      <w:pPr>
        <w:pStyle w:val="59"/>
        <w:spacing w:line="560" w:lineRule="exact"/>
        <w:ind w:firstLine="640"/>
        <w:rPr>
          <w:rFonts w:ascii="仿宋_GB2312" w:hAnsi="仿宋_GB2312" w:eastAsia="仿宋_GB2312" w:cs="仿宋_GB2312"/>
          <w:snapToGrid w:val="0"/>
          <w:kern w:val="32"/>
          <w:sz w:val="32"/>
          <w:szCs w:val="32"/>
          <w:highlight w:val="none"/>
        </w:rPr>
      </w:pPr>
      <w:r>
        <w:rPr>
          <w:rFonts w:hint="eastAsia" w:ascii="仿宋_GB2312" w:hAnsi="仿宋_GB2312" w:eastAsia="仿宋_GB2312" w:cs="仿宋_GB2312"/>
          <w:snapToGrid w:val="0"/>
          <w:kern w:val="32"/>
          <w:sz w:val="32"/>
          <w:szCs w:val="32"/>
          <w:highlight w:val="none"/>
        </w:rPr>
        <w:t>结合北京市实际，2023年参与直接交易的批发交易用户（电力用户、售电公司）调节系数U</w:t>
      </w:r>
      <w:r>
        <w:rPr>
          <w:rFonts w:hint="eastAsia" w:ascii="仿宋_GB2312" w:hAnsi="仿宋_GB2312" w:eastAsia="仿宋_GB2312" w:cs="仿宋_GB2312"/>
          <w:snapToGrid w:val="0"/>
          <w:kern w:val="32"/>
          <w:sz w:val="32"/>
          <w:szCs w:val="32"/>
          <w:highlight w:val="none"/>
          <w:vertAlign w:val="subscript"/>
        </w:rPr>
        <w:t>1</w:t>
      </w:r>
      <w:r>
        <w:rPr>
          <w:rFonts w:hint="eastAsia" w:ascii="仿宋_GB2312" w:hAnsi="仿宋_GB2312" w:eastAsia="仿宋_GB2312" w:cs="仿宋_GB2312"/>
          <w:snapToGrid w:val="0"/>
          <w:kern w:val="32"/>
          <w:sz w:val="32"/>
          <w:szCs w:val="32"/>
          <w:highlight w:val="none"/>
        </w:rPr>
        <w:t>暂定</w:t>
      </w:r>
      <w:r>
        <w:rPr>
          <w:rFonts w:ascii="仿宋_GB2312" w:hAnsi="仿宋_GB2312" w:eastAsia="仿宋_GB2312" w:cs="仿宋_GB2312"/>
          <w:snapToGrid w:val="0"/>
          <w:kern w:val="32"/>
          <w:sz w:val="32"/>
          <w:szCs w:val="32"/>
          <w:highlight w:val="none"/>
        </w:rPr>
        <w:t>1.05</w:t>
      </w:r>
      <w:r>
        <w:rPr>
          <w:rFonts w:hint="eastAsia" w:ascii="仿宋_GB2312" w:hAnsi="仿宋_GB2312" w:eastAsia="仿宋_GB2312" w:cs="仿宋_GB2312"/>
          <w:snapToGrid w:val="0"/>
          <w:kern w:val="32"/>
          <w:sz w:val="32"/>
          <w:szCs w:val="32"/>
          <w:highlight w:val="none"/>
        </w:rPr>
        <w:t>，U</w:t>
      </w:r>
      <w:r>
        <w:rPr>
          <w:rFonts w:hint="eastAsia" w:ascii="仿宋_GB2312" w:hAnsi="仿宋_GB2312" w:eastAsia="仿宋_GB2312" w:cs="仿宋_GB2312"/>
          <w:snapToGrid w:val="0"/>
          <w:kern w:val="32"/>
          <w:sz w:val="32"/>
          <w:szCs w:val="32"/>
          <w:highlight w:val="none"/>
          <w:vertAlign w:val="subscript"/>
        </w:rPr>
        <w:t>2</w:t>
      </w:r>
      <w:r>
        <w:rPr>
          <w:rFonts w:hint="eastAsia" w:ascii="仿宋_GB2312" w:hAnsi="仿宋_GB2312" w:eastAsia="仿宋_GB2312" w:cs="仿宋_GB2312"/>
          <w:snapToGrid w:val="0"/>
          <w:kern w:val="32"/>
          <w:sz w:val="32"/>
          <w:szCs w:val="32"/>
          <w:highlight w:val="none"/>
        </w:rPr>
        <w:t>暂定0</w:t>
      </w:r>
      <w:r>
        <w:rPr>
          <w:rFonts w:ascii="仿宋_GB2312" w:hAnsi="仿宋_GB2312" w:eastAsia="仿宋_GB2312" w:cs="仿宋_GB2312"/>
          <w:snapToGrid w:val="0"/>
          <w:kern w:val="32"/>
          <w:sz w:val="32"/>
          <w:szCs w:val="32"/>
          <w:highlight w:val="none"/>
        </w:rPr>
        <w:t>.95</w:t>
      </w:r>
      <w:r>
        <w:rPr>
          <w:rFonts w:hint="eastAsia" w:ascii="仿宋_GB2312" w:hAnsi="仿宋_GB2312" w:eastAsia="仿宋_GB2312" w:cs="仿宋_GB2312"/>
          <w:snapToGrid w:val="0"/>
          <w:kern w:val="32"/>
          <w:sz w:val="32"/>
          <w:szCs w:val="32"/>
          <w:highlight w:val="none"/>
        </w:rPr>
        <w:t>。根据市场交易情况，适时调整。</w:t>
      </w:r>
    </w:p>
    <w:p>
      <w:pPr>
        <w:spacing w:line="560" w:lineRule="exact"/>
        <w:ind w:firstLine="640" w:firstLineChars="200"/>
        <w:rPr>
          <w:rFonts w:eastAsia="楷体_GB2312" w:cs="楷体_GB2312"/>
          <w:highlight w:val="none"/>
        </w:rPr>
      </w:pPr>
      <w:r>
        <w:rPr>
          <w:rFonts w:hint="eastAsia" w:eastAsia="楷体_GB2312" w:cs="楷体_GB2312"/>
          <w:highlight w:val="none"/>
        </w:rPr>
        <w:t>（二）偏差资金</w:t>
      </w:r>
    </w:p>
    <w:p>
      <w:pPr>
        <w:pStyle w:val="2"/>
        <w:spacing w:after="0" w:line="560" w:lineRule="exact"/>
        <w:ind w:firstLine="640" w:firstLineChars="200"/>
      </w:pPr>
      <w:r>
        <w:rPr>
          <w:rFonts w:hint="eastAsia" w:ascii="仿宋_GB2312" w:hAnsi="仿宋_GB2312" w:cs="仿宋_GB2312"/>
        </w:rPr>
        <w:t>电力用户、售电公司因合同偏差电量结算引起的偏差资金，原则上在北京地区用户侧市场主体（电力直接交易用户、售电公司）分摊。具体分摊原则根据市场运行情况和偏差资金测算情况另行通知。</w:t>
      </w:r>
    </w:p>
    <w:p>
      <w:pPr>
        <w:spacing w:line="560" w:lineRule="exact"/>
        <w:ind w:firstLine="640" w:firstLineChars="200"/>
        <w:rPr>
          <w:rFonts w:eastAsia="楷体_GB2312" w:cs="楷体_GB2312"/>
        </w:rPr>
      </w:pPr>
      <w:r>
        <w:rPr>
          <w:rFonts w:hint="eastAsia" w:eastAsia="楷体_GB2312" w:cs="楷体_GB2312"/>
        </w:rPr>
        <w:t>（三）偏差免责</w:t>
      </w:r>
    </w:p>
    <w:p>
      <w:pPr>
        <w:pStyle w:val="2"/>
        <w:spacing w:after="0" w:line="560" w:lineRule="exact"/>
        <w:ind w:firstLine="640" w:firstLineChars="200"/>
      </w:pPr>
      <w:r>
        <w:rPr>
          <w:rFonts w:hint="eastAsia" w:ascii="仿宋_GB2312" w:hAnsi="仿宋_GB2312" w:cs="仿宋_GB2312"/>
        </w:rPr>
        <w:t>偏差免责申请及办理流程依据北京市相关文件执行。</w:t>
      </w:r>
    </w:p>
    <w:p>
      <w:pPr>
        <w:pStyle w:val="2"/>
        <w:spacing w:after="0" w:line="560" w:lineRule="exact"/>
        <w:ind w:firstLine="640" w:firstLineChars="200"/>
        <w:rPr>
          <w:rFonts w:ascii="黑体" w:hAnsi="黑体" w:eastAsia="黑体" w:cs="黑体"/>
          <w:highlight w:val="none"/>
        </w:rPr>
      </w:pPr>
      <w:r>
        <w:rPr>
          <w:rFonts w:hint="eastAsia" w:ascii="黑体" w:hAnsi="黑体" w:eastAsia="黑体" w:cs="黑体"/>
          <w:highlight w:val="none"/>
        </w:rPr>
        <w:t>六、零售交易</w:t>
      </w:r>
    </w:p>
    <w:p>
      <w:pPr>
        <w:pStyle w:val="59"/>
        <w:spacing w:line="560" w:lineRule="exact"/>
        <w:ind w:firstLine="640"/>
        <w:rPr>
          <w:rFonts w:ascii="宋体" w:hAnsi="宋体" w:eastAsia="楷体_GB2312" w:cs="楷体_GB2312"/>
          <w:snapToGrid w:val="0"/>
          <w:kern w:val="32"/>
          <w:sz w:val="32"/>
          <w:szCs w:val="32"/>
        </w:rPr>
      </w:pPr>
      <w:r>
        <w:rPr>
          <w:rFonts w:hint="eastAsia" w:ascii="宋体" w:hAnsi="宋体" w:eastAsia="楷体_GB2312" w:cs="楷体_GB2312"/>
          <w:snapToGrid w:val="0"/>
          <w:kern w:val="32"/>
          <w:sz w:val="32"/>
          <w:szCs w:val="32"/>
        </w:rPr>
        <w:t>（一）零售代理</w:t>
      </w:r>
    </w:p>
    <w:p>
      <w:pPr>
        <w:pStyle w:val="59"/>
        <w:spacing w:line="560" w:lineRule="exact"/>
        <w:ind w:firstLine="640"/>
        <w:rPr>
          <w:rFonts w:ascii="仿宋_GB2312" w:hAnsi="仿宋_GB2312" w:eastAsia="仿宋_GB2312" w:cs="仿宋_GB2312"/>
          <w:strike/>
          <w:sz w:val="32"/>
          <w:szCs w:val="32"/>
        </w:rPr>
      </w:pPr>
      <w:r>
        <w:rPr>
          <w:rFonts w:hint="eastAsia" w:ascii="仿宋_GB2312" w:hAnsi="仿宋_GB2312" w:eastAsia="仿宋_GB2312" w:cs="仿宋_GB2312"/>
          <w:sz w:val="32"/>
          <w:szCs w:val="32"/>
        </w:rPr>
        <w:t>零售用户与售电公司绑定代理关系、签订零售套餐，且电量均需通过该售电公司代理（与</w:t>
      </w:r>
      <w:r>
        <w:rPr>
          <w:rFonts w:hint="eastAsia" w:ascii="仿宋_GB2312" w:hAnsi="仿宋_GB2312" w:eastAsia="仿宋_GB2312" w:cs="仿宋_GB2312"/>
          <w:sz w:val="32"/>
          <w:szCs w:val="32"/>
          <w:lang w:eastAsia="zh-CN"/>
        </w:rPr>
        <w:t>绿色电力</w:t>
      </w:r>
      <w:r>
        <w:rPr>
          <w:rFonts w:hint="eastAsia" w:ascii="仿宋_GB2312" w:hAnsi="仿宋_GB2312" w:eastAsia="仿宋_GB2312" w:cs="仿宋_GB2312"/>
          <w:sz w:val="32"/>
          <w:szCs w:val="32"/>
        </w:rPr>
        <w:t>交易代理关系保持一致），双方代理关系以在电力交易平台上生效的零售套餐为依据。零售用户变更代理关系最小周期为月。</w:t>
      </w:r>
    </w:p>
    <w:p>
      <w:pPr>
        <w:spacing w:line="560" w:lineRule="exact"/>
        <w:ind w:firstLine="640" w:firstLineChars="200"/>
        <w:rPr>
          <w:rFonts w:ascii="楷体" w:hAnsi="楷体" w:eastAsia="楷体" w:cs="楷体"/>
        </w:rPr>
      </w:pPr>
      <w:r>
        <w:rPr>
          <w:rFonts w:hint="eastAsia" w:ascii="楷体" w:hAnsi="楷体" w:eastAsia="楷体" w:cs="楷体"/>
        </w:rPr>
        <w:t>（二）零售套餐</w:t>
      </w:r>
    </w:p>
    <w:p>
      <w:pPr>
        <w:spacing w:line="560" w:lineRule="exact"/>
        <w:ind w:firstLine="640" w:firstLineChars="200"/>
        <w:rPr>
          <w:rFonts w:ascii="仿宋_GB2312" w:hAnsi="仿宋_GB2312" w:cs="仿宋_GB2312"/>
        </w:rPr>
      </w:pPr>
      <w:r>
        <w:rPr>
          <w:rFonts w:hint="eastAsia" w:ascii="仿宋_GB2312" w:hAnsi="仿宋_GB2312" w:cs="仿宋_GB2312"/>
        </w:rPr>
        <w:t>1.零售用户、售电公司签订市场化购售电合同结算补充协议，分别约定</w:t>
      </w:r>
      <w:r>
        <w:rPr>
          <w:rFonts w:hint="eastAsia" w:ascii="仿宋_GB2312" w:hAnsi="仿宋_GB2312" w:cs="仿宋_GB2312"/>
          <w:lang w:eastAsia="zh-CN"/>
        </w:rPr>
        <w:t>绿色电力</w:t>
      </w:r>
      <w:r>
        <w:rPr>
          <w:rFonts w:hint="eastAsia" w:ascii="仿宋_GB2312" w:hAnsi="仿宋_GB2312" w:cs="仿宋_GB2312"/>
        </w:rPr>
        <w:t>交易、非</w:t>
      </w:r>
      <w:r>
        <w:rPr>
          <w:rFonts w:hint="eastAsia" w:ascii="仿宋_GB2312" w:hAnsi="仿宋_GB2312" w:cs="仿宋_GB2312"/>
          <w:lang w:eastAsia="zh-CN"/>
        </w:rPr>
        <w:t>绿色电力</w:t>
      </w:r>
      <w:r>
        <w:rPr>
          <w:rFonts w:hint="eastAsia" w:ascii="仿宋_GB2312" w:hAnsi="仿宋_GB2312" w:cs="仿宋_GB2312"/>
        </w:rPr>
        <w:t>交易零售结算套餐，可采用固定服务费、价差比例分成、“固定服务费+价差比例分成”模式约定购售电服务价格，</w:t>
      </w:r>
      <w:r>
        <w:rPr>
          <w:rFonts w:hint="eastAsia" w:ascii="仿宋_GB2312" w:hAnsi="仿宋_GB2312" w:cs="仿宋_GB2312"/>
          <w:lang w:eastAsia="zh-CN"/>
        </w:rPr>
        <w:t>绿色电力</w:t>
      </w:r>
      <w:r>
        <w:rPr>
          <w:rFonts w:hint="eastAsia" w:ascii="仿宋_GB2312" w:hAnsi="仿宋_GB2312" w:cs="仿宋_GB2312"/>
        </w:rPr>
        <w:t>交易暂按固定服务费模式约定购售电服务价格，适时增加其他模式零售结算套餐。</w:t>
      </w:r>
    </w:p>
    <w:p>
      <w:pPr>
        <w:spacing w:line="560" w:lineRule="exact"/>
        <w:ind w:firstLine="640" w:firstLineChars="200"/>
        <w:rPr>
          <w:rFonts w:ascii="仿宋_GB2312" w:hAnsi="仿宋_GB2312" w:cs="仿宋_GB2312"/>
        </w:rPr>
      </w:pPr>
      <w:r>
        <w:rPr>
          <w:rFonts w:hint="eastAsia" w:ascii="仿宋_GB2312" w:hAnsi="仿宋_GB2312" w:cs="仿宋_GB2312"/>
        </w:rPr>
        <w:t>2.为抵御市场风险，保障购售双方利益，零售用户、售电公司可自行约定购售电服务价格上下限。</w:t>
      </w:r>
    </w:p>
    <w:p>
      <w:pPr>
        <w:spacing w:line="560" w:lineRule="exact"/>
        <w:ind w:firstLine="640" w:firstLineChars="200"/>
        <w:rPr>
          <w:rFonts w:ascii="仿宋_GB2312" w:hAnsi="仿宋_GB2312" w:cs="仿宋_GB2312"/>
        </w:rPr>
      </w:pPr>
      <w:r>
        <w:rPr>
          <w:rFonts w:hint="eastAsia" w:ascii="仿宋_GB2312" w:hAnsi="仿宋_GB2312" w:cs="仿宋_GB2312"/>
        </w:rPr>
        <w:t>3</w:t>
      </w:r>
      <w:r>
        <w:rPr>
          <w:rFonts w:ascii="仿宋_GB2312" w:hAnsi="仿宋_GB2312" w:cs="仿宋_GB2312"/>
        </w:rPr>
        <w:t>.</w:t>
      </w:r>
      <w:r>
        <w:rPr>
          <w:rFonts w:hint="eastAsia" w:ascii="仿宋_GB2312" w:hAnsi="仿宋_GB2312" w:cs="仿宋_GB2312"/>
        </w:rPr>
        <w:t>售电公司依据零售用户实际用电量结算购售电服务费，以平段电价方式计算零售收入，售电公司售电收益为售电公司零售市场收入减去批发市场支出。</w:t>
      </w:r>
    </w:p>
    <w:p>
      <w:pPr>
        <w:pStyle w:val="59"/>
        <w:spacing w:line="560" w:lineRule="exact"/>
        <w:ind w:firstLine="640"/>
        <w:rPr>
          <w:rFonts w:ascii="宋体" w:hAnsi="宋体" w:eastAsia="楷体_GB2312" w:cs="楷体_GB2312"/>
          <w:snapToGrid w:val="0"/>
          <w:kern w:val="32"/>
          <w:sz w:val="32"/>
          <w:szCs w:val="32"/>
        </w:rPr>
      </w:pPr>
      <w:r>
        <w:rPr>
          <w:rFonts w:hint="eastAsia" w:ascii="宋体" w:hAnsi="宋体" w:eastAsia="楷体_GB2312" w:cs="楷体_GB2312"/>
          <w:snapToGrid w:val="0"/>
          <w:kern w:val="32"/>
          <w:sz w:val="32"/>
          <w:szCs w:val="32"/>
        </w:rPr>
        <w:t>（三）偏差结算</w:t>
      </w:r>
    </w:p>
    <w:p>
      <w:pPr>
        <w:spacing w:line="560" w:lineRule="exact"/>
        <w:ind w:firstLine="640" w:firstLineChars="200"/>
        <w:rPr>
          <w:rFonts w:ascii="仿宋_GB2312" w:hAnsi="仿宋_GB2312" w:cs="仿宋_GB2312"/>
        </w:rPr>
      </w:pPr>
      <w:r>
        <w:rPr>
          <w:rFonts w:hint="eastAsia" w:ascii="仿宋_GB2312" w:hAnsi="仿宋_GB2312" w:cs="仿宋_GB2312"/>
        </w:rPr>
        <w:t>1</w:t>
      </w:r>
      <w:r>
        <w:rPr>
          <w:rFonts w:ascii="仿宋_GB2312" w:hAnsi="仿宋_GB2312" w:cs="仿宋_GB2312"/>
        </w:rPr>
        <w:t>.</w:t>
      </w:r>
      <w:r>
        <w:rPr>
          <w:rFonts w:hint="eastAsia" w:ascii="仿宋_GB2312" w:hAnsi="仿宋_GB2312" w:cs="仿宋_GB2312"/>
        </w:rPr>
        <w:t>售电公司与零售用户可协商确定偏差共担比例。零售用户偏差共担费用总额不超过售电公司批发市场相应偏差支出费用。零售用户的偏差共担费用，按用户用电量折价后纳入购售电服务价格上下限计算。</w:t>
      </w:r>
    </w:p>
    <w:p>
      <w:pPr>
        <w:spacing w:line="560" w:lineRule="exact"/>
        <w:ind w:firstLine="640" w:firstLineChars="200"/>
        <w:rPr>
          <w:rFonts w:ascii="仿宋_GB2312" w:hAnsi="仿宋_GB2312" w:cs="仿宋_GB2312"/>
        </w:rPr>
      </w:pPr>
      <w:r>
        <w:rPr>
          <w:rFonts w:hint="eastAsia" w:ascii="仿宋_GB2312" w:hAnsi="仿宋_GB2312" w:cs="仿宋_GB2312"/>
        </w:rPr>
        <w:t>2.零售用户、售电公司每月可协商调整零售合同电量、结算关键参数。</w:t>
      </w:r>
    </w:p>
    <w:p>
      <w:pPr>
        <w:spacing w:line="560" w:lineRule="exact"/>
        <w:ind w:firstLine="640" w:firstLineChars="200"/>
        <w:rPr>
          <w:rFonts w:eastAsia="黑体" w:cs="黑体"/>
        </w:rPr>
      </w:pPr>
      <w:r>
        <w:rPr>
          <w:rFonts w:hint="eastAsia" w:eastAsia="黑体" w:cs="黑体"/>
        </w:rPr>
        <w:t>七、相关工作要求</w:t>
      </w:r>
    </w:p>
    <w:p>
      <w:pPr>
        <w:numPr>
          <w:ilvl w:val="0"/>
          <w:numId w:val="1"/>
        </w:numPr>
        <w:spacing w:line="560" w:lineRule="exact"/>
        <w:ind w:firstLine="640" w:firstLineChars="200"/>
        <w:rPr>
          <w:rStyle w:val="108"/>
          <w:rFonts w:ascii="仿宋_GB2312" w:hAnsi="仿宋_GB2312" w:cs="仿宋_GB2312"/>
          <w:color w:val="000000"/>
          <w:szCs w:val="36"/>
        </w:rPr>
      </w:pPr>
      <w:r>
        <w:rPr>
          <w:rStyle w:val="108"/>
          <w:rFonts w:hint="eastAsia" w:ascii="仿宋_GB2312" w:hAnsi="仿宋_GB2312" w:cs="仿宋_GB2312"/>
          <w:color w:val="000000"/>
          <w:szCs w:val="36"/>
        </w:rPr>
        <w:t>电力用户在同一合同周期内仅可与一家售电公司确立零售服务关系。售电公司不能代理发电企业参加交易。</w:t>
      </w:r>
    </w:p>
    <w:p>
      <w:pPr>
        <w:widowControl/>
        <w:numPr>
          <w:ilvl w:val="0"/>
          <w:numId w:val="1"/>
        </w:numPr>
        <w:spacing w:line="560" w:lineRule="exact"/>
        <w:ind w:firstLine="640" w:firstLineChars="200"/>
        <w:jc w:val="left"/>
        <w:rPr>
          <w:rStyle w:val="108"/>
          <w:rFonts w:ascii="仿宋_GB2312" w:hAnsi="仿宋_GB2312" w:cs="仿宋_GB2312"/>
          <w:color w:val="000000"/>
          <w:szCs w:val="36"/>
        </w:rPr>
      </w:pPr>
      <w:r>
        <w:rPr>
          <w:rStyle w:val="108"/>
          <w:rFonts w:hint="eastAsia" w:ascii="仿宋_GB2312" w:hAnsi="仿宋_GB2312" w:cs="仿宋_GB2312"/>
          <w:color w:val="000000"/>
          <w:szCs w:val="36"/>
        </w:rPr>
        <w:t>市场化电力用户2023年度中长期合同签约电量应高于上一年度用电量的80%，鼓励市场主体签订一年期以上的电力中长期合同。</w:t>
      </w:r>
    </w:p>
    <w:p>
      <w:pPr>
        <w:numPr>
          <w:ilvl w:val="0"/>
          <w:numId w:val="1"/>
        </w:numPr>
        <w:spacing w:line="560" w:lineRule="exact"/>
        <w:ind w:firstLine="640" w:firstLineChars="200"/>
        <w:rPr>
          <w:rStyle w:val="108"/>
          <w:rFonts w:ascii="仿宋_GB2312" w:hAnsi="仿宋_GB2312" w:cs="仿宋_GB2312"/>
          <w:color w:val="000000"/>
          <w:szCs w:val="36"/>
        </w:rPr>
      </w:pPr>
      <w:r>
        <w:rPr>
          <w:rStyle w:val="108"/>
          <w:rFonts w:hint="eastAsia" w:ascii="仿宋_GB2312" w:hAnsi="仿宋_GB2312" w:cs="仿宋_GB2312"/>
          <w:color w:val="000000"/>
          <w:szCs w:val="36"/>
        </w:rPr>
        <w:t>参与北京市电力市场化交易的高耗能企业，按照国家有关政策文件执行。</w:t>
      </w:r>
    </w:p>
    <w:p>
      <w:pPr>
        <w:numPr>
          <w:ilvl w:val="0"/>
          <w:numId w:val="1"/>
        </w:numPr>
        <w:spacing w:line="560" w:lineRule="exact"/>
        <w:ind w:firstLine="640" w:firstLineChars="200"/>
        <w:rPr>
          <w:rStyle w:val="108"/>
          <w:rFonts w:ascii="仿宋_GB2312" w:hAnsi="仿宋_GB2312" w:cs="仿宋_GB2312"/>
          <w:color w:val="000000"/>
          <w:szCs w:val="36"/>
        </w:rPr>
      </w:pPr>
      <w:r>
        <w:rPr>
          <w:rStyle w:val="108"/>
          <w:rFonts w:hint="eastAsia" w:ascii="仿宋_GB2312" w:hAnsi="仿宋_GB2312" w:cs="仿宋_GB2312"/>
          <w:color w:val="000000"/>
          <w:szCs w:val="36"/>
        </w:rPr>
        <w:t>可再生能源电力消纳按照《北京市发展和改革委员会  北京市城市管理委员会关于印发北京可再生能源电力消纳保障工作方案（试行）的通知》（京发改〔2021〕1524号）相关要求执行。2023年，北京市承担消纳责任的市场主体年度最低消纳责任权重预期性指标为20.1%（非水20.0%），具体消纳责任权重以国家能源局正式发布的约束性指标为准。鼓励承担消纳责任的市场主体通过绿色电力交易、绿证交易等方式完成责任权重。</w:t>
      </w:r>
    </w:p>
    <w:p>
      <w:pPr>
        <w:widowControl/>
        <w:numPr>
          <w:ilvl w:val="0"/>
          <w:numId w:val="1"/>
        </w:numPr>
        <w:spacing w:line="560" w:lineRule="exact"/>
        <w:ind w:firstLine="640" w:firstLineChars="200"/>
        <w:jc w:val="left"/>
        <w:rPr>
          <w:rStyle w:val="108"/>
          <w:rFonts w:ascii="仿宋_GB2312" w:hAnsi="仿宋_GB2312" w:cs="仿宋_GB2312"/>
          <w:color w:val="000000"/>
          <w:szCs w:val="36"/>
        </w:rPr>
      </w:pPr>
      <w:r>
        <w:rPr>
          <w:rStyle w:val="108"/>
          <w:rFonts w:hint="eastAsia" w:ascii="仿宋_GB2312" w:hAnsi="仿宋_GB2312" w:cs="仿宋_GB2312"/>
          <w:color w:val="000000"/>
          <w:szCs w:val="36"/>
        </w:rPr>
        <w:t>完成市场注册的售电公司，在规定时间内提交符合要求的履约保函或履约保险后，方可参与市场交易。履约保函或履约保险的开具、管理及执行等按照《北京市电力市场履约保障凭证管理工作指引（试行）》执行。</w:t>
      </w:r>
    </w:p>
    <w:p>
      <w:pPr>
        <w:widowControl/>
        <w:numPr>
          <w:ilvl w:val="0"/>
          <w:numId w:val="1"/>
        </w:numPr>
        <w:spacing w:line="560" w:lineRule="exact"/>
        <w:ind w:firstLine="640" w:firstLineChars="200"/>
        <w:jc w:val="left"/>
        <w:rPr>
          <w:rStyle w:val="108"/>
          <w:rFonts w:ascii="仿宋_GB2312" w:hAnsi="仿宋_GB2312" w:cs="仿宋_GB2312"/>
          <w:color w:val="000000"/>
          <w:szCs w:val="36"/>
        </w:rPr>
      </w:pPr>
      <w:r>
        <w:rPr>
          <w:rFonts w:hint="eastAsia" w:ascii="仿宋_GB2312" w:hAnsi="仿宋_GB2312" w:cs="仿宋_GB2312"/>
        </w:rPr>
        <w:t>市场化购售电合同结算补充协议、北京地区2023年市场化直接交易结算指引，由首都电力交易中心另行发布。</w:t>
      </w:r>
    </w:p>
    <w:p>
      <w:pPr>
        <w:widowControl/>
        <w:numPr>
          <w:ilvl w:val="0"/>
          <w:numId w:val="1"/>
        </w:numPr>
        <w:spacing w:line="560" w:lineRule="exact"/>
        <w:ind w:firstLine="640" w:firstLineChars="200"/>
        <w:jc w:val="left"/>
        <w:rPr>
          <w:rStyle w:val="108"/>
          <w:rFonts w:ascii="仿宋_GB2312" w:hAnsi="仿宋_GB2312" w:cs="仿宋_GB2312"/>
          <w:color w:val="000000"/>
        </w:rPr>
      </w:pPr>
      <w:r>
        <w:rPr>
          <w:rStyle w:val="108"/>
          <w:rFonts w:hint="eastAsia" w:ascii="仿宋_GB2312" w:hAnsi="仿宋_GB2312" w:cs="仿宋_GB2312"/>
          <w:color w:val="000000"/>
          <w:szCs w:val="36"/>
        </w:rPr>
        <w:t>北京电力交易中心、首都电力交易中心共同做好北</w:t>
      </w:r>
      <w:r>
        <w:rPr>
          <w:rStyle w:val="108"/>
          <w:rFonts w:hint="eastAsia" w:ascii="仿宋_GB2312" w:hAnsi="仿宋_GB2312" w:cs="仿宋_GB2312"/>
          <w:color w:val="000000"/>
        </w:rPr>
        <w:t>京市电力市场交易组织工作，进一步提升服务质量，优化结算、清算等工作流程，积极开展市场成员培训活动，强化交易信息月报制度，并按照相关规则及时向社会以及市场主体做好信息披露。如市场主体存在违约行为，及时做好记录，定期上报市城市管理委。</w:t>
      </w:r>
    </w:p>
    <w:p>
      <w:pPr>
        <w:widowControl/>
        <w:numPr>
          <w:ilvl w:val="0"/>
          <w:numId w:val="1"/>
        </w:numPr>
        <w:spacing w:line="560" w:lineRule="exact"/>
        <w:ind w:firstLine="640" w:firstLineChars="200"/>
        <w:rPr>
          <w:rStyle w:val="108"/>
          <w:rFonts w:ascii="仿宋_GB2312" w:hAnsi="仿宋_GB2312" w:cs="仿宋_GB2312"/>
          <w:color w:val="000000"/>
          <w:szCs w:val="36"/>
        </w:rPr>
      </w:pPr>
      <w:r>
        <w:rPr>
          <w:rStyle w:val="108"/>
          <w:rFonts w:hint="eastAsia" w:ascii="仿宋_GB2312" w:hAnsi="仿宋_GB2312" w:cs="仿宋_GB2312"/>
          <w:color w:val="000000"/>
          <w:szCs w:val="36"/>
        </w:rPr>
        <w:t>各有关交易主体，在交易过程中严格遵守法律法规和有关规则。因违反有关规则、扰乱市场秩序等影响交易正常开展的，依法追究相关单位和市场主体的责任。</w:t>
      </w:r>
    </w:p>
    <w:p>
      <w:pPr>
        <w:spacing w:line="560" w:lineRule="exact"/>
        <w:rPr>
          <w:rFonts w:ascii="方正小标宋_GBK" w:hAnsi="方正小标宋_GBK" w:eastAsia="方正小标宋_GBK" w:cs="方正小标宋_GBK"/>
          <w:bCs/>
          <w:sz w:val="44"/>
          <w:szCs w:val="44"/>
        </w:rPr>
      </w:pPr>
    </w:p>
    <w:p>
      <w:pPr>
        <w:spacing w:line="560" w:lineRule="exact"/>
        <w:jc w:val="center"/>
      </w:pPr>
      <w:bookmarkStart w:id="0" w:name="_GoBack"/>
      <w:bookmarkEnd w:id="0"/>
    </w:p>
    <w:sectPr>
      <w:headerReference r:id="rId4" w:type="first"/>
      <w:headerReference r:id="rId3" w:type="default"/>
      <w:footerReference r:id="rId5" w:type="default"/>
      <w:pgSz w:w="11850" w:h="16783"/>
      <w:pgMar w:top="2098" w:right="1474" w:bottom="1304" w:left="1587" w:header="851" w:footer="130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Garamond">
    <w:panose1 w:val="02020404030301010803"/>
    <w:charset w:val="00"/>
    <w:family w:val="roman"/>
    <w:pitch w:val="default"/>
    <w:sig w:usb0="00000287" w:usb1="00000000" w:usb2="00000000" w:usb3="00000000" w:csb0="0000009F" w:csb1="DFD70000"/>
  </w:font>
  <w:font w:name="华文楷体">
    <w:panose1 w:val="02010600040101010101"/>
    <w:charset w:val="86"/>
    <w:family w:val="auto"/>
    <w:pitch w:val="default"/>
    <w:sig w:usb0="00000287" w:usb1="080F0000" w:usb2="00000000" w:usb3="00000000" w:csb0="0004009F" w:csb1="DFD70000"/>
  </w:font>
  <w:font w:name="方正小标宋简体">
    <w:altName w:val="方正舒体"/>
    <w:panose1 w:val="03000509000000000000"/>
    <w:charset w:val="86"/>
    <w:family w:val="script"/>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ind w:left="320" w:leftChars="100" w:right="320" w:rightChars="100"/>
                            <w:rPr>
                              <w:sz w:val="1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4</w:t>
                          </w:r>
                          <w:r>
                            <w:rPr>
                              <w:rFonts w:hint="eastAsia"/>
                              <w:sz w:val="28"/>
                              <w:szCs w:val="28"/>
                            </w:rPr>
                            <w:fldChar w:fldCharType="end"/>
                          </w:r>
                          <w:r>
                            <w:rPr>
                              <w:rFonts w:hint="eastAsia"/>
                              <w:sz w:val="28"/>
                              <w:szCs w:val="28"/>
                            </w:rPr>
                            <w:t xml:space="preserve"> —</w:t>
                          </w:r>
                        </w:p>
                      </w:txbxContent>
                    </wps:txbx>
                    <wps:bodyPr wrap="none" lIns="0" tIns="0" rIns="0" bIns="0">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DVxUt7LAQAAlgMAAA4AAAAAAAAAAQAgAAAAHgEAAGRycy9lMm9E&#10;b2MueG1sUEsFBgAAAAAGAAYAWQEAAFsFAAAAAA==&#10;">
              <v:fill on="f" focussize="0,0"/>
              <v:stroke on="f"/>
              <v:imagedata o:title=""/>
              <o:lock v:ext="edit" aspectratio="f"/>
              <v:textbox inset="0mm,0mm,0mm,0mm" style="mso-fit-shape-to-text:t;">
                <w:txbxContent>
                  <w:p>
                    <w:pPr>
                      <w:snapToGrid w:val="0"/>
                      <w:ind w:left="320" w:leftChars="100" w:right="320" w:rightChars="100"/>
                      <w:rPr>
                        <w:sz w:val="1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4</w:t>
                    </w:r>
                    <w:r>
                      <w:rPr>
                        <w:rFonts w:hint="eastAsia"/>
                        <w:sz w:val="28"/>
                        <w:szCs w:val="28"/>
                      </w:rPr>
                      <w:fldChar w:fldCharType="end"/>
                    </w:r>
                    <w:r>
                      <w:rPr>
                        <w:rFonts w:hint="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7C5B49"/>
    <w:multiLevelType w:val="singleLevel"/>
    <w:tmpl w:val="637C5B49"/>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2"/>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3NjQxYmZmN2ZkODIxYWNiNTEzMzQyMTZmNzQ1MmMifQ=="/>
    <w:docVar w:name="KSO_WPS_MARK_KEY" w:val="e1052225-d320-4f0c-9205-9b3bd5580e89"/>
  </w:docVars>
  <w:rsids>
    <w:rsidRoot w:val="00172A27"/>
    <w:rsid w:val="00000446"/>
    <w:rsid w:val="000008EF"/>
    <w:rsid w:val="00000AC4"/>
    <w:rsid w:val="000010DA"/>
    <w:rsid w:val="00001367"/>
    <w:rsid w:val="00001BF6"/>
    <w:rsid w:val="00002985"/>
    <w:rsid w:val="00003142"/>
    <w:rsid w:val="00003B08"/>
    <w:rsid w:val="00003CE3"/>
    <w:rsid w:val="00003F62"/>
    <w:rsid w:val="0000415A"/>
    <w:rsid w:val="000043D7"/>
    <w:rsid w:val="000049A2"/>
    <w:rsid w:val="00004C7B"/>
    <w:rsid w:val="00004D78"/>
    <w:rsid w:val="00005661"/>
    <w:rsid w:val="000062A4"/>
    <w:rsid w:val="00006843"/>
    <w:rsid w:val="00006F7E"/>
    <w:rsid w:val="000078D4"/>
    <w:rsid w:val="0001079D"/>
    <w:rsid w:val="00011817"/>
    <w:rsid w:val="00012B3A"/>
    <w:rsid w:val="000135EC"/>
    <w:rsid w:val="00013AF7"/>
    <w:rsid w:val="00014062"/>
    <w:rsid w:val="00014F95"/>
    <w:rsid w:val="000151E6"/>
    <w:rsid w:val="0001561E"/>
    <w:rsid w:val="00015CEB"/>
    <w:rsid w:val="00015FEB"/>
    <w:rsid w:val="00016031"/>
    <w:rsid w:val="00016275"/>
    <w:rsid w:val="00016F9E"/>
    <w:rsid w:val="00020EAD"/>
    <w:rsid w:val="00022033"/>
    <w:rsid w:val="000222E1"/>
    <w:rsid w:val="0002277C"/>
    <w:rsid w:val="0002283A"/>
    <w:rsid w:val="00023EB5"/>
    <w:rsid w:val="00025603"/>
    <w:rsid w:val="00026155"/>
    <w:rsid w:val="00026939"/>
    <w:rsid w:val="0002772F"/>
    <w:rsid w:val="00032031"/>
    <w:rsid w:val="000330A3"/>
    <w:rsid w:val="000332C6"/>
    <w:rsid w:val="00033B11"/>
    <w:rsid w:val="00033EE4"/>
    <w:rsid w:val="000346D2"/>
    <w:rsid w:val="00035963"/>
    <w:rsid w:val="00035A26"/>
    <w:rsid w:val="00035CF1"/>
    <w:rsid w:val="00036240"/>
    <w:rsid w:val="0003665D"/>
    <w:rsid w:val="000368D3"/>
    <w:rsid w:val="00036CB2"/>
    <w:rsid w:val="0003708B"/>
    <w:rsid w:val="00037723"/>
    <w:rsid w:val="00040D0C"/>
    <w:rsid w:val="00041BAB"/>
    <w:rsid w:val="00041EEA"/>
    <w:rsid w:val="00043431"/>
    <w:rsid w:val="000438F2"/>
    <w:rsid w:val="00043A1A"/>
    <w:rsid w:val="000452B0"/>
    <w:rsid w:val="00046E77"/>
    <w:rsid w:val="0005035A"/>
    <w:rsid w:val="00052DB4"/>
    <w:rsid w:val="00053428"/>
    <w:rsid w:val="00054A92"/>
    <w:rsid w:val="00055A08"/>
    <w:rsid w:val="00055FE3"/>
    <w:rsid w:val="0005625A"/>
    <w:rsid w:val="00057A0B"/>
    <w:rsid w:val="00057D35"/>
    <w:rsid w:val="00057F85"/>
    <w:rsid w:val="0006050B"/>
    <w:rsid w:val="000625C3"/>
    <w:rsid w:val="00062B9E"/>
    <w:rsid w:val="00063693"/>
    <w:rsid w:val="000646E6"/>
    <w:rsid w:val="00064852"/>
    <w:rsid w:val="00064896"/>
    <w:rsid w:val="000652A4"/>
    <w:rsid w:val="00065D01"/>
    <w:rsid w:val="00066E6D"/>
    <w:rsid w:val="00066F46"/>
    <w:rsid w:val="00067343"/>
    <w:rsid w:val="000675A6"/>
    <w:rsid w:val="000735E8"/>
    <w:rsid w:val="000738C7"/>
    <w:rsid w:val="00074357"/>
    <w:rsid w:val="00074C8D"/>
    <w:rsid w:val="00074D52"/>
    <w:rsid w:val="00075E6E"/>
    <w:rsid w:val="00075F75"/>
    <w:rsid w:val="00076250"/>
    <w:rsid w:val="000769BE"/>
    <w:rsid w:val="00077576"/>
    <w:rsid w:val="00077F42"/>
    <w:rsid w:val="000809FB"/>
    <w:rsid w:val="0008547B"/>
    <w:rsid w:val="000863C8"/>
    <w:rsid w:val="0008643B"/>
    <w:rsid w:val="00091A93"/>
    <w:rsid w:val="0009257A"/>
    <w:rsid w:val="00092C8E"/>
    <w:rsid w:val="00093824"/>
    <w:rsid w:val="00096287"/>
    <w:rsid w:val="00096843"/>
    <w:rsid w:val="000968F3"/>
    <w:rsid w:val="00096B7D"/>
    <w:rsid w:val="000A0F75"/>
    <w:rsid w:val="000A0F7A"/>
    <w:rsid w:val="000A17B0"/>
    <w:rsid w:val="000A2585"/>
    <w:rsid w:val="000A2823"/>
    <w:rsid w:val="000A2F39"/>
    <w:rsid w:val="000A3669"/>
    <w:rsid w:val="000A6C90"/>
    <w:rsid w:val="000A6EC0"/>
    <w:rsid w:val="000A7049"/>
    <w:rsid w:val="000A72AB"/>
    <w:rsid w:val="000B063F"/>
    <w:rsid w:val="000B0AFE"/>
    <w:rsid w:val="000B221E"/>
    <w:rsid w:val="000B2439"/>
    <w:rsid w:val="000B2C99"/>
    <w:rsid w:val="000B2CE7"/>
    <w:rsid w:val="000B3390"/>
    <w:rsid w:val="000B3D62"/>
    <w:rsid w:val="000B4793"/>
    <w:rsid w:val="000B4C39"/>
    <w:rsid w:val="000B667B"/>
    <w:rsid w:val="000B6D9E"/>
    <w:rsid w:val="000B7046"/>
    <w:rsid w:val="000B73A2"/>
    <w:rsid w:val="000C03BB"/>
    <w:rsid w:val="000C1087"/>
    <w:rsid w:val="000C2AA5"/>
    <w:rsid w:val="000C3490"/>
    <w:rsid w:val="000C35DA"/>
    <w:rsid w:val="000C4EC7"/>
    <w:rsid w:val="000C6243"/>
    <w:rsid w:val="000C65BD"/>
    <w:rsid w:val="000C69C7"/>
    <w:rsid w:val="000C69FF"/>
    <w:rsid w:val="000C774E"/>
    <w:rsid w:val="000D0A06"/>
    <w:rsid w:val="000D195B"/>
    <w:rsid w:val="000D3D4A"/>
    <w:rsid w:val="000D3F03"/>
    <w:rsid w:val="000D40D6"/>
    <w:rsid w:val="000D7B38"/>
    <w:rsid w:val="000E18E5"/>
    <w:rsid w:val="000E1F66"/>
    <w:rsid w:val="000E4519"/>
    <w:rsid w:val="000E4CDA"/>
    <w:rsid w:val="000E4D33"/>
    <w:rsid w:val="000E5276"/>
    <w:rsid w:val="000E5FC5"/>
    <w:rsid w:val="000E64F6"/>
    <w:rsid w:val="000F1F88"/>
    <w:rsid w:val="000F1FC8"/>
    <w:rsid w:val="000F4B52"/>
    <w:rsid w:val="000F4E12"/>
    <w:rsid w:val="000F4F3A"/>
    <w:rsid w:val="000F571B"/>
    <w:rsid w:val="000F5DF5"/>
    <w:rsid w:val="000F78E7"/>
    <w:rsid w:val="000F794B"/>
    <w:rsid w:val="000F7E52"/>
    <w:rsid w:val="00100D09"/>
    <w:rsid w:val="00100FF8"/>
    <w:rsid w:val="0010359F"/>
    <w:rsid w:val="00104260"/>
    <w:rsid w:val="00104C35"/>
    <w:rsid w:val="0010588F"/>
    <w:rsid w:val="00106281"/>
    <w:rsid w:val="00107348"/>
    <w:rsid w:val="00110E2F"/>
    <w:rsid w:val="00112071"/>
    <w:rsid w:val="001126F2"/>
    <w:rsid w:val="001128AF"/>
    <w:rsid w:val="00114E08"/>
    <w:rsid w:val="001152DB"/>
    <w:rsid w:val="001159D8"/>
    <w:rsid w:val="00115D29"/>
    <w:rsid w:val="00115D91"/>
    <w:rsid w:val="001164F5"/>
    <w:rsid w:val="001171C6"/>
    <w:rsid w:val="00117409"/>
    <w:rsid w:val="00117AA2"/>
    <w:rsid w:val="00120771"/>
    <w:rsid w:val="00121238"/>
    <w:rsid w:val="00121588"/>
    <w:rsid w:val="00121BB0"/>
    <w:rsid w:val="001221F2"/>
    <w:rsid w:val="00125CE3"/>
    <w:rsid w:val="00131727"/>
    <w:rsid w:val="00131B9D"/>
    <w:rsid w:val="00132B0F"/>
    <w:rsid w:val="00133357"/>
    <w:rsid w:val="00135DD1"/>
    <w:rsid w:val="00136586"/>
    <w:rsid w:val="001368A0"/>
    <w:rsid w:val="0014029E"/>
    <w:rsid w:val="00141CC6"/>
    <w:rsid w:val="001421F5"/>
    <w:rsid w:val="0014299A"/>
    <w:rsid w:val="001439BE"/>
    <w:rsid w:val="00144478"/>
    <w:rsid w:val="00144A04"/>
    <w:rsid w:val="0014652F"/>
    <w:rsid w:val="00146DE8"/>
    <w:rsid w:val="00147566"/>
    <w:rsid w:val="00147F74"/>
    <w:rsid w:val="00150666"/>
    <w:rsid w:val="00150ACD"/>
    <w:rsid w:val="00150BB4"/>
    <w:rsid w:val="00151144"/>
    <w:rsid w:val="001515E1"/>
    <w:rsid w:val="0015205B"/>
    <w:rsid w:val="00153493"/>
    <w:rsid w:val="001536D0"/>
    <w:rsid w:val="00153E37"/>
    <w:rsid w:val="00154085"/>
    <w:rsid w:val="00154E03"/>
    <w:rsid w:val="00154ED9"/>
    <w:rsid w:val="00155CCD"/>
    <w:rsid w:val="00155E6E"/>
    <w:rsid w:val="0015636F"/>
    <w:rsid w:val="001565EF"/>
    <w:rsid w:val="001573A1"/>
    <w:rsid w:val="00161241"/>
    <w:rsid w:val="00161284"/>
    <w:rsid w:val="00161851"/>
    <w:rsid w:val="00162EB8"/>
    <w:rsid w:val="00162EE4"/>
    <w:rsid w:val="00164357"/>
    <w:rsid w:val="001646A1"/>
    <w:rsid w:val="00164988"/>
    <w:rsid w:val="00165688"/>
    <w:rsid w:val="00166654"/>
    <w:rsid w:val="001667B1"/>
    <w:rsid w:val="00166A95"/>
    <w:rsid w:val="00167376"/>
    <w:rsid w:val="001675D6"/>
    <w:rsid w:val="0017147F"/>
    <w:rsid w:val="00171840"/>
    <w:rsid w:val="001718AD"/>
    <w:rsid w:val="00172A27"/>
    <w:rsid w:val="00172D66"/>
    <w:rsid w:val="00173690"/>
    <w:rsid w:val="00174A0B"/>
    <w:rsid w:val="001753F3"/>
    <w:rsid w:val="00175558"/>
    <w:rsid w:val="001755C0"/>
    <w:rsid w:val="0017584C"/>
    <w:rsid w:val="00176EF8"/>
    <w:rsid w:val="001771DB"/>
    <w:rsid w:val="001774B2"/>
    <w:rsid w:val="001801E7"/>
    <w:rsid w:val="00182158"/>
    <w:rsid w:val="00182DBE"/>
    <w:rsid w:val="001837D3"/>
    <w:rsid w:val="001839FC"/>
    <w:rsid w:val="00184214"/>
    <w:rsid w:val="00184F49"/>
    <w:rsid w:val="00185164"/>
    <w:rsid w:val="001866D6"/>
    <w:rsid w:val="00187BEF"/>
    <w:rsid w:val="001927B1"/>
    <w:rsid w:val="00192C3E"/>
    <w:rsid w:val="00192CBE"/>
    <w:rsid w:val="00192DC0"/>
    <w:rsid w:val="001931DF"/>
    <w:rsid w:val="00193D60"/>
    <w:rsid w:val="00194B69"/>
    <w:rsid w:val="00194BFC"/>
    <w:rsid w:val="00196A63"/>
    <w:rsid w:val="00196E0B"/>
    <w:rsid w:val="001A0714"/>
    <w:rsid w:val="001A0FD2"/>
    <w:rsid w:val="001A1418"/>
    <w:rsid w:val="001A17AE"/>
    <w:rsid w:val="001A54DA"/>
    <w:rsid w:val="001A5583"/>
    <w:rsid w:val="001A7B25"/>
    <w:rsid w:val="001A7E3E"/>
    <w:rsid w:val="001B01E3"/>
    <w:rsid w:val="001B1EEA"/>
    <w:rsid w:val="001B4097"/>
    <w:rsid w:val="001B4DF7"/>
    <w:rsid w:val="001B5A28"/>
    <w:rsid w:val="001B6BB6"/>
    <w:rsid w:val="001B7597"/>
    <w:rsid w:val="001C0F85"/>
    <w:rsid w:val="001C1A25"/>
    <w:rsid w:val="001C3429"/>
    <w:rsid w:val="001C3C94"/>
    <w:rsid w:val="001C4570"/>
    <w:rsid w:val="001C4742"/>
    <w:rsid w:val="001C4B70"/>
    <w:rsid w:val="001C598E"/>
    <w:rsid w:val="001C5B8B"/>
    <w:rsid w:val="001D05B1"/>
    <w:rsid w:val="001D0B3B"/>
    <w:rsid w:val="001D1826"/>
    <w:rsid w:val="001D214A"/>
    <w:rsid w:val="001D2B65"/>
    <w:rsid w:val="001D3CFB"/>
    <w:rsid w:val="001D3FCE"/>
    <w:rsid w:val="001D4C52"/>
    <w:rsid w:val="001D6831"/>
    <w:rsid w:val="001D69AC"/>
    <w:rsid w:val="001D77BE"/>
    <w:rsid w:val="001E0C94"/>
    <w:rsid w:val="001E130B"/>
    <w:rsid w:val="001E14C8"/>
    <w:rsid w:val="001E1CDA"/>
    <w:rsid w:val="001E2EB8"/>
    <w:rsid w:val="001E3257"/>
    <w:rsid w:val="001E4154"/>
    <w:rsid w:val="001E4983"/>
    <w:rsid w:val="001E5473"/>
    <w:rsid w:val="001E5ABB"/>
    <w:rsid w:val="001E5BFF"/>
    <w:rsid w:val="001E6420"/>
    <w:rsid w:val="001E7DD7"/>
    <w:rsid w:val="001F04F3"/>
    <w:rsid w:val="001F1580"/>
    <w:rsid w:val="001F21CA"/>
    <w:rsid w:val="001F326A"/>
    <w:rsid w:val="001F40A2"/>
    <w:rsid w:val="001F4282"/>
    <w:rsid w:val="001F44D3"/>
    <w:rsid w:val="001F6CD6"/>
    <w:rsid w:val="001F7689"/>
    <w:rsid w:val="00200015"/>
    <w:rsid w:val="002000A0"/>
    <w:rsid w:val="0020012E"/>
    <w:rsid w:val="0020140E"/>
    <w:rsid w:val="00201479"/>
    <w:rsid w:val="00201A1D"/>
    <w:rsid w:val="00201C84"/>
    <w:rsid w:val="00201EF1"/>
    <w:rsid w:val="002021E1"/>
    <w:rsid w:val="002029AE"/>
    <w:rsid w:val="00203408"/>
    <w:rsid w:val="002036AC"/>
    <w:rsid w:val="00203A94"/>
    <w:rsid w:val="00203EF7"/>
    <w:rsid w:val="0020506B"/>
    <w:rsid w:val="00205095"/>
    <w:rsid w:val="002051E6"/>
    <w:rsid w:val="002055B5"/>
    <w:rsid w:val="00205A87"/>
    <w:rsid w:val="00211D66"/>
    <w:rsid w:val="00212C5B"/>
    <w:rsid w:val="00213025"/>
    <w:rsid w:val="002132FE"/>
    <w:rsid w:val="002134F8"/>
    <w:rsid w:val="0021585F"/>
    <w:rsid w:val="002179B1"/>
    <w:rsid w:val="0022298E"/>
    <w:rsid w:val="00223659"/>
    <w:rsid w:val="00223E36"/>
    <w:rsid w:val="00227CC6"/>
    <w:rsid w:val="00227D89"/>
    <w:rsid w:val="002317E6"/>
    <w:rsid w:val="00233039"/>
    <w:rsid w:val="00233CA5"/>
    <w:rsid w:val="00233F81"/>
    <w:rsid w:val="00234054"/>
    <w:rsid w:val="00235942"/>
    <w:rsid w:val="00237429"/>
    <w:rsid w:val="0024054C"/>
    <w:rsid w:val="00241516"/>
    <w:rsid w:val="00242966"/>
    <w:rsid w:val="002439F4"/>
    <w:rsid w:val="00244643"/>
    <w:rsid w:val="0024514E"/>
    <w:rsid w:val="0024571B"/>
    <w:rsid w:val="00247045"/>
    <w:rsid w:val="002474E8"/>
    <w:rsid w:val="002476CC"/>
    <w:rsid w:val="002479F9"/>
    <w:rsid w:val="00247FDF"/>
    <w:rsid w:val="0025138E"/>
    <w:rsid w:val="00252DE0"/>
    <w:rsid w:val="00253161"/>
    <w:rsid w:val="002531CC"/>
    <w:rsid w:val="002536F0"/>
    <w:rsid w:val="002540B7"/>
    <w:rsid w:val="00254812"/>
    <w:rsid w:val="00254846"/>
    <w:rsid w:val="00254ACB"/>
    <w:rsid w:val="0025616B"/>
    <w:rsid w:val="002571C8"/>
    <w:rsid w:val="002577D3"/>
    <w:rsid w:val="0025784B"/>
    <w:rsid w:val="00260B9B"/>
    <w:rsid w:val="00261256"/>
    <w:rsid w:val="00264207"/>
    <w:rsid w:val="002647F5"/>
    <w:rsid w:val="00265424"/>
    <w:rsid w:val="00265513"/>
    <w:rsid w:val="00266410"/>
    <w:rsid w:val="002669A6"/>
    <w:rsid w:val="00267BF5"/>
    <w:rsid w:val="002729D4"/>
    <w:rsid w:val="002730DB"/>
    <w:rsid w:val="00273554"/>
    <w:rsid w:val="00274556"/>
    <w:rsid w:val="002753E3"/>
    <w:rsid w:val="00275539"/>
    <w:rsid w:val="00275FDE"/>
    <w:rsid w:val="00276149"/>
    <w:rsid w:val="00276807"/>
    <w:rsid w:val="002779A6"/>
    <w:rsid w:val="00280028"/>
    <w:rsid w:val="002808B2"/>
    <w:rsid w:val="002824A9"/>
    <w:rsid w:val="00285ED0"/>
    <w:rsid w:val="00286570"/>
    <w:rsid w:val="0028671D"/>
    <w:rsid w:val="00286FFE"/>
    <w:rsid w:val="00287945"/>
    <w:rsid w:val="00287F20"/>
    <w:rsid w:val="00287F8D"/>
    <w:rsid w:val="00290BB6"/>
    <w:rsid w:val="00291CE7"/>
    <w:rsid w:val="00292CDA"/>
    <w:rsid w:val="00292FB2"/>
    <w:rsid w:val="00293612"/>
    <w:rsid w:val="002952D8"/>
    <w:rsid w:val="00295982"/>
    <w:rsid w:val="002974C9"/>
    <w:rsid w:val="002A0207"/>
    <w:rsid w:val="002A17FB"/>
    <w:rsid w:val="002A436C"/>
    <w:rsid w:val="002A69DF"/>
    <w:rsid w:val="002A732D"/>
    <w:rsid w:val="002A78E7"/>
    <w:rsid w:val="002A799B"/>
    <w:rsid w:val="002B20FB"/>
    <w:rsid w:val="002B26E7"/>
    <w:rsid w:val="002B349C"/>
    <w:rsid w:val="002B35FE"/>
    <w:rsid w:val="002B3B1E"/>
    <w:rsid w:val="002B456A"/>
    <w:rsid w:val="002B5077"/>
    <w:rsid w:val="002B564D"/>
    <w:rsid w:val="002B57B0"/>
    <w:rsid w:val="002B68C1"/>
    <w:rsid w:val="002B692D"/>
    <w:rsid w:val="002B6E86"/>
    <w:rsid w:val="002B7A9B"/>
    <w:rsid w:val="002B7C82"/>
    <w:rsid w:val="002B7FD0"/>
    <w:rsid w:val="002C052B"/>
    <w:rsid w:val="002C05A7"/>
    <w:rsid w:val="002C075C"/>
    <w:rsid w:val="002C07CC"/>
    <w:rsid w:val="002C1159"/>
    <w:rsid w:val="002C1571"/>
    <w:rsid w:val="002C1DEE"/>
    <w:rsid w:val="002C2731"/>
    <w:rsid w:val="002C2A34"/>
    <w:rsid w:val="002C3ED3"/>
    <w:rsid w:val="002C5260"/>
    <w:rsid w:val="002C77D2"/>
    <w:rsid w:val="002D00D8"/>
    <w:rsid w:val="002D27B8"/>
    <w:rsid w:val="002D291D"/>
    <w:rsid w:val="002D3E2A"/>
    <w:rsid w:val="002D4F73"/>
    <w:rsid w:val="002D5C8D"/>
    <w:rsid w:val="002D6180"/>
    <w:rsid w:val="002D683F"/>
    <w:rsid w:val="002E26AD"/>
    <w:rsid w:val="002E2ECC"/>
    <w:rsid w:val="002E420C"/>
    <w:rsid w:val="002E437F"/>
    <w:rsid w:val="002E467B"/>
    <w:rsid w:val="002E47AE"/>
    <w:rsid w:val="002E47CD"/>
    <w:rsid w:val="002E648F"/>
    <w:rsid w:val="002E66F0"/>
    <w:rsid w:val="002F0B43"/>
    <w:rsid w:val="002F108F"/>
    <w:rsid w:val="002F12E7"/>
    <w:rsid w:val="002F1F26"/>
    <w:rsid w:val="002F45AC"/>
    <w:rsid w:val="002F45C1"/>
    <w:rsid w:val="002F4733"/>
    <w:rsid w:val="002F5814"/>
    <w:rsid w:val="002F631D"/>
    <w:rsid w:val="002F6377"/>
    <w:rsid w:val="002F6403"/>
    <w:rsid w:val="003005AF"/>
    <w:rsid w:val="00300C29"/>
    <w:rsid w:val="00302BE6"/>
    <w:rsid w:val="00303680"/>
    <w:rsid w:val="00304B6F"/>
    <w:rsid w:val="00304CF3"/>
    <w:rsid w:val="00304E68"/>
    <w:rsid w:val="003056D2"/>
    <w:rsid w:val="00306D60"/>
    <w:rsid w:val="00310C8F"/>
    <w:rsid w:val="00311A17"/>
    <w:rsid w:val="00311AA9"/>
    <w:rsid w:val="00311BAF"/>
    <w:rsid w:val="00315106"/>
    <w:rsid w:val="003151A8"/>
    <w:rsid w:val="00315950"/>
    <w:rsid w:val="00315980"/>
    <w:rsid w:val="00315C3A"/>
    <w:rsid w:val="00315C41"/>
    <w:rsid w:val="00316343"/>
    <w:rsid w:val="00316A75"/>
    <w:rsid w:val="003170C0"/>
    <w:rsid w:val="00317620"/>
    <w:rsid w:val="00317734"/>
    <w:rsid w:val="00320087"/>
    <w:rsid w:val="00320465"/>
    <w:rsid w:val="00320EB1"/>
    <w:rsid w:val="003240F5"/>
    <w:rsid w:val="00326471"/>
    <w:rsid w:val="00330B32"/>
    <w:rsid w:val="0033108E"/>
    <w:rsid w:val="0033241A"/>
    <w:rsid w:val="0033283C"/>
    <w:rsid w:val="00333FA9"/>
    <w:rsid w:val="00335544"/>
    <w:rsid w:val="00335AD3"/>
    <w:rsid w:val="00336FFC"/>
    <w:rsid w:val="0033793C"/>
    <w:rsid w:val="003410EC"/>
    <w:rsid w:val="003411FF"/>
    <w:rsid w:val="003441C4"/>
    <w:rsid w:val="00344755"/>
    <w:rsid w:val="003447B8"/>
    <w:rsid w:val="0034584A"/>
    <w:rsid w:val="00350183"/>
    <w:rsid w:val="00350E08"/>
    <w:rsid w:val="00351FE3"/>
    <w:rsid w:val="0035227A"/>
    <w:rsid w:val="00352B28"/>
    <w:rsid w:val="003536C6"/>
    <w:rsid w:val="00354A9E"/>
    <w:rsid w:val="00355810"/>
    <w:rsid w:val="00357054"/>
    <w:rsid w:val="00357122"/>
    <w:rsid w:val="00357B4C"/>
    <w:rsid w:val="00360A6F"/>
    <w:rsid w:val="003611F4"/>
    <w:rsid w:val="00362052"/>
    <w:rsid w:val="00362F67"/>
    <w:rsid w:val="003639BF"/>
    <w:rsid w:val="0036525D"/>
    <w:rsid w:val="00365819"/>
    <w:rsid w:val="00365FD1"/>
    <w:rsid w:val="00366A65"/>
    <w:rsid w:val="00367279"/>
    <w:rsid w:val="0037058D"/>
    <w:rsid w:val="00370CAE"/>
    <w:rsid w:val="003712F2"/>
    <w:rsid w:val="0037584B"/>
    <w:rsid w:val="003758F9"/>
    <w:rsid w:val="00375C12"/>
    <w:rsid w:val="00376135"/>
    <w:rsid w:val="003763B4"/>
    <w:rsid w:val="003774E6"/>
    <w:rsid w:val="003802EE"/>
    <w:rsid w:val="0038134F"/>
    <w:rsid w:val="0038266C"/>
    <w:rsid w:val="00382717"/>
    <w:rsid w:val="00384259"/>
    <w:rsid w:val="00384F66"/>
    <w:rsid w:val="003853B3"/>
    <w:rsid w:val="003879C4"/>
    <w:rsid w:val="00391C55"/>
    <w:rsid w:val="00392030"/>
    <w:rsid w:val="00392D17"/>
    <w:rsid w:val="003937A0"/>
    <w:rsid w:val="003957AA"/>
    <w:rsid w:val="00395EF2"/>
    <w:rsid w:val="0039799E"/>
    <w:rsid w:val="003A01EB"/>
    <w:rsid w:val="003A1C82"/>
    <w:rsid w:val="003A227E"/>
    <w:rsid w:val="003A24D4"/>
    <w:rsid w:val="003A2503"/>
    <w:rsid w:val="003A4764"/>
    <w:rsid w:val="003A4916"/>
    <w:rsid w:val="003A5258"/>
    <w:rsid w:val="003A58AD"/>
    <w:rsid w:val="003A7F47"/>
    <w:rsid w:val="003B0478"/>
    <w:rsid w:val="003B07E3"/>
    <w:rsid w:val="003B0CC1"/>
    <w:rsid w:val="003B163E"/>
    <w:rsid w:val="003B45F4"/>
    <w:rsid w:val="003B4ACD"/>
    <w:rsid w:val="003B5627"/>
    <w:rsid w:val="003C05C4"/>
    <w:rsid w:val="003C1534"/>
    <w:rsid w:val="003C1EFF"/>
    <w:rsid w:val="003C35CA"/>
    <w:rsid w:val="003C3B8B"/>
    <w:rsid w:val="003C3DE8"/>
    <w:rsid w:val="003C3FFA"/>
    <w:rsid w:val="003C5759"/>
    <w:rsid w:val="003C645C"/>
    <w:rsid w:val="003C7123"/>
    <w:rsid w:val="003C719E"/>
    <w:rsid w:val="003C7F90"/>
    <w:rsid w:val="003D222C"/>
    <w:rsid w:val="003D5547"/>
    <w:rsid w:val="003D5914"/>
    <w:rsid w:val="003D67CB"/>
    <w:rsid w:val="003D6B57"/>
    <w:rsid w:val="003D6DA4"/>
    <w:rsid w:val="003D788B"/>
    <w:rsid w:val="003D79D4"/>
    <w:rsid w:val="003D7A3A"/>
    <w:rsid w:val="003D7D90"/>
    <w:rsid w:val="003E0735"/>
    <w:rsid w:val="003E0B30"/>
    <w:rsid w:val="003E27F3"/>
    <w:rsid w:val="003E29FC"/>
    <w:rsid w:val="003E2DAF"/>
    <w:rsid w:val="003E32D5"/>
    <w:rsid w:val="003E39BC"/>
    <w:rsid w:val="003E62A0"/>
    <w:rsid w:val="003E68DA"/>
    <w:rsid w:val="003E7D9C"/>
    <w:rsid w:val="003E7DAB"/>
    <w:rsid w:val="003F0222"/>
    <w:rsid w:val="003F149F"/>
    <w:rsid w:val="003F3F1F"/>
    <w:rsid w:val="003F44D5"/>
    <w:rsid w:val="003F4FE6"/>
    <w:rsid w:val="003F50CF"/>
    <w:rsid w:val="003F5489"/>
    <w:rsid w:val="003F6075"/>
    <w:rsid w:val="003F60F2"/>
    <w:rsid w:val="003F6B26"/>
    <w:rsid w:val="003F71B8"/>
    <w:rsid w:val="003F723C"/>
    <w:rsid w:val="00400471"/>
    <w:rsid w:val="00402AF0"/>
    <w:rsid w:val="0040303E"/>
    <w:rsid w:val="00405B45"/>
    <w:rsid w:val="00405EA2"/>
    <w:rsid w:val="00406F15"/>
    <w:rsid w:val="004072B9"/>
    <w:rsid w:val="0041021E"/>
    <w:rsid w:val="00410636"/>
    <w:rsid w:val="00412321"/>
    <w:rsid w:val="004124DA"/>
    <w:rsid w:val="00412993"/>
    <w:rsid w:val="00412A2F"/>
    <w:rsid w:val="004141F9"/>
    <w:rsid w:val="00415383"/>
    <w:rsid w:val="004168F0"/>
    <w:rsid w:val="00420274"/>
    <w:rsid w:val="00420B76"/>
    <w:rsid w:val="00420B97"/>
    <w:rsid w:val="004229D0"/>
    <w:rsid w:val="00423990"/>
    <w:rsid w:val="004239E7"/>
    <w:rsid w:val="00423D45"/>
    <w:rsid w:val="00424FB9"/>
    <w:rsid w:val="004310C9"/>
    <w:rsid w:val="0043110A"/>
    <w:rsid w:val="00436A89"/>
    <w:rsid w:val="00437C04"/>
    <w:rsid w:val="004405DB"/>
    <w:rsid w:val="004406BB"/>
    <w:rsid w:val="004416DD"/>
    <w:rsid w:val="00441966"/>
    <w:rsid w:val="00442040"/>
    <w:rsid w:val="0044207D"/>
    <w:rsid w:val="00442281"/>
    <w:rsid w:val="00442E17"/>
    <w:rsid w:val="00444CA8"/>
    <w:rsid w:val="00445614"/>
    <w:rsid w:val="00447A2E"/>
    <w:rsid w:val="0045072B"/>
    <w:rsid w:val="004511C7"/>
    <w:rsid w:val="00451618"/>
    <w:rsid w:val="00452027"/>
    <w:rsid w:val="004520AC"/>
    <w:rsid w:val="00452D6E"/>
    <w:rsid w:val="00453DB4"/>
    <w:rsid w:val="004547CE"/>
    <w:rsid w:val="0045485A"/>
    <w:rsid w:val="00454874"/>
    <w:rsid w:val="00454BE9"/>
    <w:rsid w:val="0045585D"/>
    <w:rsid w:val="00456E13"/>
    <w:rsid w:val="0046107E"/>
    <w:rsid w:val="00461DCB"/>
    <w:rsid w:val="004621D3"/>
    <w:rsid w:val="00462D5A"/>
    <w:rsid w:val="00463BDC"/>
    <w:rsid w:val="00464316"/>
    <w:rsid w:val="00464585"/>
    <w:rsid w:val="0046536F"/>
    <w:rsid w:val="00465F63"/>
    <w:rsid w:val="004660A5"/>
    <w:rsid w:val="0046622A"/>
    <w:rsid w:val="00466468"/>
    <w:rsid w:val="00472172"/>
    <w:rsid w:val="00472DB4"/>
    <w:rsid w:val="00473226"/>
    <w:rsid w:val="00474BA1"/>
    <w:rsid w:val="00474ECB"/>
    <w:rsid w:val="00474FD1"/>
    <w:rsid w:val="00475184"/>
    <w:rsid w:val="004756EA"/>
    <w:rsid w:val="00475AFB"/>
    <w:rsid w:val="0047683E"/>
    <w:rsid w:val="00476A47"/>
    <w:rsid w:val="00476AA5"/>
    <w:rsid w:val="00477AA2"/>
    <w:rsid w:val="00480599"/>
    <w:rsid w:val="00480741"/>
    <w:rsid w:val="004812D3"/>
    <w:rsid w:val="0048262F"/>
    <w:rsid w:val="0048357E"/>
    <w:rsid w:val="0048425E"/>
    <w:rsid w:val="00484406"/>
    <w:rsid w:val="004845D7"/>
    <w:rsid w:val="004846A6"/>
    <w:rsid w:val="0048564D"/>
    <w:rsid w:val="00486235"/>
    <w:rsid w:val="00487DB7"/>
    <w:rsid w:val="00487E8C"/>
    <w:rsid w:val="00491A7F"/>
    <w:rsid w:val="004920EF"/>
    <w:rsid w:val="004929BC"/>
    <w:rsid w:val="00492F4F"/>
    <w:rsid w:val="0049340F"/>
    <w:rsid w:val="0049456B"/>
    <w:rsid w:val="00494F69"/>
    <w:rsid w:val="004953D8"/>
    <w:rsid w:val="004955CE"/>
    <w:rsid w:val="00495B3A"/>
    <w:rsid w:val="00495C1D"/>
    <w:rsid w:val="00497699"/>
    <w:rsid w:val="004A02E8"/>
    <w:rsid w:val="004A1E6B"/>
    <w:rsid w:val="004A1ED7"/>
    <w:rsid w:val="004A31DA"/>
    <w:rsid w:val="004A3C6D"/>
    <w:rsid w:val="004A4CEB"/>
    <w:rsid w:val="004A6D49"/>
    <w:rsid w:val="004A703F"/>
    <w:rsid w:val="004B240D"/>
    <w:rsid w:val="004B3830"/>
    <w:rsid w:val="004B3B6C"/>
    <w:rsid w:val="004B439F"/>
    <w:rsid w:val="004B5364"/>
    <w:rsid w:val="004B592E"/>
    <w:rsid w:val="004B6E23"/>
    <w:rsid w:val="004C0395"/>
    <w:rsid w:val="004C0563"/>
    <w:rsid w:val="004C17B2"/>
    <w:rsid w:val="004C30AC"/>
    <w:rsid w:val="004C3B29"/>
    <w:rsid w:val="004C498C"/>
    <w:rsid w:val="004D0D5F"/>
    <w:rsid w:val="004D0DC9"/>
    <w:rsid w:val="004D127F"/>
    <w:rsid w:val="004D2DF1"/>
    <w:rsid w:val="004D32FB"/>
    <w:rsid w:val="004D34DC"/>
    <w:rsid w:val="004D4548"/>
    <w:rsid w:val="004D5142"/>
    <w:rsid w:val="004D58DC"/>
    <w:rsid w:val="004D65A1"/>
    <w:rsid w:val="004D752F"/>
    <w:rsid w:val="004E0211"/>
    <w:rsid w:val="004E038B"/>
    <w:rsid w:val="004E0644"/>
    <w:rsid w:val="004E1B61"/>
    <w:rsid w:val="004E2CD0"/>
    <w:rsid w:val="004E329A"/>
    <w:rsid w:val="004E3672"/>
    <w:rsid w:val="004E3E51"/>
    <w:rsid w:val="004E44E9"/>
    <w:rsid w:val="004E500B"/>
    <w:rsid w:val="004E59BA"/>
    <w:rsid w:val="004E74A5"/>
    <w:rsid w:val="004E7ED5"/>
    <w:rsid w:val="004F13CC"/>
    <w:rsid w:val="004F219A"/>
    <w:rsid w:val="004F22F1"/>
    <w:rsid w:val="004F273A"/>
    <w:rsid w:val="004F4E19"/>
    <w:rsid w:val="004F5B0C"/>
    <w:rsid w:val="004F5BD2"/>
    <w:rsid w:val="004F5ED1"/>
    <w:rsid w:val="004F6C00"/>
    <w:rsid w:val="004F710D"/>
    <w:rsid w:val="004F7F3F"/>
    <w:rsid w:val="0050250A"/>
    <w:rsid w:val="00502709"/>
    <w:rsid w:val="005030B1"/>
    <w:rsid w:val="00504BF3"/>
    <w:rsid w:val="0050751B"/>
    <w:rsid w:val="005106AC"/>
    <w:rsid w:val="0051184C"/>
    <w:rsid w:val="00511C73"/>
    <w:rsid w:val="00512C5B"/>
    <w:rsid w:val="00513B7D"/>
    <w:rsid w:val="00514052"/>
    <w:rsid w:val="00520EB9"/>
    <w:rsid w:val="00521304"/>
    <w:rsid w:val="005224F4"/>
    <w:rsid w:val="005244BE"/>
    <w:rsid w:val="0052463F"/>
    <w:rsid w:val="00526A03"/>
    <w:rsid w:val="0052777E"/>
    <w:rsid w:val="005304E1"/>
    <w:rsid w:val="005308E5"/>
    <w:rsid w:val="005311B5"/>
    <w:rsid w:val="00531C15"/>
    <w:rsid w:val="00535413"/>
    <w:rsid w:val="00535F5E"/>
    <w:rsid w:val="00536D0A"/>
    <w:rsid w:val="00540A73"/>
    <w:rsid w:val="00540C76"/>
    <w:rsid w:val="00540E51"/>
    <w:rsid w:val="00541553"/>
    <w:rsid w:val="0054160B"/>
    <w:rsid w:val="00541759"/>
    <w:rsid w:val="005430C1"/>
    <w:rsid w:val="00543155"/>
    <w:rsid w:val="00543C1B"/>
    <w:rsid w:val="00545204"/>
    <w:rsid w:val="0054731A"/>
    <w:rsid w:val="00551426"/>
    <w:rsid w:val="00553E9E"/>
    <w:rsid w:val="0055464F"/>
    <w:rsid w:val="005549E3"/>
    <w:rsid w:val="00556952"/>
    <w:rsid w:val="00556FDB"/>
    <w:rsid w:val="00557296"/>
    <w:rsid w:val="00557738"/>
    <w:rsid w:val="00557A53"/>
    <w:rsid w:val="00560AB1"/>
    <w:rsid w:val="00560B22"/>
    <w:rsid w:val="00561A2A"/>
    <w:rsid w:val="00561FBF"/>
    <w:rsid w:val="00562994"/>
    <w:rsid w:val="0056580F"/>
    <w:rsid w:val="005659FE"/>
    <w:rsid w:val="00565AAE"/>
    <w:rsid w:val="00566CFC"/>
    <w:rsid w:val="00566DF1"/>
    <w:rsid w:val="00566F20"/>
    <w:rsid w:val="0057047A"/>
    <w:rsid w:val="00570B1A"/>
    <w:rsid w:val="00572633"/>
    <w:rsid w:val="0057376F"/>
    <w:rsid w:val="00574714"/>
    <w:rsid w:val="005753E6"/>
    <w:rsid w:val="00575430"/>
    <w:rsid w:val="00575CEE"/>
    <w:rsid w:val="005774CD"/>
    <w:rsid w:val="00577F2C"/>
    <w:rsid w:val="00580EA7"/>
    <w:rsid w:val="0058191E"/>
    <w:rsid w:val="00582657"/>
    <w:rsid w:val="00584B94"/>
    <w:rsid w:val="00585668"/>
    <w:rsid w:val="00585B2B"/>
    <w:rsid w:val="00586E28"/>
    <w:rsid w:val="00586F42"/>
    <w:rsid w:val="005873F3"/>
    <w:rsid w:val="00587557"/>
    <w:rsid w:val="005902FE"/>
    <w:rsid w:val="00590429"/>
    <w:rsid w:val="00590F86"/>
    <w:rsid w:val="00592372"/>
    <w:rsid w:val="0059365B"/>
    <w:rsid w:val="005958AC"/>
    <w:rsid w:val="00595B79"/>
    <w:rsid w:val="00596577"/>
    <w:rsid w:val="0059790A"/>
    <w:rsid w:val="005A0406"/>
    <w:rsid w:val="005A0B0D"/>
    <w:rsid w:val="005A0BEC"/>
    <w:rsid w:val="005A0D9F"/>
    <w:rsid w:val="005A3538"/>
    <w:rsid w:val="005A3750"/>
    <w:rsid w:val="005A39C8"/>
    <w:rsid w:val="005A39F9"/>
    <w:rsid w:val="005A3B92"/>
    <w:rsid w:val="005A3E09"/>
    <w:rsid w:val="005A4C51"/>
    <w:rsid w:val="005A53FD"/>
    <w:rsid w:val="005A5696"/>
    <w:rsid w:val="005A5F1A"/>
    <w:rsid w:val="005A6424"/>
    <w:rsid w:val="005A72CD"/>
    <w:rsid w:val="005B0690"/>
    <w:rsid w:val="005B1255"/>
    <w:rsid w:val="005B12DD"/>
    <w:rsid w:val="005B1A67"/>
    <w:rsid w:val="005B1DBF"/>
    <w:rsid w:val="005B1F17"/>
    <w:rsid w:val="005B2DF5"/>
    <w:rsid w:val="005B4782"/>
    <w:rsid w:val="005B5380"/>
    <w:rsid w:val="005B539B"/>
    <w:rsid w:val="005C0D2E"/>
    <w:rsid w:val="005C17EB"/>
    <w:rsid w:val="005C22E0"/>
    <w:rsid w:val="005C26DE"/>
    <w:rsid w:val="005C32DF"/>
    <w:rsid w:val="005C36A4"/>
    <w:rsid w:val="005C39CC"/>
    <w:rsid w:val="005C4CFF"/>
    <w:rsid w:val="005C5410"/>
    <w:rsid w:val="005C5527"/>
    <w:rsid w:val="005C6009"/>
    <w:rsid w:val="005C641F"/>
    <w:rsid w:val="005C719C"/>
    <w:rsid w:val="005C7D37"/>
    <w:rsid w:val="005D0C8F"/>
    <w:rsid w:val="005D1A17"/>
    <w:rsid w:val="005D27A0"/>
    <w:rsid w:val="005D4D24"/>
    <w:rsid w:val="005D5580"/>
    <w:rsid w:val="005D5F9B"/>
    <w:rsid w:val="005D65B8"/>
    <w:rsid w:val="005D7136"/>
    <w:rsid w:val="005D731F"/>
    <w:rsid w:val="005D73C3"/>
    <w:rsid w:val="005D7AA6"/>
    <w:rsid w:val="005E0AAE"/>
    <w:rsid w:val="005E110F"/>
    <w:rsid w:val="005E11E0"/>
    <w:rsid w:val="005E13E2"/>
    <w:rsid w:val="005E1FA9"/>
    <w:rsid w:val="005E1FED"/>
    <w:rsid w:val="005E28F7"/>
    <w:rsid w:val="005E2BC6"/>
    <w:rsid w:val="005E4428"/>
    <w:rsid w:val="005E5252"/>
    <w:rsid w:val="005E543E"/>
    <w:rsid w:val="005E5ED4"/>
    <w:rsid w:val="005E5ED8"/>
    <w:rsid w:val="005E634C"/>
    <w:rsid w:val="005E6DD7"/>
    <w:rsid w:val="005E71AA"/>
    <w:rsid w:val="005E7A7A"/>
    <w:rsid w:val="005F0510"/>
    <w:rsid w:val="005F2B3E"/>
    <w:rsid w:val="005F32F1"/>
    <w:rsid w:val="005F47A7"/>
    <w:rsid w:val="005F4E7E"/>
    <w:rsid w:val="005F4F86"/>
    <w:rsid w:val="005F57C6"/>
    <w:rsid w:val="005F595A"/>
    <w:rsid w:val="005F6069"/>
    <w:rsid w:val="005F6B0D"/>
    <w:rsid w:val="005F738E"/>
    <w:rsid w:val="005F7549"/>
    <w:rsid w:val="0060035C"/>
    <w:rsid w:val="00601049"/>
    <w:rsid w:val="006014B9"/>
    <w:rsid w:val="00601659"/>
    <w:rsid w:val="0060379C"/>
    <w:rsid w:val="0060595A"/>
    <w:rsid w:val="006073C8"/>
    <w:rsid w:val="00607A81"/>
    <w:rsid w:val="00607C05"/>
    <w:rsid w:val="00611CFD"/>
    <w:rsid w:val="00612198"/>
    <w:rsid w:val="00612D6B"/>
    <w:rsid w:val="00612E55"/>
    <w:rsid w:val="00613B92"/>
    <w:rsid w:val="00614376"/>
    <w:rsid w:val="00614854"/>
    <w:rsid w:val="00614B54"/>
    <w:rsid w:val="00615113"/>
    <w:rsid w:val="0061646C"/>
    <w:rsid w:val="0062194F"/>
    <w:rsid w:val="00622097"/>
    <w:rsid w:val="00622F68"/>
    <w:rsid w:val="00623B28"/>
    <w:rsid w:val="00624710"/>
    <w:rsid w:val="00625689"/>
    <w:rsid w:val="00627138"/>
    <w:rsid w:val="006274D2"/>
    <w:rsid w:val="0062783D"/>
    <w:rsid w:val="00627955"/>
    <w:rsid w:val="00627B30"/>
    <w:rsid w:val="00631F36"/>
    <w:rsid w:val="00632E52"/>
    <w:rsid w:val="00633F9A"/>
    <w:rsid w:val="00634328"/>
    <w:rsid w:val="00635520"/>
    <w:rsid w:val="00635EDB"/>
    <w:rsid w:val="006370A1"/>
    <w:rsid w:val="006377DD"/>
    <w:rsid w:val="006407B0"/>
    <w:rsid w:val="00641B89"/>
    <w:rsid w:val="00641ECC"/>
    <w:rsid w:val="006440ED"/>
    <w:rsid w:val="006455BC"/>
    <w:rsid w:val="006456D1"/>
    <w:rsid w:val="0064637F"/>
    <w:rsid w:val="00647337"/>
    <w:rsid w:val="0064785E"/>
    <w:rsid w:val="006479C4"/>
    <w:rsid w:val="006517CE"/>
    <w:rsid w:val="006529B5"/>
    <w:rsid w:val="00652BAE"/>
    <w:rsid w:val="00653418"/>
    <w:rsid w:val="00654193"/>
    <w:rsid w:val="00655426"/>
    <w:rsid w:val="0065547D"/>
    <w:rsid w:val="00655A4A"/>
    <w:rsid w:val="00660DF7"/>
    <w:rsid w:val="00660FF3"/>
    <w:rsid w:val="00661078"/>
    <w:rsid w:val="00661098"/>
    <w:rsid w:val="00661131"/>
    <w:rsid w:val="006614FF"/>
    <w:rsid w:val="006632BF"/>
    <w:rsid w:val="00663CCB"/>
    <w:rsid w:val="006646D0"/>
    <w:rsid w:val="006652D2"/>
    <w:rsid w:val="006652F6"/>
    <w:rsid w:val="006657B8"/>
    <w:rsid w:val="00667FBD"/>
    <w:rsid w:val="00670344"/>
    <w:rsid w:val="006703A1"/>
    <w:rsid w:val="00671AD8"/>
    <w:rsid w:val="00672763"/>
    <w:rsid w:val="006732BD"/>
    <w:rsid w:val="006736C9"/>
    <w:rsid w:val="00673AE6"/>
    <w:rsid w:val="00673F59"/>
    <w:rsid w:val="00674384"/>
    <w:rsid w:val="00676AC6"/>
    <w:rsid w:val="00677B36"/>
    <w:rsid w:val="006808D1"/>
    <w:rsid w:val="0068094A"/>
    <w:rsid w:val="00682B25"/>
    <w:rsid w:val="00682C7B"/>
    <w:rsid w:val="00682EF8"/>
    <w:rsid w:val="006833D5"/>
    <w:rsid w:val="006844A8"/>
    <w:rsid w:val="006851DA"/>
    <w:rsid w:val="00687538"/>
    <w:rsid w:val="00687741"/>
    <w:rsid w:val="00690AD7"/>
    <w:rsid w:val="006916B7"/>
    <w:rsid w:val="00691788"/>
    <w:rsid w:val="00691AB6"/>
    <w:rsid w:val="006923AF"/>
    <w:rsid w:val="00692BDB"/>
    <w:rsid w:val="00693893"/>
    <w:rsid w:val="00694213"/>
    <w:rsid w:val="0069499E"/>
    <w:rsid w:val="00694C36"/>
    <w:rsid w:val="006951F9"/>
    <w:rsid w:val="00695358"/>
    <w:rsid w:val="00695B13"/>
    <w:rsid w:val="00697AE4"/>
    <w:rsid w:val="00697C8D"/>
    <w:rsid w:val="00697EA3"/>
    <w:rsid w:val="006A16CF"/>
    <w:rsid w:val="006A1FBC"/>
    <w:rsid w:val="006A2738"/>
    <w:rsid w:val="006A45DF"/>
    <w:rsid w:val="006A472B"/>
    <w:rsid w:val="006A4B60"/>
    <w:rsid w:val="006A529C"/>
    <w:rsid w:val="006A535A"/>
    <w:rsid w:val="006A60B5"/>
    <w:rsid w:val="006A666F"/>
    <w:rsid w:val="006A7111"/>
    <w:rsid w:val="006A77E0"/>
    <w:rsid w:val="006B0FA0"/>
    <w:rsid w:val="006B1891"/>
    <w:rsid w:val="006B3D9B"/>
    <w:rsid w:val="006B417C"/>
    <w:rsid w:val="006B4B33"/>
    <w:rsid w:val="006B63B3"/>
    <w:rsid w:val="006B6F2A"/>
    <w:rsid w:val="006B6F89"/>
    <w:rsid w:val="006B6FE4"/>
    <w:rsid w:val="006B7FB7"/>
    <w:rsid w:val="006C1BB9"/>
    <w:rsid w:val="006C1C4F"/>
    <w:rsid w:val="006C1CB2"/>
    <w:rsid w:val="006C2E08"/>
    <w:rsid w:val="006C4263"/>
    <w:rsid w:val="006C5EF6"/>
    <w:rsid w:val="006C65B5"/>
    <w:rsid w:val="006C6882"/>
    <w:rsid w:val="006C69DB"/>
    <w:rsid w:val="006C6A45"/>
    <w:rsid w:val="006C6A6B"/>
    <w:rsid w:val="006D0DA5"/>
    <w:rsid w:val="006D1412"/>
    <w:rsid w:val="006D19B5"/>
    <w:rsid w:val="006D23AA"/>
    <w:rsid w:val="006D31FD"/>
    <w:rsid w:val="006D3B2F"/>
    <w:rsid w:val="006D4817"/>
    <w:rsid w:val="006D512A"/>
    <w:rsid w:val="006D592B"/>
    <w:rsid w:val="006D59A6"/>
    <w:rsid w:val="006D5EE0"/>
    <w:rsid w:val="006D6898"/>
    <w:rsid w:val="006D6EB2"/>
    <w:rsid w:val="006D73F3"/>
    <w:rsid w:val="006E028D"/>
    <w:rsid w:val="006E124C"/>
    <w:rsid w:val="006E2B77"/>
    <w:rsid w:val="006E2C75"/>
    <w:rsid w:val="006E39BE"/>
    <w:rsid w:val="006E4EC4"/>
    <w:rsid w:val="006E5A19"/>
    <w:rsid w:val="006F0235"/>
    <w:rsid w:val="006F0823"/>
    <w:rsid w:val="006F0DBA"/>
    <w:rsid w:val="006F1536"/>
    <w:rsid w:val="006F16D7"/>
    <w:rsid w:val="006F23F2"/>
    <w:rsid w:val="006F2948"/>
    <w:rsid w:val="006F2C2E"/>
    <w:rsid w:val="006F3090"/>
    <w:rsid w:val="006F334A"/>
    <w:rsid w:val="006F3547"/>
    <w:rsid w:val="006F3A13"/>
    <w:rsid w:val="006F4828"/>
    <w:rsid w:val="006F618E"/>
    <w:rsid w:val="006F61EA"/>
    <w:rsid w:val="006F6599"/>
    <w:rsid w:val="006F66F2"/>
    <w:rsid w:val="006F7F1D"/>
    <w:rsid w:val="00700E7E"/>
    <w:rsid w:val="00701B06"/>
    <w:rsid w:val="00702930"/>
    <w:rsid w:val="00705242"/>
    <w:rsid w:val="007064A1"/>
    <w:rsid w:val="0070654C"/>
    <w:rsid w:val="00707448"/>
    <w:rsid w:val="0071192A"/>
    <w:rsid w:val="00712B7C"/>
    <w:rsid w:val="00713492"/>
    <w:rsid w:val="00714161"/>
    <w:rsid w:val="0071425F"/>
    <w:rsid w:val="007142BB"/>
    <w:rsid w:val="00714AB9"/>
    <w:rsid w:val="00714E06"/>
    <w:rsid w:val="007164DF"/>
    <w:rsid w:val="0071675A"/>
    <w:rsid w:val="00716D37"/>
    <w:rsid w:val="00716E5A"/>
    <w:rsid w:val="007176AA"/>
    <w:rsid w:val="007200BA"/>
    <w:rsid w:val="0072036E"/>
    <w:rsid w:val="00721147"/>
    <w:rsid w:val="007222D4"/>
    <w:rsid w:val="00722EA1"/>
    <w:rsid w:val="00723388"/>
    <w:rsid w:val="00724405"/>
    <w:rsid w:val="007245DB"/>
    <w:rsid w:val="00725850"/>
    <w:rsid w:val="007258B9"/>
    <w:rsid w:val="0072694C"/>
    <w:rsid w:val="00726A4B"/>
    <w:rsid w:val="00726D61"/>
    <w:rsid w:val="00726DCA"/>
    <w:rsid w:val="00730897"/>
    <w:rsid w:val="00730CDF"/>
    <w:rsid w:val="00731B99"/>
    <w:rsid w:val="0073369B"/>
    <w:rsid w:val="00735856"/>
    <w:rsid w:val="0073673C"/>
    <w:rsid w:val="00736E56"/>
    <w:rsid w:val="007372CA"/>
    <w:rsid w:val="00741C2B"/>
    <w:rsid w:val="00741C6D"/>
    <w:rsid w:val="00742943"/>
    <w:rsid w:val="00745661"/>
    <w:rsid w:val="00745A1E"/>
    <w:rsid w:val="007472C6"/>
    <w:rsid w:val="00747CD9"/>
    <w:rsid w:val="007503F3"/>
    <w:rsid w:val="007506AD"/>
    <w:rsid w:val="00752871"/>
    <w:rsid w:val="00752A3E"/>
    <w:rsid w:val="00753852"/>
    <w:rsid w:val="00753AF9"/>
    <w:rsid w:val="00755D9E"/>
    <w:rsid w:val="00756369"/>
    <w:rsid w:val="00757164"/>
    <w:rsid w:val="00757964"/>
    <w:rsid w:val="007579D8"/>
    <w:rsid w:val="00760FEF"/>
    <w:rsid w:val="007615A8"/>
    <w:rsid w:val="00763C26"/>
    <w:rsid w:val="00763EC2"/>
    <w:rsid w:val="00764DF3"/>
    <w:rsid w:val="00765009"/>
    <w:rsid w:val="007655D2"/>
    <w:rsid w:val="00767974"/>
    <w:rsid w:val="007733D9"/>
    <w:rsid w:val="00773E0C"/>
    <w:rsid w:val="00775489"/>
    <w:rsid w:val="00775BFE"/>
    <w:rsid w:val="007770C9"/>
    <w:rsid w:val="00777E3F"/>
    <w:rsid w:val="007808BC"/>
    <w:rsid w:val="00780CCD"/>
    <w:rsid w:val="00780D82"/>
    <w:rsid w:val="00780F16"/>
    <w:rsid w:val="007823DB"/>
    <w:rsid w:val="007838E4"/>
    <w:rsid w:val="007839E4"/>
    <w:rsid w:val="00783D71"/>
    <w:rsid w:val="007846D2"/>
    <w:rsid w:val="00785076"/>
    <w:rsid w:val="0078534E"/>
    <w:rsid w:val="00787139"/>
    <w:rsid w:val="0078744C"/>
    <w:rsid w:val="007918E8"/>
    <w:rsid w:val="00791CB2"/>
    <w:rsid w:val="00791D9A"/>
    <w:rsid w:val="007923D6"/>
    <w:rsid w:val="0079273B"/>
    <w:rsid w:val="00792D65"/>
    <w:rsid w:val="00793ACC"/>
    <w:rsid w:val="00793E39"/>
    <w:rsid w:val="007956AB"/>
    <w:rsid w:val="00795E34"/>
    <w:rsid w:val="00796536"/>
    <w:rsid w:val="00796A51"/>
    <w:rsid w:val="00796F0C"/>
    <w:rsid w:val="007978FA"/>
    <w:rsid w:val="007A0624"/>
    <w:rsid w:val="007A0A31"/>
    <w:rsid w:val="007A0C7F"/>
    <w:rsid w:val="007A2A58"/>
    <w:rsid w:val="007A2BFA"/>
    <w:rsid w:val="007A3B65"/>
    <w:rsid w:val="007A3C96"/>
    <w:rsid w:val="007A6892"/>
    <w:rsid w:val="007A7414"/>
    <w:rsid w:val="007A7461"/>
    <w:rsid w:val="007B0646"/>
    <w:rsid w:val="007B116B"/>
    <w:rsid w:val="007B1A1F"/>
    <w:rsid w:val="007B1F9D"/>
    <w:rsid w:val="007B2043"/>
    <w:rsid w:val="007B23A4"/>
    <w:rsid w:val="007B33FD"/>
    <w:rsid w:val="007B390A"/>
    <w:rsid w:val="007B3B9D"/>
    <w:rsid w:val="007B3DCD"/>
    <w:rsid w:val="007B4260"/>
    <w:rsid w:val="007B4755"/>
    <w:rsid w:val="007B4E97"/>
    <w:rsid w:val="007B5053"/>
    <w:rsid w:val="007B53D3"/>
    <w:rsid w:val="007B738A"/>
    <w:rsid w:val="007B7575"/>
    <w:rsid w:val="007C0710"/>
    <w:rsid w:val="007C1967"/>
    <w:rsid w:val="007C19E4"/>
    <w:rsid w:val="007C1F63"/>
    <w:rsid w:val="007C1F87"/>
    <w:rsid w:val="007C2891"/>
    <w:rsid w:val="007C3A82"/>
    <w:rsid w:val="007C40B3"/>
    <w:rsid w:val="007C4965"/>
    <w:rsid w:val="007C6BAC"/>
    <w:rsid w:val="007C77AE"/>
    <w:rsid w:val="007C7FD2"/>
    <w:rsid w:val="007D116B"/>
    <w:rsid w:val="007D1392"/>
    <w:rsid w:val="007D30D1"/>
    <w:rsid w:val="007D3753"/>
    <w:rsid w:val="007D39BD"/>
    <w:rsid w:val="007D3AFA"/>
    <w:rsid w:val="007D47C9"/>
    <w:rsid w:val="007D4853"/>
    <w:rsid w:val="007D5126"/>
    <w:rsid w:val="007D60EC"/>
    <w:rsid w:val="007D643D"/>
    <w:rsid w:val="007D70F0"/>
    <w:rsid w:val="007D7CFB"/>
    <w:rsid w:val="007E00F4"/>
    <w:rsid w:val="007E06CF"/>
    <w:rsid w:val="007E31D2"/>
    <w:rsid w:val="007E3302"/>
    <w:rsid w:val="007E3F09"/>
    <w:rsid w:val="007E43E5"/>
    <w:rsid w:val="007E460F"/>
    <w:rsid w:val="007E6FFC"/>
    <w:rsid w:val="007E7204"/>
    <w:rsid w:val="007E7EF8"/>
    <w:rsid w:val="007F028E"/>
    <w:rsid w:val="007F0F3E"/>
    <w:rsid w:val="007F2DB3"/>
    <w:rsid w:val="007F320F"/>
    <w:rsid w:val="007F3A44"/>
    <w:rsid w:val="007F444C"/>
    <w:rsid w:val="007F6049"/>
    <w:rsid w:val="007F7092"/>
    <w:rsid w:val="007F72D3"/>
    <w:rsid w:val="00801336"/>
    <w:rsid w:val="00801A59"/>
    <w:rsid w:val="00801BFB"/>
    <w:rsid w:val="00801DEF"/>
    <w:rsid w:val="00802697"/>
    <w:rsid w:val="00803C56"/>
    <w:rsid w:val="00804DB1"/>
    <w:rsid w:val="008060D6"/>
    <w:rsid w:val="00806A4A"/>
    <w:rsid w:val="0080755E"/>
    <w:rsid w:val="00807E30"/>
    <w:rsid w:val="00810D6D"/>
    <w:rsid w:val="00811288"/>
    <w:rsid w:val="0081380C"/>
    <w:rsid w:val="00815707"/>
    <w:rsid w:val="0081695D"/>
    <w:rsid w:val="008201E9"/>
    <w:rsid w:val="008202BC"/>
    <w:rsid w:val="00820A3F"/>
    <w:rsid w:val="00820BD7"/>
    <w:rsid w:val="008216E7"/>
    <w:rsid w:val="008233D8"/>
    <w:rsid w:val="00823735"/>
    <w:rsid w:val="00823C0A"/>
    <w:rsid w:val="0082536B"/>
    <w:rsid w:val="00825435"/>
    <w:rsid w:val="00826DBA"/>
    <w:rsid w:val="008273AB"/>
    <w:rsid w:val="00830797"/>
    <w:rsid w:val="008310C4"/>
    <w:rsid w:val="00832FFD"/>
    <w:rsid w:val="0083307B"/>
    <w:rsid w:val="00833832"/>
    <w:rsid w:val="008339FF"/>
    <w:rsid w:val="0083414A"/>
    <w:rsid w:val="00834CAB"/>
    <w:rsid w:val="008364E4"/>
    <w:rsid w:val="008376E4"/>
    <w:rsid w:val="00837966"/>
    <w:rsid w:val="00837D9D"/>
    <w:rsid w:val="0084078A"/>
    <w:rsid w:val="008415EE"/>
    <w:rsid w:val="0084272E"/>
    <w:rsid w:val="00844E4C"/>
    <w:rsid w:val="00846B2D"/>
    <w:rsid w:val="00850A14"/>
    <w:rsid w:val="00851F67"/>
    <w:rsid w:val="0085395A"/>
    <w:rsid w:val="0085632C"/>
    <w:rsid w:val="008612E5"/>
    <w:rsid w:val="008617C0"/>
    <w:rsid w:val="00861EC0"/>
    <w:rsid w:val="0086294F"/>
    <w:rsid w:val="00863204"/>
    <w:rsid w:val="008648DF"/>
    <w:rsid w:val="00865334"/>
    <w:rsid w:val="0086555F"/>
    <w:rsid w:val="00865CC2"/>
    <w:rsid w:val="00867098"/>
    <w:rsid w:val="00867B63"/>
    <w:rsid w:val="008705D1"/>
    <w:rsid w:val="008708CD"/>
    <w:rsid w:val="008714C0"/>
    <w:rsid w:val="008716CA"/>
    <w:rsid w:val="00872BDE"/>
    <w:rsid w:val="00874108"/>
    <w:rsid w:val="00877204"/>
    <w:rsid w:val="00877478"/>
    <w:rsid w:val="00877C6C"/>
    <w:rsid w:val="008803A0"/>
    <w:rsid w:val="008809ED"/>
    <w:rsid w:val="00880DDE"/>
    <w:rsid w:val="0088121F"/>
    <w:rsid w:val="00881F15"/>
    <w:rsid w:val="00882321"/>
    <w:rsid w:val="0088267C"/>
    <w:rsid w:val="00883591"/>
    <w:rsid w:val="008837AA"/>
    <w:rsid w:val="00885668"/>
    <w:rsid w:val="008856A9"/>
    <w:rsid w:val="00885C36"/>
    <w:rsid w:val="008861DD"/>
    <w:rsid w:val="00886E86"/>
    <w:rsid w:val="008905F5"/>
    <w:rsid w:val="008907D7"/>
    <w:rsid w:val="008912C0"/>
    <w:rsid w:val="00891CC0"/>
    <w:rsid w:val="008922D0"/>
    <w:rsid w:val="0089246C"/>
    <w:rsid w:val="008940C9"/>
    <w:rsid w:val="0089479D"/>
    <w:rsid w:val="00894F90"/>
    <w:rsid w:val="0089676F"/>
    <w:rsid w:val="008A10B1"/>
    <w:rsid w:val="008A1316"/>
    <w:rsid w:val="008A1EEA"/>
    <w:rsid w:val="008A2BF8"/>
    <w:rsid w:val="008A2F06"/>
    <w:rsid w:val="008A2FB8"/>
    <w:rsid w:val="008A32EC"/>
    <w:rsid w:val="008A3851"/>
    <w:rsid w:val="008A4DAB"/>
    <w:rsid w:val="008A6BC3"/>
    <w:rsid w:val="008A6ED3"/>
    <w:rsid w:val="008A74E1"/>
    <w:rsid w:val="008B0851"/>
    <w:rsid w:val="008B18A5"/>
    <w:rsid w:val="008B3C19"/>
    <w:rsid w:val="008B467F"/>
    <w:rsid w:val="008B4794"/>
    <w:rsid w:val="008B4C50"/>
    <w:rsid w:val="008B4F0F"/>
    <w:rsid w:val="008B5C63"/>
    <w:rsid w:val="008B6BB9"/>
    <w:rsid w:val="008B70CF"/>
    <w:rsid w:val="008B7AFC"/>
    <w:rsid w:val="008C09ED"/>
    <w:rsid w:val="008C261A"/>
    <w:rsid w:val="008C2911"/>
    <w:rsid w:val="008C2936"/>
    <w:rsid w:val="008C3C56"/>
    <w:rsid w:val="008C4ABE"/>
    <w:rsid w:val="008C5155"/>
    <w:rsid w:val="008C5F9C"/>
    <w:rsid w:val="008C71D7"/>
    <w:rsid w:val="008C7BA3"/>
    <w:rsid w:val="008C7D37"/>
    <w:rsid w:val="008D0B28"/>
    <w:rsid w:val="008D1798"/>
    <w:rsid w:val="008D2305"/>
    <w:rsid w:val="008D293A"/>
    <w:rsid w:val="008D31A7"/>
    <w:rsid w:val="008D3BD5"/>
    <w:rsid w:val="008D50BE"/>
    <w:rsid w:val="008D5793"/>
    <w:rsid w:val="008D5C3C"/>
    <w:rsid w:val="008D6813"/>
    <w:rsid w:val="008D6829"/>
    <w:rsid w:val="008D7123"/>
    <w:rsid w:val="008D7174"/>
    <w:rsid w:val="008D78EC"/>
    <w:rsid w:val="008E0238"/>
    <w:rsid w:val="008E039B"/>
    <w:rsid w:val="008E091B"/>
    <w:rsid w:val="008E19BE"/>
    <w:rsid w:val="008E1B3C"/>
    <w:rsid w:val="008E2504"/>
    <w:rsid w:val="008E2570"/>
    <w:rsid w:val="008E377A"/>
    <w:rsid w:val="008E4142"/>
    <w:rsid w:val="008E561B"/>
    <w:rsid w:val="008E5CAC"/>
    <w:rsid w:val="008E6D4A"/>
    <w:rsid w:val="008E7CA5"/>
    <w:rsid w:val="008F03CC"/>
    <w:rsid w:val="008F290F"/>
    <w:rsid w:val="008F2E71"/>
    <w:rsid w:val="008F2FDB"/>
    <w:rsid w:val="008F44B1"/>
    <w:rsid w:val="008F4C8A"/>
    <w:rsid w:val="008F5B56"/>
    <w:rsid w:val="008F6042"/>
    <w:rsid w:val="008F77DB"/>
    <w:rsid w:val="009004FA"/>
    <w:rsid w:val="00900E5D"/>
    <w:rsid w:val="00902406"/>
    <w:rsid w:val="0090251B"/>
    <w:rsid w:val="0090256B"/>
    <w:rsid w:val="00902F1E"/>
    <w:rsid w:val="00903883"/>
    <w:rsid w:val="009043F9"/>
    <w:rsid w:val="00905276"/>
    <w:rsid w:val="00906679"/>
    <w:rsid w:val="00906813"/>
    <w:rsid w:val="00906B87"/>
    <w:rsid w:val="00907516"/>
    <w:rsid w:val="00907BCA"/>
    <w:rsid w:val="00907CDC"/>
    <w:rsid w:val="00911DAF"/>
    <w:rsid w:val="009125C7"/>
    <w:rsid w:val="00912721"/>
    <w:rsid w:val="00912B94"/>
    <w:rsid w:val="00927A1E"/>
    <w:rsid w:val="00930581"/>
    <w:rsid w:val="0093149C"/>
    <w:rsid w:val="00931B82"/>
    <w:rsid w:val="00932352"/>
    <w:rsid w:val="00935EC3"/>
    <w:rsid w:val="0093754C"/>
    <w:rsid w:val="00937D30"/>
    <w:rsid w:val="00937F81"/>
    <w:rsid w:val="0094152B"/>
    <w:rsid w:val="00942AB1"/>
    <w:rsid w:val="00945837"/>
    <w:rsid w:val="00945D22"/>
    <w:rsid w:val="009466BE"/>
    <w:rsid w:val="00950198"/>
    <w:rsid w:val="00950209"/>
    <w:rsid w:val="009512F8"/>
    <w:rsid w:val="009521DE"/>
    <w:rsid w:val="0095272D"/>
    <w:rsid w:val="00953EA1"/>
    <w:rsid w:val="009540A6"/>
    <w:rsid w:val="009544D1"/>
    <w:rsid w:val="0095536A"/>
    <w:rsid w:val="00955BD0"/>
    <w:rsid w:val="00956821"/>
    <w:rsid w:val="00957333"/>
    <w:rsid w:val="0095779E"/>
    <w:rsid w:val="00957F10"/>
    <w:rsid w:val="0096080D"/>
    <w:rsid w:val="00961944"/>
    <w:rsid w:val="009623AA"/>
    <w:rsid w:val="00962457"/>
    <w:rsid w:val="00962565"/>
    <w:rsid w:val="00962585"/>
    <w:rsid w:val="00962EFD"/>
    <w:rsid w:val="00963876"/>
    <w:rsid w:val="00963E7B"/>
    <w:rsid w:val="0096477A"/>
    <w:rsid w:val="00964ECF"/>
    <w:rsid w:val="009658F6"/>
    <w:rsid w:val="00966F79"/>
    <w:rsid w:val="009674CF"/>
    <w:rsid w:val="009707DA"/>
    <w:rsid w:val="00972550"/>
    <w:rsid w:val="00972FDA"/>
    <w:rsid w:val="00973EFA"/>
    <w:rsid w:val="0097452F"/>
    <w:rsid w:val="00974555"/>
    <w:rsid w:val="00974F43"/>
    <w:rsid w:val="00975108"/>
    <w:rsid w:val="00975666"/>
    <w:rsid w:val="00976678"/>
    <w:rsid w:val="00977114"/>
    <w:rsid w:val="00977374"/>
    <w:rsid w:val="009774FF"/>
    <w:rsid w:val="009779E0"/>
    <w:rsid w:val="00977C82"/>
    <w:rsid w:val="0098131B"/>
    <w:rsid w:val="00981E99"/>
    <w:rsid w:val="0098338F"/>
    <w:rsid w:val="00983565"/>
    <w:rsid w:val="0098365D"/>
    <w:rsid w:val="00983B8B"/>
    <w:rsid w:val="00984611"/>
    <w:rsid w:val="00986526"/>
    <w:rsid w:val="00990114"/>
    <w:rsid w:val="009911EA"/>
    <w:rsid w:val="009945B4"/>
    <w:rsid w:val="00994826"/>
    <w:rsid w:val="00995EF1"/>
    <w:rsid w:val="009960F8"/>
    <w:rsid w:val="009A0788"/>
    <w:rsid w:val="009A0F11"/>
    <w:rsid w:val="009A0F6E"/>
    <w:rsid w:val="009A22BF"/>
    <w:rsid w:val="009A33E9"/>
    <w:rsid w:val="009A4AD8"/>
    <w:rsid w:val="009A4EED"/>
    <w:rsid w:val="009A5A24"/>
    <w:rsid w:val="009A65D3"/>
    <w:rsid w:val="009A72FF"/>
    <w:rsid w:val="009A7927"/>
    <w:rsid w:val="009B0824"/>
    <w:rsid w:val="009B16A6"/>
    <w:rsid w:val="009B188B"/>
    <w:rsid w:val="009B1FCF"/>
    <w:rsid w:val="009B2479"/>
    <w:rsid w:val="009B343C"/>
    <w:rsid w:val="009B44BF"/>
    <w:rsid w:val="009B5FFE"/>
    <w:rsid w:val="009B6528"/>
    <w:rsid w:val="009B78E3"/>
    <w:rsid w:val="009B7B21"/>
    <w:rsid w:val="009C0171"/>
    <w:rsid w:val="009C225A"/>
    <w:rsid w:val="009C2516"/>
    <w:rsid w:val="009C33E6"/>
    <w:rsid w:val="009C4B9A"/>
    <w:rsid w:val="009C5B84"/>
    <w:rsid w:val="009C6915"/>
    <w:rsid w:val="009C694E"/>
    <w:rsid w:val="009C70BE"/>
    <w:rsid w:val="009C7F60"/>
    <w:rsid w:val="009D05DB"/>
    <w:rsid w:val="009D1394"/>
    <w:rsid w:val="009D1E40"/>
    <w:rsid w:val="009D2460"/>
    <w:rsid w:val="009D543C"/>
    <w:rsid w:val="009D5CE9"/>
    <w:rsid w:val="009D615B"/>
    <w:rsid w:val="009D6380"/>
    <w:rsid w:val="009D6FCD"/>
    <w:rsid w:val="009D7CF8"/>
    <w:rsid w:val="009E0B2F"/>
    <w:rsid w:val="009E106D"/>
    <w:rsid w:val="009E176C"/>
    <w:rsid w:val="009E21EA"/>
    <w:rsid w:val="009E2327"/>
    <w:rsid w:val="009E432B"/>
    <w:rsid w:val="009E63E5"/>
    <w:rsid w:val="009E6612"/>
    <w:rsid w:val="009E7393"/>
    <w:rsid w:val="009E7F3A"/>
    <w:rsid w:val="009F0022"/>
    <w:rsid w:val="009F1858"/>
    <w:rsid w:val="009F1927"/>
    <w:rsid w:val="009F1997"/>
    <w:rsid w:val="009F1EAE"/>
    <w:rsid w:val="009F212D"/>
    <w:rsid w:val="009F280E"/>
    <w:rsid w:val="009F2C77"/>
    <w:rsid w:val="009F2FAE"/>
    <w:rsid w:val="009F31CC"/>
    <w:rsid w:val="009F4B38"/>
    <w:rsid w:val="009F5683"/>
    <w:rsid w:val="009F593A"/>
    <w:rsid w:val="009F787B"/>
    <w:rsid w:val="009F7DBF"/>
    <w:rsid w:val="00A00D8F"/>
    <w:rsid w:val="00A011AE"/>
    <w:rsid w:val="00A01A78"/>
    <w:rsid w:val="00A01C22"/>
    <w:rsid w:val="00A022AA"/>
    <w:rsid w:val="00A03CA6"/>
    <w:rsid w:val="00A069A0"/>
    <w:rsid w:val="00A10A28"/>
    <w:rsid w:val="00A117A7"/>
    <w:rsid w:val="00A124D2"/>
    <w:rsid w:val="00A1500E"/>
    <w:rsid w:val="00A20B13"/>
    <w:rsid w:val="00A2130D"/>
    <w:rsid w:val="00A21612"/>
    <w:rsid w:val="00A21A11"/>
    <w:rsid w:val="00A21A21"/>
    <w:rsid w:val="00A233CD"/>
    <w:rsid w:val="00A234CA"/>
    <w:rsid w:val="00A23D52"/>
    <w:rsid w:val="00A30DC0"/>
    <w:rsid w:val="00A319C8"/>
    <w:rsid w:val="00A3378E"/>
    <w:rsid w:val="00A337E9"/>
    <w:rsid w:val="00A33F52"/>
    <w:rsid w:val="00A357FF"/>
    <w:rsid w:val="00A37FC9"/>
    <w:rsid w:val="00A404AF"/>
    <w:rsid w:val="00A410A9"/>
    <w:rsid w:val="00A419F0"/>
    <w:rsid w:val="00A41B78"/>
    <w:rsid w:val="00A42A5C"/>
    <w:rsid w:val="00A42EFE"/>
    <w:rsid w:val="00A44631"/>
    <w:rsid w:val="00A4490A"/>
    <w:rsid w:val="00A458DA"/>
    <w:rsid w:val="00A459F1"/>
    <w:rsid w:val="00A467CA"/>
    <w:rsid w:val="00A470FA"/>
    <w:rsid w:val="00A475B0"/>
    <w:rsid w:val="00A475B2"/>
    <w:rsid w:val="00A47D7D"/>
    <w:rsid w:val="00A517F7"/>
    <w:rsid w:val="00A534E7"/>
    <w:rsid w:val="00A53BBC"/>
    <w:rsid w:val="00A540FE"/>
    <w:rsid w:val="00A54863"/>
    <w:rsid w:val="00A554A2"/>
    <w:rsid w:val="00A55996"/>
    <w:rsid w:val="00A55B52"/>
    <w:rsid w:val="00A55E77"/>
    <w:rsid w:val="00A574CC"/>
    <w:rsid w:val="00A5799C"/>
    <w:rsid w:val="00A61B15"/>
    <w:rsid w:val="00A6453B"/>
    <w:rsid w:val="00A659CC"/>
    <w:rsid w:val="00A6677B"/>
    <w:rsid w:val="00A66A8C"/>
    <w:rsid w:val="00A675C7"/>
    <w:rsid w:val="00A70F71"/>
    <w:rsid w:val="00A715C6"/>
    <w:rsid w:val="00A71AC9"/>
    <w:rsid w:val="00A73EAD"/>
    <w:rsid w:val="00A74376"/>
    <w:rsid w:val="00A74724"/>
    <w:rsid w:val="00A74AC6"/>
    <w:rsid w:val="00A76091"/>
    <w:rsid w:val="00A76381"/>
    <w:rsid w:val="00A766C8"/>
    <w:rsid w:val="00A777C0"/>
    <w:rsid w:val="00A77E3A"/>
    <w:rsid w:val="00A818EF"/>
    <w:rsid w:val="00A82319"/>
    <w:rsid w:val="00A82B93"/>
    <w:rsid w:val="00A82D42"/>
    <w:rsid w:val="00A82F4C"/>
    <w:rsid w:val="00A83EEA"/>
    <w:rsid w:val="00A84A67"/>
    <w:rsid w:val="00A85B2B"/>
    <w:rsid w:val="00A87141"/>
    <w:rsid w:val="00A87BFE"/>
    <w:rsid w:val="00A904F2"/>
    <w:rsid w:val="00A90AD8"/>
    <w:rsid w:val="00A91D53"/>
    <w:rsid w:val="00A9444B"/>
    <w:rsid w:val="00A95AF2"/>
    <w:rsid w:val="00A965DE"/>
    <w:rsid w:val="00A969BB"/>
    <w:rsid w:val="00A96AE6"/>
    <w:rsid w:val="00A96F4A"/>
    <w:rsid w:val="00A97580"/>
    <w:rsid w:val="00A9799E"/>
    <w:rsid w:val="00A97C8B"/>
    <w:rsid w:val="00AA084F"/>
    <w:rsid w:val="00AA1A78"/>
    <w:rsid w:val="00AA1D96"/>
    <w:rsid w:val="00AA2F3D"/>
    <w:rsid w:val="00AA477D"/>
    <w:rsid w:val="00AA5110"/>
    <w:rsid w:val="00AA5DC6"/>
    <w:rsid w:val="00AA6832"/>
    <w:rsid w:val="00AA7481"/>
    <w:rsid w:val="00AA7693"/>
    <w:rsid w:val="00AB05CA"/>
    <w:rsid w:val="00AB126F"/>
    <w:rsid w:val="00AB2225"/>
    <w:rsid w:val="00AB29EF"/>
    <w:rsid w:val="00AB2DFF"/>
    <w:rsid w:val="00AB45B8"/>
    <w:rsid w:val="00AB471E"/>
    <w:rsid w:val="00AB5719"/>
    <w:rsid w:val="00AB5FDE"/>
    <w:rsid w:val="00AB6374"/>
    <w:rsid w:val="00AB7D60"/>
    <w:rsid w:val="00AC0269"/>
    <w:rsid w:val="00AC03D1"/>
    <w:rsid w:val="00AC20FE"/>
    <w:rsid w:val="00AC211F"/>
    <w:rsid w:val="00AC2152"/>
    <w:rsid w:val="00AC2369"/>
    <w:rsid w:val="00AC39B4"/>
    <w:rsid w:val="00AC489B"/>
    <w:rsid w:val="00AC527C"/>
    <w:rsid w:val="00AC56BA"/>
    <w:rsid w:val="00AC578E"/>
    <w:rsid w:val="00AC604E"/>
    <w:rsid w:val="00AC65F9"/>
    <w:rsid w:val="00AC6ACE"/>
    <w:rsid w:val="00AC7703"/>
    <w:rsid w:val="00AC7D83"/>
    <w:rsid w:val="00AD0961"/>
    <w:rsid w:val="00AD0988"/>
    <w:rsid w:val="00AD0B06"/>
    <w:rsid w:val="00AD0F44"/>
    <w:rsid w:val="00AD1B79"/>
    <w:rsid w:val="00AD3A0B"/>
    <w:rsid w:val="00AD4A9E"/>
    <w:rsid w:val="00AD5A56"/>
    <w:rsid w:val="00AD621C"/>
    <w:rsid w:val="00AD6E04"/>
    <w:rsid w:val="00AE01D2"/>
    <w:rsid w:val="00AE1765"/>
    <w:rsid w:val="00AE5749"/>
    <w:rsid w:val="00AE5BB4"/>
    <w:rsid w:val="00AE7EAB"/>
    <w:rsid w:val="00AF2292"/>
    <w:rsid w:val="00AF24C1"/>
    <w:rsid w:val="00AF2987"/>
    <w:rsid w:val="00AF2AC5"/>
    <w:rsid w:val="00AF3701"/>
    <w:rsid w:val="00AF40B3"/>
    <w:rsid w:val="00AF65D5"/>
    <w:rsid w:val="00AF72E5"/>
    <w:rsid w:val="00AF7A0A"/>
    <w:rsid w:val="00B00485"/>
    <w:rsid w:val="00B0078C"/>
    <w:rsid w:val="00B00A24"/>
    <w:rsid w:val="00B0143A"/>
    <w:rsid w:val="00B01F4B"/>
    <w:rsid w:val="00B05163"/>
    <w:rsid w:val="00B055C9"/>
    <w:rsid w:val="00B05F5B"/>
    <w:rsid w:val="00B10113"/>
    <w:rsid w:val="00B1166F"/>
    <w:rsid w:val="00B12057"/>
    <w:rsid w:val="00B123E0"/>
    <w:rsid w:val="00B12AC5"/>
    <w:rsid w:val="00B13175"/>
    <w:rsid w:val="00B166CC"/>
    <w:rsid w:val="00B17AAD"/>
    <w:rsid w:val="00B17D05"/>
    <w:rsid w:val="00B20152"/>
    <w:rsid w:val="00B213EB"/>
    <w:rsid w:val="00B21813"/>
    <w:rsid w:val="00B242D9"/>
    <w:rsid w:val="00B24B94"/>
    <w:rsid w:val="00B25B94"/>
    <w:rsid w:val="00B275E5"/>
    <w:rsid w:val="00B276B8"/>
    <w:rsid w:val="00B3047C"/>
    <w:rsid w:val="00B30D05"/>
    <w:rsid w:val="00B31C3E"/>
    <w:rsid w:val="00B31D52"/>
    <w:rsid w:val="00B321E3"/>
    <w:rsid w:val="00B32E5F"/>
    <w:rsid w:val="00B33939"/>
    <w:rsid w:val="00B33B56"/>
    <w:rsid w:val="00B3525B"/>
    <w:rsid w:val="00B36BC3"/>
    <w:rsid w:val="00B37460"/>
    <w:rsid w:val="00B40C63"/>
    <w:rsid w:val="00B40F91"/>
    <w:rsid w:val="00B42CA8"/>
    <w:rsid w:val="00B434D4"/>
    <w:rsid w:val="00B46AF2"/>
    <w:rsid w:val="00B4734D"/>
    <w:rsid w:val="00B50ADE"/>
    <w:rsid w:val="00B512C6"/>
    <w:rsid w:val="00B515D7"/>
    <w:rsid w:val="00B53546"/>
    <w:rsid w:val="00B5382A"/>
    <w:rsid w:val="00B5389F"/>
    <w:rsid w:val="00B54D09"/>
    <w:rsid w:val="00B54D79"/>
    <w:rsid w:val="00B55423"/>
    <w:rsid w:val="00B560E1"/>
    <w:rsid w:val="00B56469"/>
    <w:rsid w:val="00B56795"/>
    <w:rsid w:val="00B57362"/>
    <w:rsid w:val="00B577CD"/>
    <w:rsid w:val="00B61C8B"/>
    <w:rsid w:val="00B6243E"/>
    <w:rsid w:val="00B624A2"/>
    <w:rsid w:val="00B62EC3"/>
    <w:rsid w:val="00B63529"/>
    <w:rsid w:val="00B63662"/>
    <w:rsid w:val="00B64694"/>
    <w:rsid w:val="00B64BCA"/>
    <w:rsid w:val="00B65095"/>
    <w:rsid w:val="00B65798"/>
    <w:rsid w:val="00B66853"/>
    <w:rsid w:val="00B6686D"/>
    <w:rsid w:val="00B7005B"/>
    <w:rsid w:val="00B7058A"/>
    <w:rsid w:val="00B7068C"/>
    <w:rsid w:val="00B7189C"/>
    <w:rsid w:val="00B73130"/>
    <w:rsid w:val="00B752B6"/>
    <w:rsid w:val="00B757AB"/>
    <w:rsid w:val="00B75F21"/>
    <w:rsid w:val="00B76CA4"/>
    <w:rsid w:val="00B7748B"/>
    <w:rsid w:val="00B7759D"/>
    <w:rsid w:val="00B77C27"/>
    <w:rsid w:val="00B814B7"/>
    <w:rsid w:val="00B825B4"/>
    <w:rsid w:val="00B82E23"/>
    <w:rsid w:val="00B83CAE"/>
    <w:rsid w:val="00B8477E"/>
    <w:rsid w:val="00B84C2D"/>
    <w:rsid w:val="00B851E9"/>
    <w:rsid w:val="00B85351"/>
    <w:rsid w:val="00B855A3"/>
    <w:rsid w:val="00B85652"/>
    <w:rsid w:val="00B85C4B"/>
    <w:rsid w:val="00B8685C"/>
    <w:rsid w:val="00B86D88"/>
    <w:rsid w:val="00B874DE"/>
    <w:rsid w:val="00B877D6"/>
    <w:rsid w:val="00B877F1"/>
    <w:rsid w:val="00B903A5"/>
    <w:rsid w:val="00B910A2"/>
    <w:rsid w:val="00B928A1"/>
    <w:rsid w:val="00B93912"/>
    <w:rsid w:val="00B94771"/>
    <w:rsid w:val="00B95469"/>
    <w:rsid w:val="00B96F85"/>
    <w:rsid w:val="00B975A7"/>
    <w:rsid w:val="00BA3549"/>
    <w:rsid w:val="00BA3E16"/>
    <w:rsid w:val="00BA5D10"/>
    <w:rsid w:val="00BA755F"/>
    <w:rsid w:val="00BA79D0"/>
    <w:rsid w:val="00BA7F6D"/>
    <w:rsid w:val="00BB14DF"/>
    <w:rsid w:val="00BB175A"/>
    <w:rsid w:val="00BB1DD4"/>
    <w:rsid w:val="00BB2393"/>
    <w:rsid w:val="00BB3A0B"/>
    <w:rsid w:val="00BB4F64"/>
    <w:rsid w:val="00BB502A"/>
    <w:rsid w:val="00BB5060"/>
    <w:rsid w:val="00BB5159"/>
    <w:rsid w:val="00BB5451"/>
    <w:rsid w:val="00BB5E2D"/>
    <w:rsid w:val="00BB614C"/>
    <w:rsid w:val="00BC3E5A"/>
    <w:rsid w:val="00BC3EF0"/>
    <w:rsid w:val="00BC60E6"/>
    <w:rsid w:val="00BC66BB"/>
    <w:rsid w:val="00BC72E3"/>
    <w:rsid w:val="00BC7CA5"/>
    <w:rsid w:val="00BD04EF"/>
    <w:rsid w:val="00BD0564"/>
    <w:rsid w:val="00BD1028"/>
    <w:rsid w:val="00BD120F"/>
    <w:rsid w:val="00BD1937"/>
    <w:rsid w:val="00BD2689"/>
    <w:rsid w:val="00BD27C6"/>
    <w:rsid w:val="00BD29FB"/>
    <w:rsid w:val="00BD32FD"/>
    <w:rsid w:val="00BD41A7"/>
    <w:rsid w:val="00BD4B28"/>
    <w:rsid w:val="00BD5222"/>
    <w:rsid w:val="00BD57C2"/>
    <w:rsid w:val="00BD5870"/>
    <w:rsid w:val="00BD5E15"/>
    <w:rsid w:val="00BD7326"/>
    <w:rsid w:val="00BE144D"/>
    <w:rsid w:val="00BE16C2"/>
    <w:rsid w:val="00BE227F"/>
    <w:rsid w:val="00BE2BF3"/>
    <w:rsid w:val="00BE2E5B"/>
    <w:rsid w:val="00BE372E"/>
    <w:rsid w:val="00BE380F"/>
    <w:rsid w:val="00BE387C"/>
    <w:rsid w:val="00BE3B32"/>
    <w:rsid w:val="00BE4511"/>
    <w:rsid w:val="00BE5D61"/>
    <w:rsid w:val="00BF0B46"/>
    <w:rsid w:val="00BF0DE0"/>
    <w:rsid w:val="00BF204E"/>
    <w:rsid w:val="00BF33B0"/>
    <w:rsid w:val="00BF3629"/>
    <w:rsid w:val="00BF4C32"/>
    <w:rsid w:val="00BF64A7"/>
    <w:rsid w:val="00C00480"/>
    <w:rsid w:val="00C0063E"/>
    <w:rsid w:val="00C02C2F"/>
    <w:rsid w:val="00C03580"/>
    <w:rsid w:val="00C03D77"/>
    <w:rsid w:val="00C03EE5"/>
    <w:rsid w:val="00C03FAD"/>
    <w:rsid w:val="00C05903"/>
    <w:rsid w:val="00C06AE0"/>
    <w:rsid w:val="00C06F8F"/>
    <w:rsid w:val="00C10180"/>
    <w:rsid w:val="00C10359"/>
    <w:rsid w:val="00C11CD5"/>
    <w:rsid w:val="00C12E29"/>
    <w:rsid w:val="00C13009"/>
    <w:rsid w:val="00C13D94"/>
    <w:rsid w:val="00C13F9E"/>
    <w:rsid w:val="00C14648"/>
    <w:rsid w:val="00C146CC"/>
    <w:rsid w:val="00C14EE1"/>
    <w:rsid w:val="00C1525D"/>
    <w:rsid w:val="00C153BD"/>
    <w:rsid w:val="00C163A8"/>
    <w:rsid w:val="00C16509"/>
    <w:rsid w:val="00C169B0"/>
    <w:rsid w:val="00C16BB3"/>
    <w:rsid w:val="00C1799B"/>
    <w:rsid w:val="00C17D5B"/>
    <w:rsid w:val="00C20C13"/>
    <w:rsid w:val="00C2164F"/>
    <w:rsid w:val="00C21B76"/>
    <w:rsid w:val="00C225AB"/>
    <w:rsid w:val="00C229F7"/>
    <w:rsid w:val="00C23291"/>
    <w:rsid w:val="00C2349C"/>
    <w:rsid w:val="00C23B18"/>
    <w:rsid w:val="00C24FC2"/>
    <w:rsid w:val="00C25581"/>
    <w:rsid w:val="00C25C2A"/>
    <w:rsid w:val="00C26CC7"/>
    <w:rsid w:val="00C2745B"/>
    <w:rsid w:val="00C30FEF"/>
    <w:rsid w:val="00C321D6"/>
    <w:rsid w:val="00C340EC"/>
    <w:rsid w:val="00C36CA7"/>
    <w:rsid w:val="00C36DF7"/>
    <w:rsid w:val="00C37239"/>
    <w:rsid w:val="00C40389"/>
    <w:rsid w:val="00C41937"/>
    <w:rsid w:val="00C41D19"/>
    <w:rsid w:val="00C43741"/>
    <w:rsid w:val="00C4377E"/>
    <w:rsid w:val="00C448F8"/>
    <w:rsid w:val="00C45F06"/>
    <w:rsid w:val="00C461B1"/>
    <w:rsid w:val="00C46D28"/>
    <w:rsid w:val="00C5003D"/>
    <w:rsid w:val="00C5079D"/>
    <w:rsid w:val="00C5100D"/>
    <w:rsid w:val="00C51E2C"/>
    <w:rsid w:val="00C53801"/>
    <w:rsid w:val="00C53949"/>
    <w:rsid w:val="00C561A8"/>
    <w:rsid w:val="00C56EAB"/>
    <w:rsid w:val="00C57045"/>
    <w:rsid w:val="00C571FE"/>
    <w:rsid w:val="00C57216"/>
    <w:rsid w:val="00C5735C"/>
    <w:rsid w:val="00C60C68"/>
    <w:rsid w:val="00C621D0"/>
    <w:rsid w:val="00C6227F"/>
    <w:rsid w:val="00C6386A"/>
    <w:rsid w:val="00C639E3"/>
    <w:rsid w:val="00C63A1A"/>
    <w:rsid w:val="00C65032"/>
    <w:rsid w:val="00C65C9A"/>
    <w:rsid w:val="00C65DCB"/>
    <w:rsid w:val="00C66889"/>
    <w:rsid w:val="00C70256"/>
    <w:rsid w:val="00C71138"/>
    <w:rsid w:val="00C71FDA"/>
    <w:rsid w:val="00C724F9"/>
    <w:rsid w:val="00C75CC6"/>
    <w:rsid w:val="00C8054E"/>
    <w:rsid w:val="00C80A87"/>
    <w:rsid w:val="00C82C16"/>
    <w:rsid w:val="00C83FB8"/>
    <w:rsid w:val="00C84418"/>
    <w:rsid w:val="00C84BE7"/>
    <w:rsid w:val="00C8687A"/>
    <w:rsid w:val="00C86F0B"/>
    <w:rsid w:val="00C87144"/>
    <w:rsid w:val="00C87DA2"/>
    <w:rsid w:val="00C87DD2"/>
    <w:rsid w:val="00C90150"/>
    <w:rsid w:val="00C902DC"/>
    <w:rsid w:val="00C90ED6"/>
    <w:rsid w:val="00C92B1E"/>
    <w:rsid w:val="00C92DC7"/>
    <w:rsid w:val="00C9431E"/>
    <w:rsid w:val="00C9638A"/>
    <w:rsid w:val="00C964A0"/>
    <w:rsid w:val="00C96584"/>
    <w:rsid w:val="00C96897"/>
    <w:rsid w:val="00C9714F"/>
    <w:rsid w:val="00C97388"/>
    <w:rsid w:val="00CA14F4"/>
    <w:rsid w:val="00CA16BB"/>
    <w:rsid w:val="00CA1C34"/>
    <w:rsid w:val="00CA3344"/>
    <w:rsid w:val="00CA4E93"/>
    <w:rsid w:val="00CA4FF9"/>
    <w:rsid w:val="00CA67B5"/>
    <w:rsid w:val="00CA6AFB"/>
    <w:rsid w:val="00CB1182"/>
    <w:rsid w:val="00CB247D"/>
    <w:rsid w:val="00CB24A5"/>
    <w:rsid w:val="00CB25DB"/>
    <w:rsid w:val="00CB3D15"/>
    <w:rsid w:val="00CB3E5F"/>
    <w:rsid w:val="00CB3EB8"/>
    <w:rsid w:val="00CB4124"/>
    <w:rsid w:val="00CB4E15"/>
    <w:rsid w:val="00CB564A"/>
    <w:rsid w:val="00CB657D"/>
    <w:rsid w:val="00CB6CF6"/>
    <w:rsid w:val="00CB6D1E"/>
    <w:rsid w:val="00CB7109"/>
    <w:rsid w:val="00CB7898"/>
    <w:rsid w:val="00CC0A71"/>
    <w:rsid w:val="00CC0AED"/>
    <w:rsid w:val="00CC1BB7"/>
    <w:rsid w:val="00CD0574"/>
    <w:rsid w:val="00CD0907"/>
    <w:rsid w:val="00CD0AE5"/>
    <w:rsid w:val="00CD10A2"/>
    <w:rsid w:val="00CD1C9B"/>
    <w:rsid w:val="00CD3160"/>
    <w:rsid w:val="00CD39E4"/>
    <w:rsid w:val="00CD69C5"/>
    <w:rsid w:val="00CD78CA"/>
    <w:rsid w:val="00CD7B36"/>
    <w:rsid w:val="00CE0B8A"/>
    <w:rsid w:val="00CE11F3"/>
    <w:rsid w:val="00CE13F3"/>
    <w:rsid w:val="00CE27C5"/>
    <w:rsid w:val="00CE39AD"/>
    <w:rsid w:val="00CE4189"/>
    <w:rsid w:val="00CE4610"/>
    <w:rsid w:val="00CE6244"/>
    <w:rsid w:val="00CE77C3"/>
    <w:rsid w:val="00CE798F"/>
    <w:rsid w:val="00CF0383"/>
    <w:rsid w:val="00CF0699"/>
    <w:rsid w:val="00CF20F5"/>
    <w:rsid w:val="00CF2DE0"/>
    <w:rsid w:val="00D00709"/>
    <w:rsid w:val="00D01DB7"/>
    <w:rsid w:val="00D029F8"/>
    <w:rsid w:val="00D0302C"/>
    <w:rsid w:val="00D0389F"/>
    <w:rsid w:val="00D04764"/>
    <w:rsid w:val="00D05D6B"/>
    <w:rsid w:val="00D0615E"/>
    <w:rsid w:val="00D06586"/>
    <w:rsid w:val="00D06BF7"/>
    <w:rsid w:val="00D07273"/>
    <w:rsid w:val="00D075AC"/>
    <w:rsid w:val="00D1009D"/>
    <w:rsid w:val="00D10526"/>
    <w:rsid w:val="00D1198A"/>
    <w:rsid w:val="00D12296"/>
    <w:rsid w:val="00D12497"/>
    <w:rsid w:val="00D13B74"/>
    <w:rsid w:val="00D149C4"/>
    <w:rsid w:val="00D165F9"/>
    <w:rsid w:val="00D16DE5"/>
    <w:rsid w:val="00D2061C"/>
    <w:rsid w:val="00D20B07"/>
    <w:rsid w:val="00D20CC1"/>
    <w:rsid w:val="00D21AA0"/>
    <w:rsid w:val="00D21D86"/>
    <w:rsid w:val="00D2270F"/>
    <w:rsid w:val="00D22827"/>
    <w:rsid w:val="00D2314F"/>
    <w:rsid w:val="00D2468E"/>
    <w:rsid w:val="00D273FA"/>
    <w:rsid w:val="00D30131"/>
    <w:rsid w:val="00D306D6"/>
    <w:rsid w:val="00D34535"/>
    <w:rsid w:val="00D35481"/>
    <w:rsid w:val="00D4006B"/>
    <w:rsid w:val="00D40D2A"/>
    <w:rsid w:val="00D40DC7"/>
    <w:rsid w:val="00D40E9A"/>
    <w:rsid w:val="00D4130B"/>
    <w:rsid w:val="00D4144A"/>
    <w:rsid w:val="00D416BE"/>
    <w:rsid w:val="00D434EE"/>
    <w:rsid w:val="00D450A2"/>
    <w:rsid w:val="00D4545A"/>
    <w:rsid w:val="00D45D61"/>
    <w:rsid w:val="00D46975"/>
    <w:rsid w:val="00D46C73"/>
    <w:rsid w:val="00D52A14"/>
    <w:rsid w:val="00D533E2"/>
    <w:rsid w:val="00D554D4"/>
    <w:rsid w:val="00D55D40"/>
    <w:rsid w:val="00D5763D"/>
    <w:rsid w:val="00D57B55"/>
    <w:rsid w:val="00D60630"/>
    <w:rsid w:val="00D60FE2"/>
    <w:rsid w:val="00D61071"/>
    <w:rsid w:val="00D612A3"/>
    <w:rsid w:val="00D62A1C"/>
    <w:rsid w:val="00D62CED"/>
    <w:rsid w:val="00D6397C"/>
    <w:rsid w:val="00D64468"/>
    <w:rsid w:val="00D657A1"/>
    <w:rsid w:val="00D72644"/>
    <w:rsid w:val="00D756C5"/>
    <w:rsid w:val="00D80A24"/>
    <w:rsid w:val="00D82A9B"/>
    <w:rsid w:val="00D82B79"/>
    <w:rsid w:val="00D83C94"/>
    <w:rsid w:val="00D85360"/>
    <w:rsid w:val="00D86B4B"/>
    <w:rsid w:val="00D86D50"/>
    <w:rsid w:val="00D90C3E"/>
    <w:rsid w:val="00D90C78"/>
    <w:rsid w:val="00D91AF5"/>
    <w:rsid w:val="00D92DD8"/>
    <w:rsid w:val="00D94119"/>
    <w:rsid w:val="00D94CE7"/>
    <w:rsid w:val="00D95462"/>
    <w:rsid w:val="00D97017"/>
    <w:rsid w:val="00D97E59"/>
    <w:rsid w:val="00DA08DB"/>
    <w:rsid w:val="00DA0A59"/>
    <w:rsid w:val="00DA0C2B"/>
    <w:rsid w:val="00DA15AF"/>
    <w:rsid w:val="00DA1A14"/>
    <w:rsid w:val="00DA2603"/>
    <w:rsid w:val="00DA3068"/>
    <w:rsid w:val="00DA3BD9"/>
    <w:rsid w:val="00DA412A"/>
    <w:rsid w:val="00DA577B"/>
    <w:rsid w:val="00DA61E4"/>
    <w:rsid w:val="00DA69D2"/>
    <w:rsid w:val="00DA6C35"/>
    <w:rsid w:val="00DA7AC3"/>
    <w:rsid w:val="00DA7F0B"/>
    <w:rsid w:val="00DB0848"/>
    <w:rsid w:val="00DB4F67"/>
    <w:rsid w:val="00DB5517"/>
    <w:rsid w:val="00DB57B4"/>
    <w:rsid w:val="00DB5A2D"/>
    <w:rsid w:val="00DB66F0"/>
    <w:rsid w:val="00DB76C6"/>
    <w:rsid w:val="00DB79AC"/>
    <w:rsid w:val="00DB7AE7"/>
    <w:rsid w:val="00DB7C2D"/>
    <w:rsid w:val="00DC02CB"/>
    <w:rsid w:val="00DC2993"/>
    <w:rsid w:val="00DC3053"/>
    <w:rsid w:val="00DC3076"/>
    <w:rsid w:val="00DC3E58"/>
    <w:rsid w:val="00DC3FF9"/>
    <w:rsid w:val="00DC41B2"/>
    <w:rsid w:val="00DC4804"/>
    <w:rsid w:val="00DC4DFF"/>
    <w:rsid w:val="00DC649D"/>
    <w:rsid w:val="00DC7A1A"/>
    <w:rsid w:val="00DD0DE0"/>
    <w:rsid w:val="00DD19A7"/>
    <w:rsid w:val="00DD3635"/>
    <w:rsid w:val="00DD44A1"/>
    <w:rsid w:val="00DD4D70"/>
    <w:rsid w:val="00DD502A"/>
    <w:rsid w:val="00DD53C4"/>
    <w:rsid w:val="00DD71AE"/>
    <w:rsid w:val="00DD7C2A"/>
    <w:rsid w:val="00DE1556"/>
    <w:rsid w:val="00DE194C"/>
    <w:rsid w:val="00DE2AEA"/>
    <w:rsid w:val="00DE38D5"/>
    <w:rsid w:val="00DE418D"/>
    <w:rsid w:val="00DE460B"/>
    <w:rsid w:val="00DE49FC"/>
    <w:rsid w:val="00DE4DDE"/>
    <w:rsid w:val="00DE4E80"/>
    <w:rsid w:val="00DE6AAC"/>
    <w:rsid w:val="00DE7401"/>
    <w:rsid w:val="00DF1F68"/>
    <w:rsid w:val="00DF2F37"/>
    <w:rsid w:val="00DF31D8"/>
    <w:rsid w:val="00DF4518"/>
    <w:rsid w:val="00DF59B7"/>
    <w:rsid w:val="00DF7AD6"/>
    <w:rsid w:val="00E00953"/>
    <w:rsid w:val="00E0096E"/>
    <w:rsid w:val="00E06175"/>
    <w:rsid w:val="00E0640C"/>
    <w:rsid w:val="00E108CD"/>
    <w:rsid w:val="00E1195A"/>
    <w:rsid w:val="00E12098"/>
    <w:rsid w:val="00E1426C"/>
    <w:rsid w:val="00E14D3E"/>
    <w:rsid w:val="00E16058"/>
    <w:rsid w:val="00E163CD"/>
    <w:rsid w:val="00E17D6A"/>
    <w:rsid w:val="00E2033F"/>
    <w:rsid w:val="00E20A7D"/>
    <w:rsid w:val="00E20C53"/>
    <w:rsid w:val="00E21750"/>
    <w:rsid w:val="00E2198A"/>
    <w:rsid w:val="00E21DB6"/>
    <w:rsid w:val="00E224EF"/>
    <w:rsid w:val="00E2280E"/>
    <w:rsid w:val="00E234B3"/>
    <w:rsid w:val="00E234FF"/>
    <w:rsid w:val="00E24820"/>
    <w:rsid w:val="00E24D65"/>
    <w:rsid w:val="00E269FE"/>
    <w:rsid w:val="00E318B9"/>
    <w:rsid w:val="00E3296F"/>
    <w:rsid w:val="00E35401"/>
    <w:rsid w:val="00E365E2"/>
    <w:rsid w:val="00E37C31"/>
    <w:rsid w:val="00E40613"/>
    <w:rsid w:val="00E407BD"/>
    <w:rsid w:val="00E41476"/>
    <w:rsid w:val="00E416E6"/>
    <w:rsid w:val="00E41FAE"/>
    <w:rsid w:val="00E423E4"/>
    <w:rsid w:val="00E425FA"/>
    <w:rsid w:val="00E4268B"/>
    <w:rsid w:val="00E4440E"/>
    <w:rsid w:val="00E44693"/>
    <w:rsid w:val="00E4671F"/>
    <w:rsid w:val="00E5009E"/>
    <w:rsid w:val="00E50158"/>
    <w:rsid w:val="00E50467"/>
    <w:rsid w:val="00E50BDA"/>
    <w:rsid w:val="00E539A5"/>
    <w:rsid w:val="00E53B49"/>
    <w:rsid w:val="00E54001"/>
    <w:rsid w:val="00E54EF7"/>
    <w:rsid w:val="00E56547"/>
    <w:rsid w:val="00E56D44"/>
    <w:rsid w:val="00E572C9"/>
    <w:rsid w:val="00E601FE"/>
    <w:rsid w:val="00E60A9F"/>
    <w:rsid w:val="00E60E16"/>
    <w:rsid w:val="00E60E34"/>
    <w:rsid w:val="00E6127D"/>
    <w:rsid w:val="00E63C31"/>
    <w:rsid w:val="00E64012"/>
    <w:rsid w:val="00E65319"/>
    <w:rsid w:val="00E65D35"/>
    <w:rsid w:val="00E67AE1"/>
    <w:rsid w:val="00E67D24"/>
    <w:rsid w:val="00E70CE5"/>
    <w:rsid w:val="00E72E8D"/>
    <w:rsid w:val="00E748DD"/>
    <w:rsid w:val="00E75F5D"/>
    <w:rsid w:val="00E769A1"/>
    <w:rsid w:val="00E76AEB"/>
    <w:rsid w:val="00E777B0"/>
    <w:rsid w:val="00E84B59"/>
    <w:rsid w:val="00E85C05"/>
    <w:rsid w:val="00E85C8B"/>
    <w:rsid w:val="00E86784"/>
    <w:rsid w:val="00E86A92"/>
    <w:rsid w:val="00E86BBB"/>
    <w:rsid w:val="00E87293"/>
    <w:rsid w:val="00E873A3"/>
    <w:rsid w:val="00E90252"/>
    <w:rsid w:val="00E92005"/>
    <w:rsid w:val="00E934BE"/>
    <w:rsid w:val="00E934F3"/>
    <w:rsid w:val="00E9543D"/>
    <w:rsid w:val="00E9686F"/>
    <w:rsid w:val="00E971E7"/>
    <w:rsid w:val="00E973EB"/>
    <w:rsid w:val="00E9764D"/>
    <w:rsid w:val="00E97A66"/>
    <w:rsid w:val="00E97FE1"/>
    <w:rsid w:val="00EA0186"/>
    <w:rsid w:val="00EA02C5"/>
    <w:rsid w:val="00EA0A2D"/>
    <w:rsid w:val="00EA13FF"/>
    <w:rsid w:val="00EA44B9"/>
    <w:rsid w:val="00EA6DBB"/>
    <w:rsid w:val="00EA75DE"/>
    <w:rsid w:val="00EA7630"/>
    <w:rsid w:val="00EB3007"/>
    <w:rsid w:val="00EB3418"/>
    <w:rsid w:val="00EB41AF"/>
    <w:rsid w:val="00EB43F3"/>
    <w:rsid w:val="00EB5362"/>
    <w:rsid w:val="00EB5A21"/>
    <w:rsid w:val="00EB651C"/>
    <w:rsid w:val="00EB6B3A"/>
    <w:rsid w:val="00EB72DD"/>
    <w:rsid w:val="00EC250E"/>
    <w:rsid w:val="00EC39B6"/>
    <w:rsid w:val="00EC3A90"/>
    <w:rsid w:val="00EC4C13"/>
    <w:rsid w:val="00EC69C5"/>
    <w:rsid w:val="00EC796D"/>
    <w:rsid w:val="00ED02BA"/>
    <w:rsid w:val="00ED0E58"/>
    <w:rsid w:val="00ED1379"/>
    <w:rsid w:val="00ED237D"/>
    <w:rsid w:val="00ED2467"/>
    <w:rsid w:val="00ED2BEC"/>
    <w:rsid w:val="00ED2D1D"/>
    <w:rsid w:val="00ED3506"/>
    <w:rsid w:val="00ED5CBF"/>
    <w:rsid w:val="00ED5F4C"/>
    <w:rsid w:val="00ED6224"/>
    <w:rsid w:val="00ED63C6"/>
    <w:rsid w:val="00ED7BF6"/>
    <w:rsid w:val="00ED7FE6"/>
    <w:rsid w:val="00EE1146"/>
    <w:rsid w:val="00EE15E1"/>
    <w:rsid w:val="00EE162C"/>
    <w:rsid w:val="00EE1948"/>
    <w:rsid w:val="00EE1BBD"/>
    <w:rsid w:val="00EE1D91"/>
    <w:rsid w:val="00EE248B"/>
    <w:rsid w:val="00EE3D6E"/>
    <w:rsid w:val="00EE598D"/>
    <w:rsid w:val="00EE627D"/>
    <w:rsid w:val="00EF057E"/>
    <w:rsid w:val="00EF0649"/>
    <w:rsid w:val="00EF0CE7"/>
    <w:rsid w:val="00EF2510"/>
    <w:rsid w:val="00EF348C"/>
    <w:rsid w:val="00EF41E3"/>
    <w:rsid w:val="00EF476C"/>
    <w:rsid w:val="00EF4CF5"/>
    <w:rsid w:val="00EF4E42"/>
    <w:rsid w:val="00EF55C2"/>
    <w:rsid w:val="00EF56AF"/>
    <w:rsid w:val="00EF59F7"/>
    <w:rsid w:val="00EF691C"/>
    <w:rsid w:val="00EF6FD0"/>
    <w:rsid w:val="00EF74A3"/>
    <w:rsid w:val="00EF7910"/>
    <w:rsid w:val="00F00317"/>
    <w:rsid w:val="00F006B6"/>
    <w:rsid w:val="00F009BB"/>
    <w:rsid w:val="00F02579"/>
    <w:rsid w:val="00F03269"/>
    <w:rsid w:val="00F042EB"/>
    <w:rsid w:val="00F044CE"/>
    <w:rsid w:val="00F04FFB"/>
    <w:rsid w:val="00F0631F"/>
    <w:rsid w:val="00F06E70"/>
    <w:rsid w:val="00F072FF"/>
    <w:rsid w:val="00F10051"/>
    <w:rsid w:val="00F1143B"/>
    <w:rsid w:val="00F130D1"/>
    <w:rsid w:val="00F13B0F"/>
    <w:rsid w:val="00F148BB"/>
    <w:rsid w:val="00F15120"/>
    <w:rsid w:val="00F15EE1"/>
    <w:rsid w:val="00F15FD3"/>
    <w:rsid w:val="00F1660B"/>
    <w:rsid w:val="00F172A4"/>
    <w:rsid w:val="00F17A23"/>
    <w:rsid w:val="00F21B05"/>
    <w:rsid w:val="00F21E9E"/>
    <w:rsid w:val="00F2268B"/>
    <w:rsid w:val="00F23067"/>
    <w:rsid w:val="00F23BF5"/>
    <w:rsid w:val="00F23D01"/>
    <w:rsid w:val="00F244D6"/>
    <w:rsid w:val="00F24666"/>
    <w:rsid w:val="00F2474F"/>
    <w:rsid w:val="00F263CC"/>
    <w:rsid w:val="00F26F29"/>
    <w:rsid w:val="00F3086B"/>
    <w:rsid w:val="00F314E4"/>
    <w:rsid w:val="00F318C7"/>
    <w:rsid w:val="00F31921"/>
    <w:rsid w:val="00F31C2D"/>
    <w:rsid w:val="00F32008"/>
    <w:rsid w:val="00F33F20"/>
    <w:rsid w:val="00F340B2"/>
    <w:rsid w:val="00F3418D"/>
    <w:rsid w:val="00F34383"/>
    <w:rsid w:val="00F35995"/>
    <w:rsid w:val="00F35D22"/>
    <w:rsid w:val="00F35F1F"/>
    <w:rsid w:val="00F3711F"/>
    <w:rsid w:val="00F40533"/>
    <w:rsid w:val="00F424E0"/>
    <w:rsid w:val="00F433F1"/>
    <w:rsid w:val="00F44FAE"/>
    <w:rsid w:val="00F451B6"/>
    <w:rsid w:val="00F4655B"/>
    <w:rsid w:val="00F4686F"/>
    <w:rsid w:val="00F46D14"/>
    <w:rsid w:val="00F46E18"/>
    <w:rsid w:val="00F47644"/>
    <w:rsid w:val="00F479FB"/>
    <w:rsid w:val="00F506BA"/>
    <w:rsid w:val="00F510EB"/>
    <w:rsid w:val="00F52F7E"/>
    <w:rsid w:val="00F530D5"/>
    <w:rsid w:val="00F53C70"/>
    <w:rsid w:val="00F548B1"/>
    <w:rsid w:val="00F549E4"/>
    <w:rsid w:val="00F5541D"/>
    <w:rsid w:val="00F55A1E"/>
    <w:rsid w:val="00F567A7"/>
    <w:rsid w:val="00F56ACC"/>
    <w:rsid w:val="00F62092"/>
    <w:rsid w:val="00F6361C"/>
    <w:rsid w:val="00F63FC2"/>
    <w:rsid w:val="00F640C2"/>
    <w:rsid w:val="00F64581"/>
    <w:rsid w:val="00F66853"/>
    <w:rsid w:val="00F703F8"/>
    <w:rsid w:val="00F71502"/>
    <w:rsid w:val="00F7183F"/>
    <w:rsid w:val="00F71C81"/>
    <w:rsid w:val="00F723AC"/>
    <w:rsid w:val="00F72768"/>
    <w:rsid w:val="00F74870"/>
    <w:rsid w:val="00F77612"/>
    <w:rsid w:val="00F80D85"/>
    <w:rsid w:val="00F823F3"/>
    <w:rsid w:val="00F82875"/>
    <w:rsid w:val="00F8360D"/>
    <w:rsid w:val="00F84E35"/>
    <w:rsid w:val="00F84F77"/>
    <w:rsid w:val="00F87537"/>
    <w:rsid w:val="00F877C8"/>
    <w:rsid w:val="00F87927"/>
    <w:rsid w:val="00F915B2"/>
    <w:rsid w:val="00F934A0"/>
    <w:rsid w:val="00F93520"/>
    <w:rsid w:val="00F93ED0"/>
    <w:rsid w:val="00F94385"/>
    <w:rsid w:val="00F9486C"/>
    <w:rsid w:val="00F957FF"/>
    <w:rsid w:val="00F95EEB"/>
    <w:rsid w:val="00F96E07"/>
    <w:rsid w:val="00F970CD"/>
    <w:rsid w:val="00F972C3"/>
    <w:rsid w:val="00F973EC"/>
    <w:rsid w:val="00FA1091"/>
    <w:rsid w:val="00FA2CB5"/>
    <w:rsid w:val="00FA2E27"/>
    <w:rsid w:val="00FA3B3D"/>
    <w:rsid w:val="00FA412B"/>
    <w:rsid w:val="00FA4C31"/>
    <w:rsid w:val="00FA565C"/>
    <w:rsid w:val="00FA5CCC"/>
    <w:rsid w:val="00FA5ED6"/>
    <w:rsid w:val="00FA664A"/>
    <w:rsid w:val="00FA7039"/>
    <w:rsid w:val="00FA79F7"/>
    <w:rsid w:val="00FB001B"/>
    <w:rsid w:val="00FB0603"/>
    <w:rsid w:val="00FB153E"/>
    <w:rsid w:val="00FB200C"/>
    <w:rsid w:val="00FB319D"/>
    <w:rsid w:val="00FB5362"/>
    <w:rsid w:val="00FB6262"/>
    <w:rsid w:val="00FB6D9D"/>
    <w:rsid w:val="00FB7FED"/>
    <w:rsid w:val="00FC01FF"/>
    <w:rsid w:val="00FC164F"/>
    <w:rsid w:val="00FC206F"/>
    <w:rsid w:val="00FC2F8D"/>
    <w:rsid w:val="00FC5833"/>
    <w:rsid w:val="00FC66A9"/>
    <w:rsid w:val="00FD0CE2"/>
    <w:rsid w:val="00FD31B2"/>
    <w:rsid w:val="00FD32EA"/>
    <w:rsid w:val="00FD3404"/>
    <w:rsid w:val="00FD3F7A"/>
    <w:rsid w:val="00FD5749"/>
    <w:rsid w:val="00FD6F57"/>
    <w:rsid w:val="00FD763E"/>
    <w:rsid w:val="00FE0273"/>
    <w:rsid w:val="00FE048B"/>
    <w:rsid w:val="00FE06F0"/>
    <w:rsid w:val="00FE10AC"/>
    <w:rsid w:val="00FE1AA0"/>
    <w:rsid w:val="00FE1C88"/>
    <w:rsid w:val="00FE275A"/>
    <w:rsid w:val="00FE2930"/>
    <w:rsid w:val="00FE2AE3"/>
    <w:rsid w:val="00FE33E9"/>
    <w:rsid w:val="00FE349F"/>
    <w:rsid w:val="00FE4EE9"/>
    <w:rsid w:val="00FE5163"/>
    <w:rsid w:val="00FE56DE"/>
    <w:rsid w:val="00FE696A"/>
    <w:rsid w:val="00FE7F36"/>
    <w:rsid w:val="00FF1B6E"/>
    <w:rsid w:val="00FF1EEE"/>
    <w:rsid w:val="00FF3A17"/>
    <w:rsid w:val="00FF4B59"/>
    <w:rsid w:val="00FF4D7D"/>
    <w:rsid w:val="00FF785C"/>
    <w:rsid w:val="017003A7"/>
    <w:rsid w:val="0179546C"/>
    <w:rsid w:val="01882677"/>
    <w:rsid w:val="018C519F"/>
    <w:rsid w:val="01B111BA"/>
    <w:rsid w:val="02111B48"/>
    <w:rsid w:val="02367E37"/>
    <w:rsid w:val="026C4FD1"/>
    <w:rsid w:val="032338E1"/>
    <w:rsid w:val="03746DEC"/>
    <w:rsid w:val="03BB10D9"/>
    <w:rsid w:val="04754611"/>
    <w:rsid w:val="050619D4"/>
    <w:rsid w:val="05343420"/>
    <w:rsid w:val="05504736"/>
    <w:rsid w:val="057C377D"/>
    <w:rsid w:val="058D289C"/>
    <w:rsid w:val="05A30D0A"/>
    <w:rsid w:val="05B42F17"/>
    <w:rsid w:val="05C67E91"/>
    <w:rsid w:val="05F872A7"/>
    <w:rsid w:val="06293614"/>
    <w:rsid w:val="065149FB"/>
    <w:rsid w:val="066A1827"/>
    <w:rsid w:val="06822E84"/>
    <w:rsid w:val="06C925F3"/>
    <w:rsid w:val="06CF489D"/>
    <w:rsid w:val="06F27059"/>
    <w:rsid w:val="06F474EE"/>
    <w:rsid w:val="073A569E"/>
    <w:rsid w:val="073F22C1"/>
    <w:rsid w:val="076F3599"/>
    <w:rsid w:val="07826F7B"/>
    <w:rsid w:val="07A31495"/>
    <w:rsid w:val="07B729E3"/>
    <w:rsid w:val="08AE6343"/>
    <w:rsid w:val="08B15363"/>
    <w:rsid w:val="08BB636A"/>
    <w:rsid w:val="08DC2D87"/>
    <w:rsid w:val="09651B6D"/>
    <w:rsid w:val="09774987"/>
    <w:rsid w:val="098A3AE0"/>
    <w:rsid w:val="09C000DC"/>
    <w:rsid w:val="09D5345C"/>
    <w:rsid w:val="09F848A2"/>
    <w:rsid w:val="0A1670F9"/>
    <w:rsid w:val="0A3332AC"/>
    <w:rsid w:val="0AAC68B2"/>
    <w:rsid w:val="0ACA6D38"/>
    <w:rsid w:val="0B287209"/>
    <w:rsid w:val="0B8D0492"/>
    <w:rsid w:val="0BB53545"/>
    <w:rsid w:val="0C71390F"/>
    <w:rsid w:val="0D0003EB"/>
    <w:rsid w:val="0D9D0734"/>
    <w:rsid w:val="0DAD15DD"/>
    <w:rsid w:val="0DFB038A"/>
    <w:rsid w:val="0E502D8F"/>
    <w:rsid w:val="0E821DEC"/>
    <w:rsid w:val="0ED168E7"/>
    <w:rsid w:val="0F1E1A19"/>
    <w:rsid w:val="0F6FCD3C"/>
    <w:rsid w:val="0F9D6528"/>
    <w:rsid w:val="102E4CAF"/>
    <w:rsid w:val="10392126"/>
    <w:rsid w:val="10993435"/>
    <w:rsid w:val="11050B5E"/>
    <w:rsid w:val="1147724C"/>
    <w:rsid w:val="11DB182B"/>
    <w:rsid w:val="11E23657"/>
    <w:rsid w:val="12224BB9"/>
    <w:rsid w:val="12333415"/>
    <w:rsid w:val="12723F3D"/>
    <w:rsid w:val="128D4B69"/>
    <w:rsid w:val="12900868"/>
    <w:rsid w:val="12995896"/>
    <w:rsid w:val="12CD5618"/>
    <w:rsid w:val="12DC585B"/>
    <w:rsid w:val="133851F5"/>
    <w:rsid w:val="13623FB2"/>
    <w:rsid w:val="14190861"/>
    <w:rsid w:val="14A30DB3"/>
    <w:rsid w:val="14A35252"/>
    <w:rsid w:val="15387415"/>
    <w:rsid w:val="153B492E"/>
    <w:rsid w:val="158D108E"/>
    <w:rsid w:val="15C02782"/>
    <w:rsid w:val="160550C9"/>
    <w:rsid w:val="16225C7A"/>
    <w:rsid w:val="165806D9"/>
    <w:rsid w:val="169F1079"/>
    <w:rsid w:val="16DA71DD"/>
    <w:rsid w:val="172B0B5F"/>
    <w:rsid w:val="17331391"/>
    <w:rsid w:val="173B7644"/>
    <w:rsid w:val="174171AC"/>
    <w:rsid w:val="17461573"/>
    <w:rsid w:val="17AD3E53"/>
    <w:rsid w:val="17B4334E"/>
    <w:rsid w:val="17BC7442"/>
    <w:rsid w:val="183F64A2"/>
    <w:rsid w:val="187973C5"/>
    <w:rsid w:val="18ED38D2"/>
    <w:rsid w:val="19190E13"/>
    <w:rsid w:val="196F26B8"/>
    <w:rsid w:val="19A81570"/>
    <w:rsid w:val="1A2E213B"/>
    <w:rsid w:val="1A5F5560"/>
    <w:rsid w:val="1A7B338C"/>
    <w:rsid w:val="1A843315"/>
    <w:rsid w:val="1A846F04"/>
    <w:rsid w:val="1A903AFB"/>
    <w:rsid w:val="1AC07139"/>
    <w:rsid w:val="1AE07B7A"/>
    <w:rsid w:val="1B333D2D"/>
    <w:rsid w:val="1B375D24"/>
    <w:rsid w:val="1BFA2FC8"/>
    <w:rsid w:val="1C542906"/>
    <w:rsid w:val="1C577619"/>
    <w:rsid w:val="1C6F7C64"/>
    <w:rsid w:val="1C7B0B50"/>
    <w:rsid w:val="1D2F0495"/>
    <w:rsid w:val="1D8C6046"/>
    <w:rsid w:val="1D943902"/>
    <w:rsid w:val="1D976F4E"/>
    <w:rsid w:val="1DA57536"/>
    <w:rsid w:val="1E026286"/>
    <w:rsid w:val="1E077838"/>
    <w:rsid w:val="1E193E07"/>
    <w:rsid w:val="1E8F4A24"/>
    <w:rsid w:val="1EBF675C"/>
    <w:rsid w:val="1F4156E6"/>
    <w:rsid w:val="1F565733"/>
    <w:rsid w:val="1F6B13E9"/>
    <w:rsid w:val="1F7A2683"/>
    <w:rsid w:val="1F7B767C"/>
    <w:rsid w:val="1FA1187E"/>
    <w:rsid w:val="1FCF0304"/>
    <w:rsid w:val="1FFF9265"/>
    <w:rsid w:val="20201D38"/>
    <w:rsid w:val="203253FC"/>
    <w:rsid w:val="212C5BFF"/>
    <w:rsid w:val="21933ED0"/>
    <w:rsid w:val="21DE15EF"/>
    <w:rsid w:val="21EC77F1"/>
    <w:rsid w:val="222F3F9D"/>
    <w:rsid w:val="22356D36"/>
    <w:rsid w:val="22904B28"/>
    <w:rsid w:val="22EF5136"/>
    <w:rsid w:val="23024E6A"/>
    <w:rsid w:val="231D2D1B"/>
    <w:rsid w:val="235C0A1E"/>
    <w:rsid w:val="235F22BC"/>
    <w:rsid w:val="23DA7B95"/>
    <w:rsid w:val="24101711"/>
    <w:rsid w:val="24220F66"/>
    <w:rsid w:val="242B6642"/>
    <w:rsid w:val="243C43AB"/>
    <w:rsid w:val="24441B45"/>
    <w:rsid w:val="2475698E"/>
    <w:rsid w:val="24927448"/>
    <w:rsid w:val="24E32A79"/>
    <w:rsid w:val="25070E5D"/>
    <w:rsid w:val="258D75B3"/>
    <w:rsid w:val="25D06375"/>
    <w:rsid w:val="25F34F3E"/>
    <w:rsid w:val="261F5D33"/>
    <w:rsid w:val="264F08A4"/>
    <w:rsid w:val="268A7650"/>
    <w:rsid w:val="26991969"/>
    <w:rsid w:val="26FF0AF3"/>
    <w:rsid w:val="27354E35"/>
    <w:rsid w:val="27CD6E47"/>
    <w:rsid w:val="27F69F9D"/>
    <w:rsid w:val="28043432"/>
    <w:rsid w:val="288E0866"/>
    <w:rsid w:val="28B05368"/>
    <w:rsid w:val="28C037FD"/>
    <w:rsid w:val="28D77E14"/>
    <w:rsid w:val="28E84B02"/>
    <w:rsid w:val="291A7E26"/>
    <w:rsid w:val="296274C9"/>
    <w:rsid w:val="299627B0"/>
    <w:rsid w:val="2A3B669C"/>
    <w:rsid w:val="2ACB02D5"/>
    <w:rsid w:val="2B3C2EE3"/>
    <w:rsid w:val="2BBF8D88"/>
    <w:rsid w:val="2BE45A54"/>
    <w:rsid w:val="2BE9306B"/>
    <w:rsid w:val="2BFC6659"/>
    <w:rsid w:val="2C2F46C5"/>
    <w:rsid w:val="2C620B86"/>
    <w:rsid w:val="2CDD074D"/>
    <w:rsid w:val="2CFB7740"/>
    <w:rsid w:val="2D0619FA"/>
    <w:rsid w:val="2D3E357E"/>
    <w:rsid w:val="2D4E1AFD"/>
    <w:rsid w:val="2D9144B9"/>
    <w:rsid w:val="2D99286E"/>
    <w:rsid w:val="2DA30CE6"/>
    <w:rsid w:val="2DB651CE"/>
    <w:rsid w:val="2DBD18D6"/>
    <w:rsid w:val="2DC459D6"/>
    <w:rsid w:val="2DEF248E"/>
    <w:rsid w:val="2DF94D68"/>
    <w:rsid w:val="2E0231A3"/>
    <w:rsid w:val="2E291E44"/>
    <w:rsid w:val="2E690493"/>
    <w:rsid w:val="2E9A63F2"/>
    <w:rsid w:val="2EA42F15"/>
    <w:rsid w:val="2EC62E46"/>
    <w:rsid w:val="2EF5691A"/>
    <w:rsid w:val="2F1C7546"/>
    <w:rsid w:val="2F307202"/>
    <w:rsid w:val="2F3311E1"/>
    <w:rsid w:val="2F659EAB"/>
    <w:rsid w:val="2F6D5D61"/>
    <w:rsid w:val="2F7C1536"/>
    <w:rsid w:val="2F917347"/>
    <w:rsid w:val="30017B36"/>
    <w:rsid w:val="301C213B"/>
    <w:rsid w:val="30E47493"/>
    <w:rsid w:val="31061FC9"/>
    <w:rsid w:val="313703D4"/>
    <w:rsid w:val="313C3C3D"/>
    <w:rsid w:val="31503170"/>
    <w:rsid w:val="319A0963"/>
    <w:rsid w:val="31E367AE"/>
    <w:rsid w:val="31FF6ED3"/>
    <w:rsid w:val="328536BF"/>
    <w:rsid w:val="32BF586A"/>
    <w:rsid w:val="33030EB6"/>
    <w:rsid w:val="33571F05"/>
    <w:rsid w:val="335A433B"/>
    <w:rsid w:val="33686F6B"/>
    <w:rsid w:val="33BF903C"/>
    <w:rsid w:val="33F92BFA"/>
    <w:rsid w:val="34035AD4"/>
    <w:rsid w:val="344F7712"/>
    <w:rsid w:val="34767465"/>
    <w:rsid w:val="34DB545B"/>
    <w:rsid w:val="34FC4573"/>
    <w:rsid w:val="35023279"/>
    <w:rsid w:val="355D7AA1"/>
    <w:rsid w:val="355F7243"/>
    <w:rsid w:val="35610D7B"/>
    <w:rsid w:val="358C017E"/>
    <w:rsid w:val="35FE3BB6"/>
    <w:rsid w:val="360F6269"/>
    <w:rsid w:val="36A22655"/>
    <w:rsid w:val="36AF3103"/>
    <w:rsid w:val="36BB5604"/>
    <w:rsid w:val="36E306EB"/>
    <w:rsid w:val="36EB0BB9"/>
    <w:rsid w:val="376B1363"/>
    <w:rsid w:val="378D5B39"/>
    <w:rsid w:val="37ED5C91"/>
    <w:rsid w:val="37F36C7A"/>
    <w:rsid w:val="38AE3672"/>
    <w:rsid w:val="38B7C9DC"/>
    <w:rsid w:val="398E34A3"/>
    <w:rsid w:val="39DA0497"/>
    <w:rsid w:val="3A6D6534"/>
    <w:rsid w:val="3A773F37"/>
    <w:rsid w:val="3ABA7EC3"/>
    <w:rsid w:val="3AFF73CC"/>
    <w:rsid w:val="3B0746F2"/>
    <w:rsid w:val="3BBEAB0A"/>
    <w:rsid w:val="3BCC3224"/>
    <w:rsid w:val="3C0D4B53"/>
    <w:rsid w:val="3C291261"/>
    <w:rsid w:val="3C720E1A"/>
    <w:rsid w:val="3C836BC3"/>
    <w:rsid w:val="3CCB5D18"/>
    <w:rsid w:val="3CE847DF"/>
    <w:rsid w:val="3CF5D085"/>
    <w:rsid w:val="3D125549"/>
    <w:rsid w:val="3D4C1D2D"/>
    <w:rsid w:val="3D7D2C62"/>
    <w:rsid w:val="3D8250CD"/>
    <w:rsid w:val="3D8A2447"/>
    <w:rsid w:val="3DABD0A9"/>
    <w:rsid w:val="3DB0308B"/>
    <w:rsid w:val="3DFA68DA"/>
    <w:rsid w:val="3E3A060F"/>
    <w:rsid w:val="3E5500EC"/>
    <w:rsid w:val="3E6C6D60"/>
    <w:rsid w:val="3E7EC515"/>
    <w:rsid w:val="3E862AFD"/>
    <w:rsid w:val="3EBB0897"/>
    <w:rsid w:val="3EF125F7"/>
    <w:rsid w:val="3EF50856"/>
    <w:rsid w:val="3EFBCDCB"/>
    <w:rsid w:val="3EFD2F6C"/>
    <w:rsid w:val="3F37BF00"/>
    <w:rsid w:val="3F45231E"/>
    <w:rsid w:val="3F4A1C1A"/>
    <w:rsid w:val="3F9ED585"/>
    <w:rsid w:val="3FB5DCE8"/>
    <w:rsid w:val="3FBD0D4B"/>
    <w:rsid w:val="3FD07DC0"/>
    <w:rsid w:val="3FF1CC7E"/>
    <w:rsid w:val="3FF7FB06"/>
    <w:rsid w:val="40672358"/>
    <w:rsid w:val="407D3F89"/>
    <w:rsid w:val="409159D8"/>
    <w:rsid w:val="40A526BD"/>
    <w:rsid w:val="40FE3213"/>
    <w:rsid w:val="41770CEE"/>
    <w:rsid w:val="41DA17B6"/>
    <w:rsid w:val="41E81277"/>
    <w:rsid w:val="41FE41C8"/>
    <w:rsid w:val="4230334A"/>
    <w:rsid w:val="426B6130"/>
    <w:rsid w:val="42D4669B"/>
    <w:rsid w:val="430372A5"/>
    <w:rsid w:val="430A7BDA"/>
    <w:rsid w:val="4346716C"/>
    <w:rsid w:val="43D07058"/>
    <w:rsid w:val="43E6B14B"/>
    <w:rsid w:val="43F16B09"/>
    <w:rsid w:val="44293409"/>
    <w:rsid w:val="44D77AAC"/>
    <w:rsid w:val="45464C32"/>
    <w:rsid w:val="45E01D5E"/>
    <w:rsid w:val="45FF375F"/>
    <w:rsid w:val="465D2233"/>
    <w:rsid w:val="468456FD"/>
    <w:rsid w:val="46E73806"/>
    <w:rsid w:val="47111E5E"/>
    <w:rsid w:val="47134FE8"/>
    <w:rsid w:val="47F2524A"/>
    <w:rsid w:val="48A90C13"/>
    <w:rsid w:val="48CE11C6"/>
    <w:rsid w:val="48D569F9"/>
    <w:rsid w:val="48DF1625"/>
    <w:rsid w:val="48E72288"/>
    <w:rsid w:val="48F7696F"/>
    <w:rsid w:val="4932520D"/>
    <w:rsid w:val="49680D7A"/>
    <w:rsid w:val="49A95790"/>
    <w:rsid w:val="4A2705B6"/>
    <w:rsid w:val="4A361719"/>
    <w:rsid w:val="4A431740"/>
    <w:rsid w:val="4A4714E0"/>
    <w:rsid w:val="4A8A3813"/>
    <w:rsid w:val="4AB96F1D"/>
    <w:rsid w:val="4B8A1D1C"/>
    <w:rsid w:val="4B9F2635"/>
    <w:rsid w:val="4BDE5BC4"/>
    <w:rsid w:val="4BF00B51"/>
    <w:rsid w:val="4C782F05"/>
    <w:rsid w:val="4CB46925"/>
    <w:rsid w:val="4CC73B90"/>
    <w:rsid w:val="4D186EB4"/>
    <w:rsid w:val="4D7C33D4"/>
    <w:rsid w:val="4D844078"/>
    <w:rsid w:val="4DAB2D31"/>
    <w:rsid w:val="4DB0533F"/>
    <w:rsid w:val="4DC6032B"/>
    <w:rsid w:val="4DD50E0D"/>
    <w:rsid w:val="4DDF79D2"/>
    <w:rsid w:val="4DF26D9F"/>
    <w:rsid w:val="4DF43456"/>
    <w:rsid w:val="4E0B077D"/>
    <w:rsid w:val="4E2C3FBE"/>
    <w:rsid w:val="4E572BB9"/>
    <w:rsid w:val="4EAD7AD0"/>
    <w:rsid w:val="4F363F69"/>
    <w:rsid w:val="4F406464"/>
    <w:rsid w:val="4FD60AD7"/>
    <w:rsid w:val="4FE17A31"/>
    <w:rsid w:val="4FF260E2"/>
    <w:rsid w:val="50174741"/>
    <w:rsid w:val="505F0037"/>
    <w:rsid w:val="50F13B4D"/>
    <w:rsid w:val="510A4B2C"/>
    <w:rsid w:val="517845BA"/>
    <w:rsid w:val="51BA49DE"/>
    <w:rsid w:val="51C23892"/>
    <w:rsid w:val="51C27D36"/>
    <w:rsid w:val="525A3ACB"/>
    <w:rsid w:val="52A435A2"/>
    <w:rsid w:val="52D63A99"/>
    <w:rsid w:val="533468FD"/>
    <w:rsid w:val="53394028"/>
    <w:rsid w:val="53A26E90"/>
    <w:rsid w:val="53AB6CD4"/>
    <w:rsid w:val="53DB17D5"/>
    <w:rsid w:val="53E67F83"/>
    <w:rsid w:val="541325E1"/>
    <w:rsid w:val="54420CBA"/>
    <w:rsid w:val="54686973"/>
    <w:rsid w:val="54801ED5"/>
    <w:rsid w:val="54AB1F8A"/>
    <w:rsid w:val="54E57FC4"/>
    <w:rsid w:val="551119E6"/>
    <w:rsid w:val="553A1875"/>
    <w:rsid w:val="55515659"/>
    <w:rsid w:val="556B7A91"/>
    <w:rsid w:val="55761F09"/>
    <w:rsid w:val="55BD4415"/>
    <w:rsid w:val="56121CC1"/>
    <w:rsid w:val="5645045D"/>
    <w:rsid w:val="564E1B99"/>
    <w:rsid w:val="569D042A"/>
    <w:rsid w:val="56DA0BFD"/>
    <w:rsid w:val="57364B06"/>
    <w:rsid w:val="57AA28BF"/>
    <w:rsid w:val="57E54C31"/>
    <w:rsid w:val="583E77C5"/>
    <w:rsid w:val="58461924"/>
    <w:rsid w:val="58A85197"/>
    <w:rsid w:val="58E64582"/>
    <w:rsid w:val="59254E33"/>
    <w:rsid w:val="592808BC"/>
    <w:rsid w:val="595D2A06"/>
    <w:rsid w:val="5975743C"/>
    <w:rsid w:val="59C363FA"/>
    <w:rsid w:val="59D7761F"/>
    <w:rsid w:val="5A160C1F"/>
    <w:rsid w:val="5A520E59"/>
    <w:rsid w:val="5A9A1A9B"/>
    <w:rsid w:val="5B2778F6"/>
    <w:rsid w:val="5B303F63"/>
    <w:rsid w:val="5B566E6C"/>
    <w:rsid w:val="5BA67EC7"/>
    <w:rsid w:val="5BE256CC"/>
    <w:rsid w:val="5C840BFE"/>
    <w:rsid w:val="5CA06554"/>
    <w:rsid w:val="5CBD6A4B"/>
    <w:rsid w:val="5D787C0D"/>
    <w:rsid w:val="5DE00087"/>
    <w:rsid w:val="5E2B0DFD"/>
    <w:rsid w:val="5EC27150"/>
    <w:rsid w:val="5EE017FC"/>
    <w:rsid w:val="5F5D31F3"/>
    <w:rsid w:val="5F5F0972"/>
    <w:rsid w:val="5F6D0DC4"/>
    <w:rsid w:val="5F6FCC1F"/>
    <w:rsid w:val="5F972154"/>
    <w:rsid w:val="5FEF1CF6"/>
    <w:rsid w:val="60566219"/>
    <w:rsid w:val="60C72C73"/>
    <w:rsid w:val="610B0DB2"/>
    <w:rsid w:val="610D33D5"/>
    <w:rsid w:val="61860A0A"/>
    <w:rsid w:val="620F7718"/>
    <w:rsid w:val="63C11BFC"/>
    <w:rsid w:val="63D336DD"/>
    <w:rsid w:val="63D57455"/>
    <w:rsid w:val="63DF0C11"/>
    <w:rsid w:val="63FC70D8"/>
    <w:rsid w:val="640804EA"/>
    <w:rsid w:val="641E6823"/>
    <w:rsid w:val="644237D8"/>
    <w:rsid w:val="64B47610"/>
    <w:rsid w:val="64BB489D"/>
    <w:rsid w:val="64C5396E"/>
    <w:rsid w:val="64EC750D"/>
    <w:rsid w:val="65245B5F"/>
    <w:rsid w:val="6546120E"/>
    <w:rsid w:val="654707F8"/>
    <w:rsid w:val="6577ECE9"/>
    <w:rsid w:val="65D20A87"/>
    <w:rsid w:val="65E73470"/>
    <w:rsid w:val="65F40583"/>
    <w:rsid w:val="665A00E6"/>
    <w:rsid w:val="665C3E5E"/>
    <w:rsid w:val="667E2026"/>
    <w:rsid w:val="668103A6"/>
    <w:rsid w:val="66864282"/>
    <w:rsid w:val="66DD59F4"/>
    <w:rsid w:val="672A6BDA"/>
    <w:rsid w:val="68231C08"/>
    <w:rsid w:val="68617509"/>
    <w:rsid w:val="6888718C"/>
    <w:rsid w:val="68FA126C"/>
    <w:rsid w:val="692A1FF1"/>
    <w:rsid w:val="69407A67"/>
    <w:rsid w:val="69A03FCC"/>
    <w:rsid w:val="69BD00B8"/>
    <w:rsid w:val="69D23358"/>
    <w:rsid w:val="69DF1207"/>
    <w:rsid w:val="69E06B54"/>
    <w:rsid w:val="6AAC01DA"/>
    <w:rsid w:val="6ABC4ECB"/>
    <w:rsid w:val="6AFE6EBB"/>
    <w:rsid w:val="6B02477F"/>
    <w:rsid w:val="6B4078AA"/>
    <w:rsid w:val="6BCA7670"/>
    <w:rsid w:val="6C042784"/>
    <w:rsid w:val="6C270A6A"/>
    <w:rsid w:val="6C4B29AA"/>
    <w:rsid w:val="6C53185F"/>
    <w:rsid w:val="6C9CE736"/>
    <w:rsid w:val="6D17288C"/>
    <w:rsid w:val="6D8B01DE"/>
    <w:rsid w:val="6D8D2B4F"/>
    <w:rsid w:val="6DF6FB2A"/>
    <w:rsid w:val="6E060D7D"/>
    <w:rsid w:val="6E160D96"/>
    <w:rsid w:val="6E4678CD"/>
    <w:rsid w:val="6E710877"/>
    <w:rsid w:val="6E946699"/>
    <w:rsid w:val="6E98760B"/>
    <w:rsid w:val="6EB95700"/>
    <w:rsid w:val="6ECA3909"/>
    <w:rsid w:val="6ECB034C"/>
    <w:rsid w:val="6EED1AF7"/>
    <w:rsid w:val="6F6E39DE"/>
    <w:rsid w:val="6F7FCA31"/>
    <w:rsid w:val="6F9B00FC"/>
    <w:rsid w:val="6FAD25F3"/>
    <w:rsid w:val="6FB30C5E"/>
    <w:rsid w:val="6FB65CEE"/>
    <w:rsid w:val="6FBE16E5"/>
    <w:rsid w:val="6FFFF563"/>
    <w:rsid w:val="70DA7AD0"/>
    <w:rsid w:val="70F366F9"/>
    <w:rsid w:val="71486244"/>
    <w:rsid w:val="716671E2"/>
    <w:rsid w:val="71816E6E"/>
    <w:rsid w:val="71EED32F"/>
    <w:rsid w:val="72154AE3"/>
    <w:rsid w:val="72225F5B"/>
    <w:rsid w:val="726A4E39"/>
    <w:rsid w:val="72834928"/>
    <w:rsid w:val="728E4523"/>
    <w:rsid w:val="72E40B6E"/>
    <w:rsid w:val="735FC438"/>
    <w:rsid w:val="739C7F8F"/>
    <w:rsid w:val="73FF06DC"/>
    <w:rsid w:val="73FF249A"/>
    <w:rsid w:val="7515489B"/>
    <w:rsid w:val="751E74A2"/>
    <w:rsid w:val="75A5E5F4"/>
    <w:rsid w:val="75B415C0"/>
    <w:rsid w:val="75B7AA3C"/>
    <w:rsid w:val="767E397C"/>
    <w:rsid w:val="768F54B2"/>
    <w:rsid w:val="76B240A6"/>
    <w:rsid w:val="76BB2D17"/>
    <w:rsid w:val="76DF948E"/>
    <w:rsid w:val="77172987"/>
    <w:rsid w:val="77304C77"/>
    <w:rsid w:val="773E0434"/>
    <w:rsid w:val="776EB48B"/>
    <w:rsid w:val="77750DDC"/>
    <w:rsid w:val="7798281C"/>
    <w:rsid w:val="77BE0DAD"/>
    <w:rsid w:val="77CA3FD7"/>
    <w:rsid w:val="77DE5229"/>
    <w:rsid w:val="7842143F"/>
    <w:rsid w:val="78442AE2"/>
    <w:rsid w:val="78686692"/>
    <w:rsid w:val="78E0447A"/>
    <w:rsid w:val="78E65826"/>
    <w:rsid w:val="78EE303B"/>
    <w:rsid w:val="78FF1F9E"/>
    <w:rsid w:val="79354D77"/>
    <w:rsid w:val="79776F22"/>
    <w:rsid w:val="797846B3"/>
    <w:rsid w:val="797E7CD5"/>
    <w:rsid w:val="79AC25AE"/>
    <w:rsid w:val="79D47E85"/>
    <w:rsid w:val="7A0D129F"/>
    <w:rsid w:val="7A1883CE"/>
    <w:rsid w:val="7A264A31"/>
    <w:rsid w:val="7A682979"/>
    <w:rsid w:val="7AAF2356"/>
    <w:rsid w:val="7AD36E3F"/>
    <w:rsid w:val="7AFD312C"/>
    <w:rsid w:val="7B315461"/>
    <w:rsid w:val="7B3B0454"/>
    <w:rsid w:val="7B5C764E"/>
    <w:rsid w:val="7B71585E"/>
    <w:rsid w:val="7B8437E3"/>
    <w:rsid w:val="7B9F72BF"/>
    <w:rsid w:val="7BEE6EAE"/>
    <w:rsid w:val="7BF62392"/>
    <w:rsid w:val="7BFE6E18"/>
    <w:rsid w:val="7BFF741A"/>
    <w:rsid w:val="7BFF7537"/>
    <w:rsid w:val="7C9CABFF"/>
    <w:rsid w:val="7CA103C5"/>
    <w:rsid w:val="7CAD3F93"/>
    <w:rsid w:val="7CF02D97"/>
    <w:rsid w:val="7D271DE1"/>
    <w:rsid w:val="7D390AE2"/>
    <w:rsid w:val="7D3DC94E"/>
    <w:rsid w:val="7D5E0FC3"/>
    <w:rsid w:val="7D807FDA"/>
    <w:rsid w:val="7D8856FE"/>
    <w:rsid w:val="7DAB0972"/>
    <w:rsid w:val="7DBB8112"/>
    <w:rsid w:val="7DD3DA78"/>
    <w:rsid w:val="7DFEABE1"/>
    <w:rsid w:val="7E0C1EFC"/>
    <w:rsid w:val="7E699080"/>
    <w:rsid w:val="7E8A22B7"/>
    <w:rsid w:val="7E924469"/>
    <w:rsid w:val="7EA53EF0"/>
    <w:rsid w:val="7EBC3C60"/>
    <w:rsid w:val="7ECB1729"/>
    <w:rsid w:val="7ED95BF4"/>
    <w:rsid w:val="7EEF6847"/>
    <w:rsid w:val="7EFBB47F"/>
    <w:rsid w:val="7F0160FA"/>
    <w:rsid w:val="7F3177DE"/>
    <w:rsid w:val="7F3DFB4A"/>
    <w:rsid w:val="7F4F8444"/>
    <w:rsid w:val="7F7BB17B"/>
    <w:rsid w:val="7F7D2A23"/>
    <w:rsid w:val="7F8C24B6"/>
    <w:rsid w:val="7F953E85"/>
    <w:rsid w:val="7F99212E"/>
    <w:rsid w:val="7FABC3D4"/>
    <w:rsid w:val="7FBA6FB7"/>
    <w:rsid w:val="7FBF164C"/>
    <w:rsid w:val="7FCA1AC1"/>
    <w:rsid w:val="7FDEC0BB"/>
    <w:rsid w:val="7FDED2DC"/>
    <w:rsid w:val="7FE9668E"/>
    <w:rsid w:val="7FFA16F7"/>
    <w:rsid w:val="7FFDAC05"/>
    <w:rsid w:val="7FFE249D"/>
    <w:rsid w:val="7FFE388E"/>
    <w:rsid w:val="7FFE7B20"/>
    <w:rsid w:val="87EFF446"/>
    <w:rsid w:val="9C7F10F0"/>
    <w:rsid w:val="9CD3035F"/>
    <w:rsid w:val="9DBAD1AB"/>
    <w:rsid w:val="9F775B01"/>
    <w:rsid w:val="9FB7BF64"/>
    <w:rsid w:val="A435A01C"/>
    <w:rsid w:val="AF31C63B"/>
    <w:rsid w:val="AF9BC1BC"/>
    <w:rsid w:val="B39BE3F8"/>
    <w:rsid w:val="B5DD40D8"/>
    <w:rsid w:val="B5F32944"/>
    <w:rsid w:val="B6AD16DE"/>
    <w:rsid w:val="BA0BBFB9"/>
    <w:rsid w:val="BBAF7714"/>
    <w:rsid w:val="BBDCFA9C"/>
    <w:rsid w:val="BDEDAFE6"/>
    <w:rsid w:val="BEE771DC"/>
    <w:rsid w:val="BEF1E157"/>
    <w:rsid w:val="BFBF8CAA"/>
    <w:rsid w:val="BFDF9E76"/>
    <w:rsid w:val="CBBB4FC7"/>
    <w:rsid w:val="CF38B391"/>
    <w:rsid w:val="CF6568C3"/>
    <w:rsid w:val="D5FF2C6B"/>
    <w:rsid w:val="D77E298B"/>
    <w:rsid w:val="D8532B46"/>
    <w:rsid w:val="DB3D9488"/>
    <w:rsid w:val="DCB7B14D"/>
    <w:rsid w:val="DF206478"/>
    <w:rsid w:val="DFBE69F0"/>
    <w:rsid w:val="DFBF5F68"/>
    <w:rsid w:val="DFEF3261"/>
    <w:rsid w:val="DFFEBD9D"/>
    <w:rsid w:val="DFFF61D6"/>
    <w:rsid w:val="E67F0C50"/>
    <w:rsid w:val="E6D3A407"/>
    <w:rsid w:val="EBBFDBDD"/>
    <w:rsid w:val="EBFF2B21"/>
    <w:rsid w:val="EDF6EA2F"/>
    <w:rsid w:val="EDFF571F"/>
    <w:rsid w:val="EEDD420B"/>
    <w:rsid w:val="EEFF6450"/>
    <w:rsid w:val="EF3BEC09"/>
    <w:rsid w:val="EFF6746E"/>
    <w:rsid w:val="EFFE0876"/>
    <w:rsid w:val="F5BEA02E"/>
    <w:rsid w:val="F5DD53B5"/>
    <w:rsid w:val="F70CA803"/>
    <w:rsid w:val="F73E7FAB"/>
    <w:rsid w:val="F77248D5"/>
    <w:rsid w:val="F7BE21F0"/>
    <w:rsid w:val="F7BF1030"/>
    <w:rsid w:val="F7FBDAE7"/>
    <w:rsid w:val="F7FF3BDB"/>
    <w:rsid w:val="F9DBB9A1"/>
    <w:rsid w:val="FB673A28"/>
    <w:rsid w:val="FBBDEAEB"/>
    <w:rsid w:val="FBBFEC9A"/>
    <w:rsid w:val="FBC680B5"/>
    <w:rsid w:val="FBDEAC13"/>
    <w:rsid w:val="FBF178B0"/>
    <w:rsid w:val="FCFC0919"/>
    <w:rsid w:val="FD774198"/>
    <w:rsid w:val="FDBB5600"/>
    <w:rsid w:val="FDD7644E"/>
    <w:rsid w:val="FDFB32AF"/>
    <w:rsid w:val="FE7B6C8C"/>
    <w:rsid w:val="FE7FADD1"/>
    <w:rsid w:val="FEFB93F7"/>
    <w:rsid w:val="FEFF011A"/>
    <w:rsid w:val="FF5F957E"/>
    <w:rsid w:val="FF7DD362"/>
    <w:rsid w:val="FFBBA7D0"/>
    <w:rsid w:val="FFBFC515"/>
    <w:rsid w:val="FFDF8437"/>
    <w:rsid w:val="FFE77432"/>
    <w:rsid w:val="FFEDD96C"/>
    <w:rsid w:val="FFFC70B6"/>
    <w:rsid w:val="FFFD655C"/>
    <w:rsid w:val="FFFFE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Times New Roman"/>
      <w:snapToGrid w:val="0"/>
      <w:kern w:val="32"/>
      <w:sz w:val="32"/>
      <w:szCs w:val="32"/>
      <w:lang w:val="en-US" w:eastAsia="zh-CN" w:bidi="ar-SA"/>
    </w:rPr>
  </w:style>
  <w:style w:type="paragraph" w:styleId="3">
    <w:name w:val="heading 1"/>
    <w:basedOn w:val="1"/>
    <w:next w:val="1"/>
    <w:qFormat/>
    <w:uiPriority w:val="0"/>
    <w:pPr>
      <w:jc w:val="left"/>
      <w:outlineLvl w:val="0"/>
    </w:pPr>
    <w:rPr>
      <w:rFonts w:ascii="黑体" w:eastAsia="黑体"/>
      <w:bCs/>
    </w:rPr>
  </w:style>
  <w:style w:type="paragraph" w:styleId="4">
    <w:name w:val="heading 2"/>
    <w:basedOn w:val="1"/>
    <w:next w:val="1"/>
    <w:qFormat/>
    <w:uiPriority w:val="0"/>
    <w:pPr>
      <w:outlineLvl w:val="1"/>
    </w:pPr>
    <w:rPr>
      <w:b/>
      <w:bCs/>
    </w:rPr>
  </w:style>
  <w:style w:type="paragraph" w:styleId="5">
    <w:name w:val="heading 3"/>
    <w:basedOn w:val="1"/>
    <w:next w:val="1"/>
    <w:qFormat/>
    <w:uiPriority w:val="0"/>
    <w:pPr>
      <w:adjustRightInd w:val="0"/>
      <w:snapToGrid w:val="0"/>
      <w:spacing w:line="336" w:lineRule="auto"/>
      <w:ind w:firstLine="200" w:firstLineChars="200"/>
      <w:outlineLvl w:val="2"/>
    </w:pPr>
    <w:rPr>
      <w:rFonts w:eastAsia="楷体_GB2312"/>
      <w:bCs/>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character" w:default="1" w:styleId="32">
    <w:name w:val="Default Paragraph Font"/>
    <w:unhideWhenUsed/>
    <w:qFormat/>
    <w:uiPriority w:val="1"/>
  </w:style>
  <w:style w:type="table" w:default="1" w:styleId="30">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97"/>
    <w:qFormat/>
    <w:uiPriority w:val="0"/>
    <w:pPr>
      <w:spacing w:after="120"/>
    </w:pPr>
  </w:style>
  <w:style w:type="paragraph" w:styleId="7">
    <w:name w:val="Normal Indent"/>
    <w:basedOn w:val="1"/>
    <w:next w:val="1"/>
    <w:qFormat/>
    <w:uiPriority w:val="0"/>
    <w:pPr>
      <w:ind w:firstLine="420" w:firstLineChars="200"/>
    </w:pPr>
  </w:style>
  <w:style w:type="paragraph" w:styleId="8">
    <w:name w:val="caption"/>
    <w:basedOn w:val="1"/>
    <w:next w:val="1"/>
    <w:qFormat/>
    <w:uiPriority w:val="35"/>
    <w:rPr>
      <w:rFonts w:ascii="Cambria" w:hAnsi="Cambria" w:eastAsia="黑体"/>
      <w:snapToGrid/>
      <w:kern w:val="2"/>
      <w:sz w:val="20"/>
      <w:szCs w:val="20"/>
    </w:rPr>
  </w:style>
  <w:style w:type="paragraph" w:styleId="9">
    <w:name w:val="Document Map"/>
    <w:basedOn w:val="1"/>
    <w:qFormat/>
    <w:uiPriority w:val="0"/>
    <w:pPr>
      <w:shd w:val="clear" w:color="auto" w:fill="000080"/>
    </w:pPr>
  </w:style>
  <w:style w:type="paragraph" w:styleId="10">
    <w:name w:val="annotation text"/>
    <w:basedOn w:val="1"/>
    <w:link w:val="98"/>
    <w:qFormat/>
    <w:uiPriority w:val="0"/>
    <w:pPr>
      <w:jc w:val="left"/>
    </w:pPr>
    <w:rPr>
      <w:rFonts w:ascii="Times New Roman" w:hAnsi="Times New Roman" w:eastAsia="宋体"/>
      <w:snapToGrid/>
      <w:kern w:val="2"/>
      <w:sz w:val="21"/>
      <w:szCs w:val="20"/>
    </w:rPr>
  </w:style>
  <w:style w:type="paragraph" w:styleId="11">
    <w:name w:val="Body Text Indent"/>
    <w:basedOn w:val="1"/>
    <w:link w:val="99"/>
    <w:qFormat/>
    <w:uiPriority w:val="0"/>
    <w:pPr>
      <w:ind w:left="570" w:hanging="30"/>
    </w:pPr>
    <w:rPr>
      <w:rFonts w:ascii="Times New Roman" w:hAnsi="Times New Roman" w:eastAsia="宋体"/>
      <w:snapToGrid/>
      <w:kern w:val="2"/>
      <w:sz w:val="28"/>
      <w:szCs w:val="20"/>
    </w:rPr>
  </w:style>
  <w:style w:type="paragraph" w:styleId="12">
    <w:name w:val="Block Text"/>
    <w:basedOn w:val="1"/>
    <w:qFormat/>
    <w:uiPriority w:val="0"/>
    <w:pPr>
      <w:ind w:left="-718" w:leftChars="-342" w:right="-512" w:rightChars="-244"/>
      <w:jc w:val="center"/>
    </w:pPr>
    <w:rPr>
      <w:rFonts w:ascii="仿宋_GB2312"/>
      <w:snapToGrid/>
      <w:kern w:val="2"/>
      <w:sz w:val="44"/>
    </w:rPr>
  </w:style>
  <w:style w:type="paragraph" w:styleId="13">
    <w:name w:val="toc 3"/>
    <w:basedOn w:val="1"/>
    <w:next w:val="1"/>
    <w:unhideWhenUsed/>
    <w:qFormat/>
    <w:uiPriority w:val="39"/>
    <w:pPr>
      <w:widowControl/>
      <w:spacing w:after="100" w:line="276" w:lineRule="auto"/>
      <w:ind w:left="440"/>
      <w:jc w:val="left"/>
    </w:pPr>
    <w:rPr>
      <w:rFonts w:ascii="Calibri" w:hAnsi="Calibri" w:eastAsia="宋体"/>
      <w:snapToGrid/>
      <w:kern w:val="0"/>
      <w:sz w:val="22"/>
      <w:szCs w:val="22"/>
    </w:rPr>
  </w:style>
  <w:style w:type="paragraph" w:styleId="14">
    <w:name w:val="Plain Text"/>
    <w:basedOn w:val="1"/>
    <w:link w:val="100"/>
    <w:qFormat/>
    <w:uiPriority w:val="0"/>
    <w:rPr>
      <w:rFonts w:hAnsi="Courier New" w:eastAsia="宋体" w:cs="Courier New"/>
      <w:kern w:val="2"/>
      <w:sz w:val="21"/>
      <w:szCs w:val="21"/>
    </w:rPr>
  </w:style>
  <w:style w:type="paragraph" w:styleId="15">
    <w:name w:val="Date"/>
    <w:basedOn w:val="1"/>
    <w:next w:val="1"/>
    <w:link w:val="101"/>
    <w:qFormat/>
    <w:uiPriority w:val="0"/>
    <w:pPr>
      <w:ind w:left="100" w:leftChars="2500"/>
    </w:pPr>
  </w:style>
  <w:style w:type="paragraph" w:styleId="16">
    <w:name w:val="Body Text Indent 2"/>
    <w:basedOn w:val="1"/>
    <w:qFormat/>
    <w:uiPriority w:val="0"/>
    <w:pPr>
      <w:spacing w:after="120" w:line="480" w:lineRule="auto"/>
      <w:ind w:left="420" w:leftChars="200"/>
    </w:pPr>
    <w:rPr>
      <w:rFonts w:ascii="Times New Roman" w:hAnsi="Times New Roman"/>
      <w:snapToGrid/>
      <w:kern w:val="2"/>
      <w:szCs w:val="24"/>
    </w:rPr>
  </w:style>
  <w:style w:type="paragraph" w:styleId="17">
    <w:name w:val="Balloon Text"/>
    <w:basedOn w:val="1"/>
    <w:qFormat/>
    <w:uiPriority w:val="0"/>
    <w:rPr>
      <w:sz w:val="18"/>
      <w:szCs w:val="18"/>
    </w:rPr>
  </w:style>
  <w:style w:type="paragraph" w:styleId="18">
    <w:name w:val="footer"/>
    <w:basedOn w:val="1"/>
    <w:link w:val="102"/>
    <w:qFormat/>
    <w:uiPriority w:val="0"/>
    <w:pPr>
      <w:tabs>
        <w:tab w:val="center" w:pos="4153"/>
        <w:tab w:val="right" w:pos="8306"/>
      </w:tabs>
      <w:snapToGrid w:val="0"/>
      <w:jc w:val="left"/>
    </w:pPr>
    <w:rPr>
      <w:sz w:val="18"/>
      <w:szCs w:val="18"/>
    </w:rPr>
  </w:style>
  <w:style w:type="paragraph" w:styleId="19">
    <w:name w:val="envelope return"/>
    <w:basedOn w:val="1"/>
    <w:qFormat/>
    <w:uiPriority w:val="0"/>
    <w:pPr>
      <w:widowControl/>
      <w:jc w:val="left"/>
    </w:pPr>
    <w:rPr>
      <w:rFonts w:ascii="Garamond" w:hAnsi="Garamond" w:eastAsia="宋体"/>
      <w:snapToGrid/>
      <w:kern w:val="0"/>
      <w:sz w:val="24"/>
      <w:szCs w:val="20"/>
      <w:lang w:val="fr-CH" w:eastAsia="en-US"/>
    </w:rPr>
  </w:style>
  <w:style w:type="paragraph" w:styleId="20">
    <w:name w:val="header"/>
    <w:basedOn w:val="1"/>
    <w:link w:val="103"/>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unhideWhenUsed/>
    <w:qFormat/>
    <w:uiPriority w:val="39"/>
    <w:pPr>
      <w:tabs>
        <w:tab w:val="right" w:leader="dot" w:pos="8630"/>
      </w:tabs>
      <w:jc w:val="center"/>
    </w:pPr>
    <w:rPr>
      <w:rFonts w:ascii="华文楷体" w:hAnsi="华文楷体" w:eastAsia="华文楷体"/>
      <w:b/>
      <w:snapToGrid/>
      <w:kern w:val="2"/>
      <w:sz w:val="36"/>
    </w:rPr>
  </w:style>
  <w:style w:type="paragraph" w:styleId="22">
    <w:name w:val="List"/>
    <w:basedOn w:val="2"/>
    <w:qFormat/>
    <w:uiPriority w:val="0"/>
    <w:pPr>
      <w:suppressAutoHyphens/>
      <w:spacing w:after="0" w:line="0" w:lineRule="atLeast"/>
      <w:jc w:val="center"/>
    </w:pPr>
    <w:rPr>
      <w:rFonts w:ascii="方正小标宋简体" w:hAnsi="方正小标宋简体" w:eastAsia="方正小标宋简体"/>
      <w:snapToGrid/>
      <w:kern w:val="1"/>
      <w:sz w:val="44"/>
      <w:szCs w:val="24"/>
    </w:rPr>
  </w:style>
  <w:style w:type="paragraph" w:styleId="23">
    <w:name w:val="Body Text Indent 3"/>
    <w:basedOn w:val="1"/>
    <w:qFormat/>
    <w:uiPriority w:val="0"/>
    <w:pPr>
      <w:spacing w:after="120"/>
      <w:ind w:left="420" w:leftChars="200"/>
    </w:pPr>
    <w:rPr>
      <w:sz w:val="16"/>
      <w:szCs w:val="16"/>
    </w:rPr>
  </w:style>
  <w:style w:type="paragraph" w:styleId="24">
    <w:name w:val="toc 2"/>
    <w:basedOn w:val="1"/>
    <w:next w:val="1"/>
    <w:unhideWhenUsed/>
    <w:qFormat/>
    <w:uiPriority w:val="39"/>
    <w:pPr>
      <w:ind w:left="420" w:leftChars="200"/>
    </w:pPr>
    <w:rPr>
      <w:rFonts w:ascii="Calibri" w:hAnsi="Calibri" w:eastAsia="宋体"/>
      <w:snapToGrid/>
      <w:kern w:val="2"/>
      <w:sz w:val="21"/>
      <w:szCs w:val="22"/>
    </w:rPr>
  </w:style>
  <w:style w:type="paragraph" w:styleId="25">
    <w:name w:val="Body Text 2"/>
    <w:basedOn w:val="1"/>
    <w:qFormat/>
    <w:uiPriority w:val="0"/>
    <w:pPr>
      <w:spacing w:after="120" w:line="480" w:lineRule="auto"/>
    </w:pPr>
    <w:rPr>
      <w:rFonts w:ascii="Times New Roman" w:hAnsi="Times New Roman" w:eastAsia="宋体"/>
      <w:snapToGrid/>
      <w:kern w:val="2"/>
      <w:sz w:val="21"/>
      <w:szCs w:val="24"/>
    </w:rPr>
  </w:style>
  <w:style w:type="paragraph" w:styleId="26">
    <w:name w:val="HTML Preformatted"/>
    <w:basedOn w:val="1"/>
    <w:link w:val="10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eastAsia="宋体"/>
      <w:snapToGrid/>
      <w:kern w:val="0"/>
      <w:sz w:val="24"/>
      <w:szCs w:val="24"/>
    </w:rPr>
  </w:style>
  <w:style w:type="paragraph" w:styleId="27">
    <w:name w:val="Normal (Web)"/>
    <w:basedOn w:val="1"/>
    <w:qFormat/>
    <w:uiPriority w:val="0"/>
    <w:pPr>
      <w:widowControl/>
      <w:spacing w:before="100" w:beforeAutospacing="1"/>
      <w:jc w:val="center"/>
    </w:pPr>
    <w:rPr>
      <w:rFonts w:eastAsia="宋体"/>
      <w:snapToGrid/>
      <w:kern w:val="0"/>
      <w:sz w:val="24"/>
      <w:szCs w:val="24"/>
    </w:rPr>
  </w:style>
  <w:style w:type="paragraph" w:styleId="28">
    <w:name w:val="Title"/>
    <w:basedOn w:val="1"/>
    <w:link w:val="105"/>
    <w:qFormat/>
    <w:uiPriority w:val="0"/>
    <w:pPr>
      <w:spacing w:line="216" w:lineRule="auto"/>
      <w:jc w:val="center"/>
      <w:outlineLvl w:val="0"/>
    </w:pPr>
    <w:rPr>
      <w:rFonts w:ascii="方正小标宋简体" w:hAnsi="Arial" w:eastAsia="方正小标宋简体" w:cs="Arial"/>
      <w:bCs/>
      <w:kern w:val="44"/>
      <w:sz w:val="44"/>
      <w:szCs w:val="44"/>
    </w:rPr>
  </w:style>
  <w:style w:type="paragraph" w:styleId="29">
    <w:name w:val="annotation subject"/>
    <w:basedOn w:val="10"/>
    <w:next w:val="10"/>
    <w:link w:val="106"/>
    <w:qFormat/>
    <w:uiPriority w:val="0"/>
    <w:rPr>
      <w:rFonts w:ascii="宋体" w:hAnsi="宋体" w:eastAsia="仿宋_GB2312"/>
      <w:b/>
      <w:bCs/>
      <w:snapToGrid w:val="0"/>
      <w:kern w:val="32"/>
      <w:sz w:val="32"/>
      <w:szCs w:val="32"/>
    </w:rPr>
  </w:style>
  <w:style w:type="table" w:styleId="31">
    <w:name w:val="Table Grid"/>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qFormat/>
    <w:uiPriority w:val="0"/>
    <w:rPr>
      <w:b/>
      <w:bCs/>
    </w:rPr>
  </w:style>
  <w:style w:type="character" w:styleId="34">
    <w:name w:val="page number"/>
    <w:qFormat/>
    <w:uiPriority w:val="0"/>
  </w:style>
  <w:style w:type="character" w:styleId="35">
    <w:name w:val="FollowedHyperlink"/>
    <w:qFormat/>
    <w:uiPriority w:val="0"/>
    <w:rPr>
      <w:color w:val="0065CE"/>
      <w:u w:val="none"/>
    </w:rPr>
  </w:style>
  <w:style w:type="character" w:styleId="36">
    <w:name w:val="Hyperlink"/>
    <w:qFormat/>
    <w:uiPriority w:val="0"/>
    <w:rPr>
      <w:color w:val="0000FF"/>
      <w:u w:val="single"/>
    </w:rPr>
  </w:style>
  <w:style w:type="character" w:styleId="37">
    <w:name w:val="annotation reference"/>
    <w:qFormat/>
    <w:uiPriority w:val="0"/>
    <w:rPr>
      <w:sz w:val="21"/>
      <w:szCs w:val="21"/>
    </w:rPr>
  </w:style>
  <w:style w:type="paragraph" w:customStyle="1" w:styleId="38">
    <w:name w:val="标题 11"/>
    <w:basedOn w:val="1"/>
    <w:link w:val="107"/>
    <w:qFormat/>
    <w:uiPriority w:val="0"/>
    <w:pPr>
      <w:spacing w:before="100" w:beforeAutospacing="1" w:after="100" w:afterAutospacing="1" w:line="336" w:lineRule="auto"/>
      <w:outlineLvl w:val="0"/>
    </w:pPr>
    <w:rPr>
      <w:rFonts w:eastAsia="Times New Roman"/>
      <w:b/>
      <w:snapToGrid/>
      <w:kern w:val="36"/>
      <w:sz w:val="48"/>
      <w:szCs w:val="20"/>
    </w:rPr>
  </w:style>
  <w:style w:type="paragraph" w:customStyle="1" w:styleId="39">
    <w:name w:val="UserStyle_19"/>
    <w:basedOn w:val="1"/>
    <w:link w:val="108"/>
    <w:qFormat/>
    <w:uiPriority w:val="0"/>
    <w:pPr>
      <w:textAlignment w:val="baseline"/>
    </w:pPr>
  </w:style>
  <w:style w:type="paragraph" w:customStyle="1" w:styleId="40">
    <w:name w:val="样式1"/>
    <w:basedOn w:val="1"/>
    <w:link w:val="109"/>
    <w:qFormat/>
    <w:uiPriority w:val="0"/>
    <w:pPr>
      <w:jc w:val="center"/>
    </w:pPr>
    <w:rPr>
      <w:rFonts w:ascii="方正小标宋简体" w:hAnsi="Calibri" w:eastAsia="方正小标宋简体"/>
      <w:kern w:val="2"/>
      <w:sz w:val="44"/>
      <w:szCs w:val="44"/>
    </w:rPr>
  </w:style>
  <w:style w:type="paragraph" w:customStyle="1" w:styleId="41">
    <w:name w:val="段"/>
    <w:link w:val="114"/>
    <w:qFormat/>
    <w:uiPriority w:val="0"/>
    <w:pPr>
      <w:tabs>
        <w:tab w:val="center" w:pos="4201"/>
        <w:tab w:val="right" w:leader="dot" w:pos="9298"/>
      </w:tabs>
      <w:autoSpaceDE w:val="0"/>
      <w:autoSpaceDN w:val="0"/>
      <w:ind w:firstLine="420" w:firstLineChars="200"/>
      <w:jc w:val="both"/>
    </w:pPr>
    <w:rPr>
      <w:rFonts w:ascii="宋体" w:hAnsi="Times New Roman" w:eastAsia="Times New Roman" w:cs="Times New Roman"/>
      <w:sz w:val="21"/>
      <w:lang w:val="en-US" w:eastAsia="zh-CN" w:bidi="ar-SA"/>
    </w:rPr>
  </w:style>
  <w:style w:type="paragraph" w:customStyle="1" w:styleId="42">
    <w:name w:val="!BECC正文"/>
    <w:basedOn w:val="1"/>
    <w:link w:val="116"/>
    <w:qFormat/>
    <w:uiPriority w:val="0"/>
    <w:pPr>
      <w:tabs>
        <w:tab w:val="left" w:pos="0"/>
      </w:tabs>
      <w:spacing w:beforeLines="50" w:afterLines="50" w:line="360" w:lineRule="auto"/>
      <w:ind w:firstLine="480" w:firstLineChars="200"/>
      <w:contextualSpacing/>
    </w:pPr>
    <w:rPr>
      <w:rFonts w:ascii="Times New Roman" w:hAnsi="Times New Roman" w:eastAsia="宋体"/>
      <w:snapToGrid/>
      <w:kern w:val="0"/>
      <w:sz w:val="24"/>
      <w:szCs w:val="24"/>
    </w:rPr>
  </w:style>
  <w:style w:type="paragraph" w:customStyle="1" w:styleId="43">
    <w:name w:val="公文正文"/>
    <w:basedOn w:val="1"/>
    <w:qFormat/>
    <w:uiPriority w:val="0"/>
    <w:pPr>
      <w:adjustRightInd w:val="0"/>
      <w:snapToGrid w:val="0"/>
      <w:spacing w:line="560" w:lineRule="exact"/>
      <w:ind w:firstLine="560" w:firstLineChars="200"/>
    </w:pPr>
  </w:style>
  <w:style w:type="paragraph" w:customStyle="1" w:styleId="44">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customStyle="1" w:styleId="45">
    <w:name w:val="默认段落字体 Para Char Char Char Char Char Char Char"/>
    <w:basedOn w:val="9"/>
    <w:qFormat/>
    <w:uiPriority w:val="0"/>
    <w:pPr>
      <w:adjustRightInd w:val="0"/>
      <w:spacing w:line="436" w:lineRule="exact"/>
      <w:ind w:left="357"/>
      <w:jc w:val="left"/>
      <w:outlineLvl w:val="3"/>
    </w:pPr>
    <w:rPr>
      <w:rFonts w:ascii="Tahoma" w:hAnsi="Tahoma" w:eastAsia="宋体"/>
      <w:b/>
      <w:snapToGrid/>
      <w:kern w:val="2"/>
      <w:sz w:val="24"/>
      <w:szCs w:val="24"/>
    </w:rPr>
  </w:style>
  <w:style w:type="paragraph" w:customStyle="1" w:styleId="46">
    <w:name w:val="Char Char Char Char Char Char Char Char Char Char Char Char Char Char Char Char"/>
    <w:basedOn w:val="1"/>
    <w:qFormat/>
    <w:uiPriority w:val="0"/>
    <w:pPr>
      <w:jc w:val="center"/>
    </w:pPr>
    <w:rPr>
      <w:rFonts w:ascii="Tahoma" w:hAnsi="Tahoma" w:eastAsia="宋体"/>
      <w:snapToGrid/>
      <w:kern w:val="2"/>
      <w:sz w:val="24"/>
      <w:szCs w:val="20"/>
    </w:rPr>
  </w:style>
  <w:style w:type="paragraph" w:customStyle="1" w:styleId="47">
    <w:name w:val="Char Char Char Char Char Char Char Char Char Char Char Char1 Char Char Char Char"/>
    <w:basedOn w:val="1"/>
    <w:qFormat/>
    <w:uiPriority w:val="0"/>
    <w:pPr>
      <w:tabs>
        <w:tab w:val="left" w:pos="432"/>
      </w:tabs>
      <w:spacing w:line="400" w:lineRule="exact"/>
      <w:ind w:left="432" w:hanging="432"/>
    </w:pPr>
    <w:rPr>
      <w:rFonts w:ascii="Times New Roman" w:hAnsi="Times New Roman" w:eastAsia="宋体"/>
      <w:snapToGrid/>
      <w:kern w:val="2"/>
      <w:sz w:val="21"/>
      <w:szCs w:val="20"/>
    </w:rPr>
  </w:style>
  <w:style w:type="paragraph" w:customStyle="1" w:styleId="48">
    <w:name w:val="列表段落1"/>
    <w:basedOn w:val="1"/>
    <w:qFormat/>
    <w:uiPriority w:val="0"/>
    <w:pPr>
      <w:ind w:firstLine="420" w:firstLineChars="200"/>
    </w:pPr>
    <w:rPr>
      <w:rFonts w:ascii="Times New Roman" w:hAnsi="Times New Roman" w:eastAsia="宋体"/>
      <w:snapToGrid/>
      <w:kern w:val="2"/>
      <w:sz w:val="21"/>
      <w:szCs w:val="20"/>
    </w:rPr>
  </w:style>
  <w:style w:type="paragraph" w:customStyle="1" w:styleId="49">
    <w:name w:val="Char"/>
    <w:basedOn w:val="1"/>
    <w:qFormat/>
    <w:uiPriority w:val="0"/>
    <w:rPr>
      <w:rFonts w:eastAsia="宋体" w:cs="Courier New"/>
      <w:snapToGrid/>
      <w:kern w:val="2"/>
    </w:rPr>
  </w:style>
  <w:style w:type="paragraph" w:customStyle="1" w:styleId="50">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customStyle="1" w:styleId="51">
    <w:name w:val="正文 New New New New New New New New New New New New New New New New New New New New New New New New New"/>
    <w:qFormat/>
    <w:uiPriority w:val="0"/>
    <w:pPr>
      <w:widowControl w:val="0"/>
      <w:jc w:val="both"/>
    </w:pPr>
    <w:rPr>
      <w:rFonts w:ascii="Times New Roman" w:hAnsi="Times New Roman" w:eastAsia="宋体" w:cs="黑体"/>
      <w:kern w:val="2"/>
      <w:sz w:val="21"/>
      <w:szCs w:val="22"/>
      <w:lang w:val="en-US" w:eastAsia="zh-CN" w:bidi="ar-SA"/>
    </w:rPr>
  </w:style>
  <w:style w:type="paragraph" w:customStyle="1" w:styleId="52">
    <w:name w:val="TOC 12"/>
    <w:next w:val="1"/>
    <w:qFormat/>
    <w:uiPriority w:val="0"/>
    <w:pPr>
      <w:wordWrap w:val="0"/>
      <w:jc w:val="both"/>
    </w:pPr>
    <w:rPr>
      <w:rFonts w:ascii="Times New Roman" w:hAnsi="Times New Roman" w:eastAsia="宋体" w:cs="Times New Roman"/>
      <w:sz w:val="21"/>
      <w:szCs w:val="22"/>
      <w:lang w:val="en-US" w:eastAsia="zh-CN" w:bidi="ar-SA"/>
    </w:rPr>
  </w:style>
  <w:style w:type="paragraph" w:customStyle="1" w:styleId="53">
    <w:name w:val="WW-日期"/>
    <w:basedOn w:val="1"/>
    <w:next w:val="1"/>
    <w:qFormat/>
    <w:uiPriority w:val="0"/>
    <w:pPr>
      <w:suppressAutoHyphens/>
    </w:pPr>
    <w:rPr>
      <w:rFonts w:ascii="仿宋_GB2312" w:hAnsi="仿宋_GB2312"/>
      <w:snapToGrid/>
      <w:kern w:val="1"/>
      <w:szCs w:val="24"/>
    </w:rPr>
  </w:style>
  <w:style w:type="paragraph" w:customStyle="1" w:styleId="54">
    <w:name w:val="msonormalcxspmiddle"/>
    <w:basedOn w:val="1"/>
    <w:qFormat/>
    <w:uiPriority w:val="0"/>
    <w:pPr>
      <w:widowControl/>
      <w:spacing w:before="100" w:beforeAutospacing="1" w:after="100" w:afterAutospacing="1"/>
      <w:jc w:val="left"/>
    </w:pPr>
    <w:rPr>
      <w:rFonts w:eastAsia="宋体" w:cs="宋体"/>
      <w:snapToGrid/>
      <w:kern w:val="0"/>
      <w:sz w:val="24"/>
      <w:szCs w:val="24"/>
    </w:rPr>
  </w:style>
  <w:style w:type="paragraph" w:customStyle="1" w:styleId="55">
    <w:name w:val="Char Char Char Char Char Char Char Char Char Char Char Char Char"/>
    <w:basedOn w:val="1"/>
    <w:qFormat/>
    <w:uiPriority w:val="0"/>
    <w:rPr>
      <w:rFonts w:ascii="Tahoma" w:hAnsi="Tahoma" w:eastAsia="宋体"/>
      <w:snapToGrid/>
      <w:kern w:val="2"/>
      <w:sz w:val="24"/>
      <w:szCs w:val="20"/>
    </w:rPr>
  </w:style>
  <w:style w:type="paragraph" w:customStyle="1" w:styleId="56">
    <w:name w:val="无间隔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7">
    <w:name w:val="Char1 Char Char Char"/>
    <w:basedOn w:val="1"/>
    <w:qFormat/>
    <w:uiPriority w:val="0"/>
    <w:rPr>
      <w:rFonts w:ascii="Tahoma" w:hAnsi="Tahoma" w:eastAsia="宋体"/>
      <w:snapToGrid/>
      <w:kern w:val="2"/>
      <w:sz w:val="24"/>
      <w:szCs w:val="20"/>
    </w:rPr>
  </w:style>
  <w:style w:type="paragraph" w:customStyle="1" w:styleId="58">
    <w:name w:val="Char1 Char Char Char1"/>
    <w:basedOn w:val="1"/>
    <w:qFormat/>
    <w:uiPriority w:val="0"/>
  </w:style>
  <w:style w:type="paragraph" w:customStyle="1" w:styleId="59">
    <w:name w:val="_Style 5"/>
    <w:basedOn w:val="1"/>
    <w:qFormat/>
    <w:uiPriority w:val="34"/>
    <w:pPr>
      <w:ind w:firstLine="420" w:firstLineChars="200"/>
    </w:pPr>
    <w:rPr>
      <w:rFonts w:ascii="Calibri" w:hAnsi="Calibri" w:eastAsia="宋体"/>
      <w:snapToGrid/>
      <w:kern w:val="2"/>
      <w:sz w:val="21"/>
      <w:szCs w:val="22"/>
    </w:rPr>
  </w:style>
  <w:style w:type="paragraph" w:customStyle="1" w:styleId="60">
    <w:name w:val="msolistparagraph"/>
    <w:basedOn w:val="1"/>
    <w:qFormat/>
    <w:uiPriority w:val="0"/>
    <w:pPr>
      <w:widowControl/>
      <w:spacing w:before="100" w:beforeAutospacing="1" w:after="100" w:afterAutospacing="1"/>
      <w:jc w:val="left"/>
    </w:pPr>
    <w:rPr>
      <w:rFonts w:eastAsia="宋体" w:cs="宋体"/>
      <w:snapToGrid/>
      <w:kern w:val="0"/>
      <w:sz w:val="24"/>
      <w:szCs w:val="24"/>
    </w:rPr>
  </w:style>
  <w:style w:type="paragraph" w:customStyle="1" w:styleId="61">
    <w:name w:val="正文（基准，首行不缩进）"/>
    <w:qFormat/>
    <w:uiPriority w:val="0"/>
    <w:pPr>
      <w:widowControl w:val="0"/>
      <w:autoSpaceDE w:val="0"/>
      <w:autoSpaceDN w:val="0"/>
      <w:adjustRightInd w:val="0"/>
      <w:jc w:val="both"/>
    </w:pPr>
    <w:rPr>
      <w:rFonts w:ascii="Times New Roman" w:hAnsi="Times New Roman" w:eastAsia="宋体" w:cs="Times New Roman"/>
      <w:sz w:val="21"/>
      <w:lang w:val="en-US" w:eastAsia="zh-CN" w:bidi="ar-SA"/>
    </w:rPr>
  </w:style>
  <w:style w:type="paragraph" w:customStyle="1" w:styleId="62">
    <w:name w:val="默认段落字体 Para Char Char Char2 Char Char Char Char Char Char Char Char Char Char"/>
    <w:basedOn w:val="1"/>
    <w:qFormat/>
    <w:uiPriority w:val="0"/>
    <w:rPr>
      <w:rFonts w:eastAsia="宋体" w:cs="Courier New"/>
      <w:snapToGrid/>
      <w:kern w:val="2"/>
    </w:rPr>
  </w:style>
  <w:style w:type="paragraph" w:customStyle="1" w:styleId="63">
    <w:name w:val="Char Char Char Char Char Char Char"/>
    <w:basedOn w:val="1"/>
    <w:qFormat/>
    <w:uiPriority w:val="0"/>
    <w:rPr>
      <w:rFonts w:ascii="Tahoma" w:hAnsi="Tahoma" w:eastAsia="宋体"/>
      <w:snapToGrid/>
      <w:kern w:val="2"/>
      <w:sz w:val="24"/>
      <w:szCs w:val="20"/>
    </w:rPr>
  </w:style>
  <w:style w:type="paragraph" w:customStyle="1" w:styleId="64">
    <w:name w:val="Char11"/>
    <w:basedOn w:val="1"/>
    <w:qFormat/>
    <w:uiPriority w:val="0"/>
    <w:pPr>
      <w:widowControl/>
      <w:spacing w:after="160" w:line="240" w:lineRule="exact"/>
      <w:jc w:val="left"/>
    </w:pPr>
    <w:rPr>
      <w:rFonts w:ascii="Verdana" w:hAnsi="Verdana"/>
      <w:snapToGrid/>
      <w:kern w:val="0"/>
      <w:sz w:val="24"/>
      <w:szCs w:val="20"/>
      <w:lang w:eastAsia="en-US"/>
    </w:rPr>
  </w:style>
  <w:style w:type="paragraph" w:customStyle="1" w:styleId="65">
    <w:name w:val="正文 New"/>
    <w:qFormat/>
    <w:uiPriority w:val="0"/>
    <w:pPr>
      <w:widowControl w:val="0"/>
      <w:jc w:val="both"/>
    </w:pPr>
    <w:rPr>
      <w:rFonts w:ascii="Times New Roman" w:hAnsi="Times New Roman" w:eastAsia="楷体_GB2312" w:cs="Times New Roman"/>
      <w:kern w:val="2"/>
      <w:sz w:val="32"/>
      <w:lang w:val="en-US" w:eastAsia="zh-CN" w:bidi="ar-SA"/>
    </w:rPr>
  </w:style>
  <w:style w:type="paragraph" w:customStyle="1" w:styleId="66">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67">
    <w:name w:val="Char1"/>
    <w:basedOn w:val="1"/>
    <w:qFormat/>
    <w:uiPriority w:val="0"/>
    <w:rPr>
      <w:rFonts w:ascii="Tahoma" w:hAnsi="Tahoma" w:eastAsia="宋体"/>
      <w:snapToGrid/>
      <w:kern w:val="2"/>
      <w:sz w:val="24"/>
      <w:szCs w:val="20"/>
    </w:rPr>
  </w:style>
  <w:style w:type="paragraph" w:customStyle="1" w:styleId="68">
    <w:name w:val="_Style 67"/>
    <w:basedOn w:val="1"/>
    <w:qFormat/>
    <w:uiPriority w:val="34"/>
    <w:pPr>
      <w:ind w:firstLine="420" w:firstLineChars="200"/>
    </w:pPr>
    <w:rPr>
      <w:rFonts w:ascii="Calibri" w:hAnsi="Calibri" w:eastAsia="宋体"/>
      <w:snapToGrid/>
      <w:kern w:val="2"/>
      <w:sz w:val="21"/>
      <w:szCs w:val="22"/>
    </w:rPr>
  </w:style>
  <w:style w:type="paragraph" w:customStyle="1" w:styleId="69">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0">
    <w:name w:val="默认段落字体 Para Char Char Char Char"/>
    <w:basedOn w:val="1"/>
    <w:qFormat/>
    <w:uiPriority w:val="0"/>
    <w:rPr>
      <w:rFonts w:ascii="Times New Roman" w:hAnsi="Times New Roman" w:eastAsia="宋体"/>
      <w:snapToGrid/>
      <w:kern w:val="2"/>
      <w:sz w:val="21"/>
      <w:szCs w:val="24"/>
    </w:rPr>
  </w:style>
  <w:style w:type="paragraph" w:customStyle="1" w:styleId="71">
    <w:name w:val="_Style 70"/>
    <w:unhideWhenUsed/>
    <w:qFormat/>
    <w:uiPriority w:val="99"/>
    <w:rPr>
      <w:rFonts w:ascii="宋体" w:hAnsi="宋体" w:eastAsia="仿宋_GB2312" w:cs="Times New Roman"/>
      <w:snapToGrid w:val="0"/>
      <w:kern w:val="32"/>
      <w:sz w:val="32"/>
      <w:szCs w:val="32"/>
      <w:lang w:val="en-US" w:eastAsia="zh-CN" w:bidi="ar-SA"/>
    </w:rPr>
  </w:style>
  <w:style w:type="paragraph" w:customStyle="1" w:styleId="72">
    <w:name w:val="列出段落1"/>
    <w:basedOn w:val="1"/>
    <w:qFormat/>
    <w:uiPriority w:val="34"/>
    <w:pPr>
      <w:ind w:firstLine="420" w:firstLineChars="200"/>
    </w:pPr>
    <w:rPr>
      <w:rFonts w:ascii="Calibri" w:hAnsi="Calibri" w:eastAsia="宋体"/>
      <w:snapToGrid/>
      <w:kern w:val="2"/>
      <w:sz w:val="21"/>
      <w:szCs w:val="22"/>
    </w:rPr>
  </w:style>
  <w:style w:type="paragraph" w:customStyle="1" w:styleId="73">
    <w:name w:val="WW-正文文字缩进 2"/>
    <w:basedOn w:val="1"/>
    <w:qFormat/>
    <w:uiPriority w:val="0"/>
    <w:pPr>
      <w:suppressAutoHyphens/>
      <w:spacing w:line="276" w:lineRule="auto"/>
      <w:ind w:firstLine="630"/>
    </w:pPr>
    <w:rPr>
      <w:rFonts w:ascii="楷体_GB2312" w:hAnsi="楷体_GB2312" w:eastAsia="宋体"/>
      <w:snapToGrid/>
      <w:kern w:val="1"/>
      <w:szCs w:val="20"/>
    </w:rPr>
  </w:style>
  <w:style w:type="paragraph" w:customStyle="1" w:styleId="74">
    <w:name w:val="PlainText"/>
    <w:basedOn w:val="1"/>
    <w:qFormat/>
    <w:uiPriority w:val="0"/>
    <w:pPr>
      <w:textAlignment w:val="baseline"/>
    </w:pPr>
    <w:rPr>
      <w:rFonts w:hAnsi="Courier New" w:eastAsia="宋体"/>
    </w:rPr>
  </w:style>
  <w:style w:type="paragraph" w:customStyle="1" w:styleId="75">
    <w:name w:val="Char Char Char Char Char Char Char Char Char Char"/>
    <w:basedOn w:val="1"/>
    <w:qFormat/>
    <w:uiPriority w:val="0"/>
    <w:rPr>
      <w:rFonts w:ascii="Tahoma" w:hAnsi="Tahoma" w:eastAsia="宋体"/>
      <w:snapToGrid/>
      <w:kern w:val="2"/>
      <w:sz w:val="24"/>
      <w:szCs w:val="20"/>
    </w:rPr>
  </w:style>
  <w:style w:type="paragraph" w:customStyle="1" w:styleId="76">
    <w:name w:val="Char Char Char Char Char Char"/>
    <w:basedOn w:val="1"/>
    <w:qFormat/>
    <w:uiPriority w:val="0"/>
    <w:pPr>
      <w:widowControl/>
      <w:spacing w:after="160" w:line="240" w:lineRule="exact"/>
      <w:jc w:val="left"/>
    </w:pPr>
    <w:rPr>
      <w:rFonts w:ascii="Arial" w:hAnsi="Arial" w:eastAsia="Times New Roman" w:cs="Verdana"/>
      <w:b/>
      <w:snapToGrid/>
      <w:kern w:val="0"/>
      <w:sz w:val="24"/>
      <w:szCs w:val="20"/>
      <w:lang w:eastAsia="en-US"/>
    </w:rPr>
  </w:style>
  <w:style w:type="paragraph" w:customStyle="1" w:styleId="77">
    <w:name w:val="我的正文"/>
    <w:basedOn w:val="1"/>
    <w:qFormat/>
    <w:uiPriority w:val="0"/>
    <w:pPr>
      <w:ind w:firstLine="200" w:firstLineChars="200"/>
    </w:pPr>
    <w:rPr>
      <w:rFonts w:ascii="Calibri" w:hAnsi="Calibri" w:eastAsia="宋体"/>
      <w:snapToGrid/>
      <w:kern w:val="2"/>
      <w:sz w:val="24"/>
      <w:szCs w:val="22"/>
    </w:rPr>
  </w:style>
  <w:style w:type="paragraph" w:customStyle="1" w:styleId="78">
    <w:name w:val="样式 正文缩进正文（首行缩进两字）正文（首行缩进两字） Char Char Char Char Char Char Char..."/>
    <w:basedOn w:val="7"/>
    <w:qFormat/>
    <w:uiPriority w:val="0"/>
    <w:pPr>
      <w:spacing w:line="312" w:lineRule="auto"/>
      <w:ind w:firstLine="539" w:firstLineChars="0"/>
    </w:pPr>
    <w:rPr>
      <w:rFonts w:ascii="Times New Roman" w:hAnsi="Times New Roman" w:eastAsia="宋体" w:cs="宋体"/>
      <w:snapToGrid/>
      <w:kern w:val="2"/>
      <w:sz w:val="28"/>
      <w:szCs w:val="20"/>
    </w:rPr>
  </w:style>
  <w:style w:type="paragraph" w:customStyle="1" w:styleId="79">
    <w:name w:val="首信标准正文"/>
    <w:basedOn w:val="1"/>
    <w:qFormat/>
    <w:uiPriority w:val="0"/>
    <w:pPr>
      <w:spacing w:line="360" w:lineRule="auto"/>
    </w:pPr>
    <w:rPr>
      <w:rFonts w:ascii="Tahoma" w:hAnsi="Tahoma" w:eastAsia="宋体"/>
      <w:snapToGrid/>
      <w:kern w:val="2"/>
      <w:sz w:val="24"/>
      <w:szCs w:val="20"/>
    </w:rPr>
  </w:style>
  <w:style w:type="paragraph" w:customStyle="1" w:styleId="80">
    <w:name w:val="cjk"/>
    <w:basedOn w:val="1"/>
    <w:qFormat/>
    <w:uiPriority w:val="0"/>
    <w:pPr>
      <w:widowControl/>
      <w:spacing w:before="100" w:beforeAutospacing="1"/>
      <w:jc w:val="center"/>
    </w:pPr>
    <w:rPr>
      <w:rFonts w:eastAsia="宋体"/>
      <w:b/>
      <w:bCs/>
      <w:snapToGrid/>
      <w:kern w:val="0"/>
    </w:rPr>
  </w:style>
  <w:style w:type="paragraph" w:customStyle="1" w:styleId="81">
    <w:name w:val="Char2 Char Char Char Char Char Char"/>
    <w:basedOn w:val="1"/>
    <w:qFormat/>
    <w:uiPriority w:val="0"/>
    <w:pPr>
      <w:snapToGrid w:val="0"/>
      <w:spacing w:line="360" w:lineRule="auto"/>
      <w:ind w:firstLine="200" w:firstLineChars="200"/>
    </w:pPr>
    <w:rPr>
      <w:rFonts w:ascii="Times New Roman" w:hAnsi="Times New Roman"/>
      <w:snapToGrid/>
      <w:kern w:val="2"/>
      <w:sz w:val="24"/>
      <w:szCs w:val="24"/>
    </w:rPr>
  </w:style>
  <w:style w:type="paragraph" w:customStyle="1" w:styleId="82">
    <w:name w:val="List Paragraph1"/>
    <w:basedOn w:val="1"/>
    <w:qFormat/>
    <w:uiPriority w:val="0"/>
    <w:pPr>
      <w:ind w:firstLine="420" w:firstLineChars="200"/>
    </w:pPr>
    <w:rPr>
      <w:rFonts w:ascii="Calibri" w:hAnsi="Calibri" w:eastAsia="宋体" w:cs="Calibri"/>
      <w:snapToGrid/>
      <w:kern w:val="2"/>
      <w:sz w:val="21"/>
      <w:szCs w:val="21"/>
    </w:rPr>
  </w:style>
  <w:style w:type="paragraph" w:customStyle="1" w:styleId="83">
    <w:name w:val="Char Char Char Char"/>
    <w:basedOn w:val="1"/>
    <w:qFormat/>
    <w:uiPriority w:val="0"/>
    <w:rPr>
      <w:rFonts w:ascii="Times New Roman" w:hAnsi="Times New Roman" w:eastAsia="宋体"/>
      <w:snapToGrid/>
      <w:kern w:val="2"/>
      <w:sz w:val="21"/>
      <w:szCs w:val="24"/>
    </w:rPr>
  </w:style>
  <w:style w:type="paragraph" w:customStyle="1" w:styleId="84">
    <w:name w:val="ddddd"/>
    <w:basedOn w:val="1"/>
    <w:qFormat/>
    <w:uiPriority w:val="0"/>
    <w:pPr>
      <w:pageBreakBefore/>
    </w:pPr>
    <w:rPr>
      <w:rFonts w:ascii="Times New Roman" w:hAnsi="Times New Roman" w:eastAsia="宋体"/>
      <w:snapToGrid/>
      <w:kern w:val="2"/>
      <w:sz w:val="21"/>
      <w:szCs w:val="20"/>
    </w:rPr>
  </w:style>
  <w:style w:type="paragraph" w:customStyle="1" w:styleId="85">
    <w:name w:val="Char Char Char Char Char Char Char1"/>
    <w:basedOn w:val="1"/>
    <w:qFormat/>
    <w:uiPriority w:val="0"/>
    <w:rPr>
      <w:rFonts w:eastAsia="宋体" w:cs="Courier New"/>
      <w:snapToGrid/>
      <w:kern w:val="2"/>
    </w:rPr>
  </w:style>
  <w:style w:type="paragraph" w:customStyle="1" w:styleId="86">
    <w:name w:val="正文 New New New"/>
    <w:qFormat/>
    <w:uiPriority w:val="0"/>
    <w:pPr>
      <w:widowControl w:val="0"/>
      <w:jc w:val="both"/>
    </w:pPr>
    <w:rPr>
      <w:rFonts w:ascii="宋体" w:hAnsi="宋体" w:eastAsia="楷体_GB2312" w:cs="Times New Roman"/>
      <w:kern w:val="2"/>
      <w:sz w:val="32"/>
      <w:lang w:val="en-US" w:eastAsia="zh-CN" w:bidi="ar-SA"/>
    </w:rPr>
  </w:style>
  <w:style w:type="paragraph" w:customStyle="1" w:styleId="87">
    <w:name w:val="Char Char2 Char"/>
    <w:basedOn w:val="1"/>
    <w:qFormat/>
    <w:uiPriority w:val="0"/>
    <w:rPr>
      <w:rFonts w:eastAsia="宋体" w:cs="Courier New"/>
      <w:snapToGrid/>
      <w:kern w:val="2"/>
    </w:rPr>
  </w:style>
  <w:style w:type="paragraph" w:customStyle="1" w:styleId="88">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snapToGrid/>
      <w:kern w:val="0"/>
      <w:sz w:val="24"/>
      <w:szCs w:val="20"/>
      <w:lang w:eastAsia="en-US"/>
    </w:rPr>
  </w:style>
  <w:style w:type="paragraph" w:customStyle="1" w:styleId="89">
    <w:name w:val="封面副标题"/>
    <w:qFormat/>
    <w:uiPriority w:val="0"/>
    <w:pPr>
      <w:adjustRightInd w:val="0"/>
      <w:snapToGrid w:val="0"/>
      <w:spacing w:before="156" w:beforeLines="50" w:line="360" w:lineRule="auto"/>
      <w:jc w:val="center"/>
    </w:pPr>
    <w:rPr>
      <w:rFonts w:ascii="Times New Roman" w:hAnsi="Times New Roman" w:eastAsia="黑体" w:cs="Times New Roman"/>
      <w:b/>
      <w:snapToGrid w:val="0"/>
      <w:spacing w:val="20"/>
      <w:sz w:val="52"/>
      <w:lang w:val="en-US" w:eastAsia="zh-CN" w:bidi="ar-SA"/>
    </w:rPr>
  </w:style>
  <w:style w:type="paragraph" w:customStyle="1" w:styleId="90">
    <w:name w:val="规划正文"/>
    <w:basedOn w:val="1"/>
    <w:qFormat/>
    <w:uiPriority w:val="0"/>
    <w:pPr>
      <w:spacing w:after="156" w:afterLines="50" w:line="480" w:lineRule="exact"/>
      <w:ind w:firstLine="200" w:firstLineChars="200"/>
    </w:pPr>
    <w:rPr>
      <w:rFonts w:ascii="仿宋_GB2312" w:hAnsi="Times New Roman"/>
      <w:snapToGrid/>
      <w:kern w:val="2"/>
      <w:sz w:val="30"/>
      <w:szCs w:val="30"/>
    </w:rPr>
  </w:style>
  <w:style w:type="paragraph" w:customStyle="1" w:styleId="91">
    <w:name w:val="Char Char Char Char1"/>
    <w:basedOn w:val="1"/>
    <w:qFormat/>
    <w:uiPriority w:val="0"/>
    <w:pPr>
      <w:adjustRightInd w:val="0"/>
      <w:spacing w:line="360" w:lineRule="auto"/>
    </w:pPr>
    <w:rPr>
      <w:rFonts w:ascii="Times New Roman" w:hAnsi="Times New Roman" w:eastAsia="宋体"/>
      <w:snapToGrid/>
      <w:kern w:val="0"/>
      <w:sz w:val="24"/>
      <w:szCs w:val="20"/>
    </w:rPr>
  </w:style>
  <w:style w:type="paragraph" w:customStyle="1" w:styleId="92">
    <w:name w:val="Char Char1"/>
    <w:basedOn w:val="9"/>
    <w:qFormat/>
    <w:uiPriority w:val="0"/>
    <w:rPr>
      <w:rFonts w:ascii="Tahoma" w:hAnsi="Tahoma" w:eastAsia="宋体"/>
      <w:snapToGrid/>
      <w:kern w:val="2"/>
      <w:sz w:val="24"/>
      <w:szCs w:val="24"/>
    </w:rPr>
  </w:style>
  <w:style w:type="paragraph" w:customStyle="1" w:styleId="93">
    <w:name w:val="_Style 2"/>
    <w:basedOn w:val="1"/>
    <w:qFormat/>
    <w:uiPriority w:val="0"/>
    <w:pPr>
      <w:ind w:firstLine="420" w:firstLineChars="200"/>
    </w:pPr>
    <w:rPr>
      <w:rFonts w:ascii="Calibri" w:hAnsi="Calibri" w:eastAsia="宋体"/>
      <w:snapToGrid/>
      <w:kern w:val="2"/>
      <w:sz w:val="21"/>
      <w:szCs w:val="22"/>
    </w:rPr>
  </w:style>
  <w:style w:type="paragraph" w:customStyle="1" w:styleId="94">
    <w:name w:val="主题词"/>
    <w:basedOn w:val="1"/>
    <w:qFormat/>
    <w:uiPriority w:val="0"/>
    <w:pPr>
      <w:jc w:val="left"/>
    </w:pPr>
    <w:rPr>
      <w:rFonts w:ascii="Times New Roman" w:hAnsi="Times New Roman" w:eastAsia="宋体"/>
      <w:snapToGrid/>
      <w:kern w:val="2"/>
      <w:szCs w:val="20"/>
    </w:rPr>
  </w:style>
  <w:style w:type="paragraph" w:customStyle="1" w:styleId="95">
    <w:name w:val="正文 New New New New New New New New New New New New New New New New New New New New New New New New New New"/>
    <w:qFormat/>
    <w:uiPriority w:val="0"/>
    <w:pPr>
      <w:widowControl w:val="0"/>
      <w:snapToGrid w:val="0"/>
      <w:jc w:val="both"/>
    </w:pPr>
    <w:rPr>
      <w:rFonts w:ascii="宋体" w:hAnsi="宋体" w:eastAsia="仿宋_GB2312" w:cs="Times New Roman"/>
      <w:kern w:val="32"/>
      <w:sz w:val="32"/>
      <w:szCs w:val="32"/>
      <w:lang w:val="en-US" w:eastAsia="zh-CN" w:bidi="ar-SA"/>
    </w:rPr>
  </w:style>
  <w:style w:type="paragraph" w:customStyle="1" w:styleId="96">
    <w:name w:val="样式 三号 首行缩进:  1.13 厘米 行距: 多倍行距 1.25 字行"/>
    <w:basedOn w:val="1"/>
    <w:qFormat/>
    <w:uiPriority w:val="0"/>
    <w:pPr>
      <w:adjustRightInd w:val="0"/>
      <w:snapToGrid w:val="0"/>
      <w:spacing w:line="360" w:lineRule="auto"/>
      <w:ind w:firstLine="200" w:firstLineChars="200"/>
    </w:pPr>
    <w:rPr>
      <w:rFonts w:ascii="Times New Roman" w:hAnsi="Times New Roman"/>
      <w:snapToGrid/>
      <w:kern w:val="2"/>
    </w:rPr>
  </w:style>
  <w:style w:type="character" w:customStyle="1" w:styleId="97">
    <w:name w:val="正文文本 字符"/>
    <w:link w:val="2"/>
    <w:qFormat/>
    <w:uiPriority w:val="0"/>
    <w:rPr>
      <w:rFonts w:ascii="宋体" w:hAnsi="宋体" w:eastAsia="仿宋_GB2312"/>
      <w:snapToGrid/>
      <w:kern w:val="32"/>
      <w:sz w:val="32"/>
      <w:szCs w:val="32"/>
    </w:rPr>
  </w:style>
  <w:style w:type="character" w:customStyle="1" w:styleId="98">
    <w:name w:val="批注文字 字符"/>
    <w:link w:val="10"/>
    <w:qFormat/>
    <w:uiPriority w:val="0"/>
    <w:rPr>
      <w:kern w:val="2"/>
      <w:sz w:val="21"/>
    </w:rPr>
  </w:style>
  <w:style w:type="character" w:customStyle="1" w:styleId="99">
    <w:name w:val="正文文本缩进 字符"/>
    <w:link w:val="11"/>
    <w:qFormat/>
    <w:uiPriority w:val="0"/>
    <w:rPr>
      <w:rFonts w:eastAsia="宋体"/>
      <w:kern w:val="2"/>
      <w:sz w:val="28"/>
      <w:lang w:val="en-US" w:eastAsia="zh-CN" w:bidi="ar-SA"/>
    </w:rPr>
  </w:style>
  <w:style w:type="character" w:customStyle="1" w:styleId="100">
    <w:name w:val="纯文本 字符"/>
    <w:link w:val="14"/>
    <w:qFormat/>
    <w:uiPriority w:val="0"/>
    <w:rPr>
      <w:rFonts w:ascii="宋体" w:hAnsi="Courier New" w:eastAsia="宋体" w:cs="Courier New"/>
      <w:kern w:val="2"/>
      <w:sz w:val="21"/>
      <w:szCs w:val="21"/>
      <w:lang w:val="en-US" w:eastAsia="zh-CN" w:bidi="ar-SA"/>
    </w:rPr>
  </w:style>
  <w:style w:type="character" w:customStyle="1" w:styleId="101">
    <w:name w:val="日期 字符"/>
    <w:link w:val="15"/>
    <w:semiHidden/>
    <w:qFormat/>
    <w:locked/>
    <w:uiPriority w:val="0"/>
    <w:rPr>
      <w:rFonts w:ascii="宋体" w:hAnsi="宋体" w:eastAsia="仿宋_GB2312"/>
      <w:snapToGrid w:val="0"/>
      <w:kern w:val="32"/>
      <w:sz w:val="32"/>
      <w:szCs w:val="32"/>
      <w:lang w:val="en-US" w:eastAsia="zh-CN" w:bidi="ar-SA"/>
    </w:rPr>
  </w:style>
  <w:style w:type="character" w:customStyle="1" w:styleId="102">
    <w:name w:val="页脚 字符"/>
    <w:link w:val="18"/>
    <w:semiHidden/>
    <w:qFormat/>
    <w:locked/>
    <w:uiPriority w:val="0"/>
    <w:rPr>
      <w:rFonts w:ascii="宋体" w:hAnsi="宋体" w:eastAsia="仿宋_GB2312"/>
      <w:snapToGrid w:val="0"/>
      <w:kern w:val="32"/>
      <w:sz w:val="18"/>
      <w:szCs w:val="18"/>
      <w:lang w:val="en-US" w:eastAsia="zh-CN" w:bidi="ar-SA"/>
    </w:rPr>
  </w:style>
  <w:style w:type="character" w:customStyle="1" w:styleId="103">
    <w:name w:val="页眉 字符"/>
    <w:link w:val="20"/>
    <w:semiHidden/>
    <w:qFormat/>
    <w:locked/>
    <w:uiPriority w:val="0"/>
    <w:rPr>
      <w:rFonts w:ascii="宋体" w:hAnsi="宋体" w:eastAsia="仿宋_GB2312"/>
      <w:snapToGrid w:val="0"/>
      <w:kern w:val="32"/>
      <w:sz w:val="18"/>
      <w:szCs w:val="18"/>
      <w:lang w:val="en-US" w:eastAsia="zh-CN" w:bidi="ar-SA"/>
    </w:rPr>
  </w:style>
  <w:style w:type="character" w:customStyle="1" w:styleId="104">
    <w:name w:val="HTML 预设格式 字符"/>
    <w:link w:val="26"/>
    <w:qFormat/>
    <w:locked/>
    <w:uiPriority w:val="0"/>
    <w:rPr>
      <w:rFonts w:ascii="宋体" w:hAnsi="宋体" w:eastAsia="宋体"/>
      <w:sz w:val="24"/>
      <w:szCs w:val="24"/>
      <w:lang w:val="en-US" w:eastAsia="zh-CN" w:bidi="ar-SA"/>
    </w:rPr>
  </w:style>
  <w:style w:type="character" w:customStyle="1" w:styleId="105">
    <w:name w:val="标题 字符"/>
    <w:link w:val="28"/>
    <w:qFormat/>
    <w:locked/>
    <w:uiPriority w:val="0"/>
    <w:rPr>
      <w:rFonts w:ascii="方正小标宋简体" w:hAnsi="Arial" w:eastAsia="方正小标宋简体" w:cs="Arial"/>
      <w:bCs/>
      <w:snapToGrid w:val="0"/>
      <w:kern w:val="44"/>
      <w:sz w:val="44"/>
      <w:szCs w:val="44"/>
      <w:lang w:val="en-US" w:eastAsia="zh-CN" w:bidi="ar-SA"/>
    </w:rPr>
  </w:style>
  <w:style w:type="character" w:customStyle="1" w:styleId="106">
    <w:name w:val="批注主题 字符"/>
    <w:link w:val="29"/>
    <w:qFormat/>
    <w:uiPriority w:val="0"/>
    <w:rPr>
      <w:rFonts w:ascii="宋体" w:hAnsi="宋体" w:eastAsia="仿宋_GB2312"/>
      <w:b/>
      <w:bCs/>
      <w:snapToGrid/>
      <w:kern w:val="32"/>
      <w:sz w:val="32"/>
      <w:szCs w:val="32"/>
    </w:rPr>
  </w:style>
  <w:style w:type="character" w:customStyle="1" w:styleId="107">
    <w:name w:val="标题 1 Char New"/>
    <w:link w:val="38"/>
    <w:qFormat/>
    <w:locked/>
    <w:uiPriority w:val="0"/>
    <w:rPr>
      <w:rFonts w:ascii="宋体" w:hAnsi="宋体"/>
      <w:b/>
      <w:kern w:val="36"/>
      <w:sz w:val="48"/>
      <w:lang w:bidi="ar-SA"/>
    </w:rPr>
  </w:style>
  <w:style w:type="character" w:customStyle="1" w:styleId="108">
    <w:name w:val="NormalCharacter"/>
    <w:link w:val="39"/>
    <w:qFormat/>
    <w:uiPriority w:val="0"/>
  </w:style>
  <w:style w:type="character" w:customStyle="1" w:styleId="109">
    <w:name w:val="样式1 Char Char"/>
    <w:link w:val="40"/>
    <w:qFormat/>
    <w:uiPriority w:val="0"/>
    <w:rPr>
      <w:rFonts w:ascii="方正小标宋简体" w:hAnsi="Calibri" w:eastAsia="方正小标宋简体"/>
      <w:kern w:val="2"/>
      <w:sz w:val="44"/>
      <w:szCs w:val="44"/>
      <w:lang w:val="en-US" w:eastAsia="zh-CN" w:bidi="ar-SA"/>
    </w:rPr>
  </w:style>
  <w:style w:type="character" w:customStyle="1" w:styleId="110">
    <w:name w:val="oalinshistyle21"/>
    <w:qFormat/>
    <w:uiPriority w:val="0"/>
    <w:rPr>
      <w:rFonts w:hint="default" w:ascii="Arial" w:hAnsi="Arial" w:cs="Arial"/>
      <w:sz w:val="27"/>
      <w:szCs w:val="27"/>
    </w:rPr>
  </w:style>
  <w:style w:type="character" w:customStyle="1" w:styleId="111">
    <w:name w:val="font191"/>
    <w:qFormat/>
    <w:uiPriority w:val="0"/>
    <w:rPr>
      <w:rFonts w:hint="default" w:ascii="Times New Roman" w:hAnsi="Times New Roman" w:cs="Times New Roman"/>
      <w:color w:val="000000"/>
      <w:sz w:val="20"/>
      <w:szCs w:val="20"/>
      <w:u w:val="none"/>
    </w:rPr>
  </w:style>
  <w:style w:type="character" w:customStyle="1" w:styleId="112">
    <w:name w:val="font1"/>
    <w:qFormat/>
    <w:uiPriority w:val="0"/>
    <w:rPr>
      <w:sz w:val="18"/>
      <w:szCs w:val="18"/>
    </w:rPr>
  </w:style>
  <w:style w:type="character" w:customStyle="1" w:styleId="113">
    <w:name w:val="Plain Text Char"/>
    <w:qFormat/>
    <w:uiPriority w:val="0"/>
    <w:rPr>
      <w:rFonts w:ascii="宋体" w:hAnsi="Courier New" w:eastAsia="宋体" w:cs="Courier New"/>
      <w:sz w:val="21"/>
      <w:szCs w:val="21"/>
    </w:rPr>
  </w:style>
  <w:style w:type="character" w:customStyle="1" w:styleId="114">
    <w:name w:val="段 Char"/>
    <w:link w:val="41"/>
    <w:qFormat/>
    <w:uiPriority w:val="0"/>
    <w:rPr>
      <w:rFonts w:ascii="宋体" w:eastAsia="Times New Roman"/>
      <w:sz w:val="21"/>
      <w:lang w:val="en-US" w:eastAsia="zh-CN" w:bidi="ar-SA"/>
    </w:rPr>
  </w:style>
  <w:style w:type="character" w:customStyle="1" w:styleId="115">
    <w:name w:val="heise_12c"/>
    <w:qFormat/>
    <w:uiPriority w:val="0"/>
  </w:style>
  <w:style w:type="character" w:customStyle="1" w:styleId="116">
    <w:name w:val="!BECC正文 Char"/>
    <w:link w:val="42"/>
    <w:qFormat/>
    <w:uiPriority w:val="0"/>
    <w:rPr>
      <w:rFonts w:eastAsia="宋体"/>
      <w:sz w:val="24"/>
      <w:szCs w:val="24"/>
      <w:lang w:bidi="ar-SA"/>
    </w:rPr>
  </w:style>
  <w:style w:type="character" w:customStyle="1" w:styleId="117">
    <w:name w:val="font171"/>
    <w:qFormat/>
    <w:uiPriority w:val="0"/>
    <w:rPr>
      <w:rFonts w:hint="eastAsia" w:ascii="仿宋_GB2312" w:eastAsia="仿宋_GB2312" w:cs="仿宋_GB2312"/>
      <w:color w:val="000000"/>
      <w:sz w:val="18"/>
      <w:szCs w:val="18"/>
      <w:u w:val="none"/>
    </w:rPr>
  </w:style>
  <w:style w:type="character" w:customStyle="1" w:styleId="118">
    <w:name w:val="content"/>
    <w:qFormat/>
    <w:uiPriority w:val="0"/>
  </w:style>
  <w:style w:type="character" w:customStyle="1" w:styleId="119">
    <w:name w:val="font131"/>
    <w:qFormat/>
    <w:uiPriority w:val="0"/>
    <w:rPr>
      <w:rFonts w:hint="eastAsia" w:ascii="宋体" w:hAnsi="宋体" w:eastAsia="宋体" w:cs="宋体"/>
      <w:color w:val="000000"/>
      <w:sz w:val="20"/>
      <w:szCs w:val="20"/>
      <w:u w:val="none"/>
    </w:rPr>
  </w:style>
  <w:style w:type="character" w:customStyle="1" w:styleId="120">
    <w:name w:val="font121"/>
    <w:qFormat/>
    <w:uiPriority w:val="0"/>
    <w:rPr>
      <w:rFonts w:hint="eastAsia" w:ascii="宋体" w:hAnsi="宋体" w:eastAsia="宋体" w:cs="宋体"/>
      <w:color w:val="000000"/>
      <w:sz w:val="18"/>
      <w:szCs w:val="18"/>
      <w:u w:val="none"/>
    </w:rPr>
  </w:style>
  <w:style w:type="character" w:customStyle="1" w:styleId="121">
    <w:name w:val="font141"/>
    <w:qFormat/>
    <w:uiPriority w:val="0"/>
    <w:rPr>
      <w:rFonts w:hint="eastAsia" w:ascii="宋体" w:hAnsi="宋体" w:eastAsia="宋体" w:cs="宋体"/>
      <w:color w:val="000000"/>
      <w:sz w:val="18"/>
      <w:szCs w:val="18"/>
      <w:u w:val="none"/>
    </w:rPr>
  </w:style>
  <w:style w:type="character" w:customStyle="1" w:styleId="122">
    <w:name w:val="content1"/>
    <w:qFormat/>
    <w:uiPriority w:val="0"/>
    <w:rPr>
      <w:sz w:val="21"/>
      <w:szCs w:val="21"/>
    </w:rPr>
  </w:style>
  <w:style w:type="character" w:customStyle="1" w:styleId="123">
    <w:name w:val="font11"/>
    <w:qFormat/>
    <w:uiPriority w:val="0"/>
    <w:rPr>
      <w:rFonts w:ascii="Calibri" w:hAnsi="Calibri" w:cs="Calibri"/>
      <w:color w:val="0D0D0D"/>
      <w:sz w:val="24"/>
      <w:szCs w:val="24"/>
      <w:u w:val="none"/>
    </w:rPr>
  </w:style>
  <w:style w:type="character" w:customStyle="1" w:styleId="124">
    <w:name w:val="font91"/>
    <w:qFormat/>
    <w:uiPriority w:val="0"/>
    <w:rPr>
      <w:rFonts w:hint="default" w:ascii="Calibri" w:hAnsi="Calibri" w:cs="Calibri"/>
      <w:color w:val="000000"/>
      <w:sz w:val="18"/>
      <w:szCs w:val="18"/>
      <w:u w:val="none"/>
    </w:rPr>
  </w:style>
  <w:style w:type="character" w:customStyle="1" w:styleId="125">
    <w:name w:val="apple-style-span"/>
    <w:qFormat/>
    <w:uiPriority w:val="0"/>
  </w:style>
  <w:style w:type="character" w:customStyle="1" w:styleId="126">
    <w:name w:val="bz_12"/>
    <w:qFormat/>
    <w:uiPriority w:val="0"/>
  </w:style>
  <w:style w:type="paragraph" w:customStyle="1" w:styleId="127">
    <w:name w:val="修订1"/>
    <w:hidden/>
    <w:semiHidden/>
    <w:qFormat/>
    <w:uiPriority w:val="99"/>
    <w:rPr>
      <w:rFonts w:ascii="宋体" w:hAnsi="宋体" w:eastAsia="仿宋_GB2312" w:cs="Times New Roman"/>
      <w:snapToGrid w:val="0"/>
      <w:kern w:val="3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bgs</Company>
  <Pages>14</Pages>
  <Words>6473</Words>
  <Characters>6756</Characters>
  <Lines>48</Lines>
  <Paragraphs>13</Paragraphs>
  <TotalTime>1</TotalTime>
  <ScaleCrop>false</ScaleCrop>
  <LinksUpToDate>false</LinksUpToDate>
  <CharactersWithSpaces>6792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2022-12-08T14:48:00Z</dcterms:created>
  <dc:creator>zy</dc:creator>
  <cp:lastModifiedBy>jin</cp:lastModifiedBy>
  <cp:lastPrinted>2022-12-14T08:00:00Z</cp:lastPrinted>
  <dcterms:modified xsi:type="dcterms:W3CDTF">2022-12-16T14:18:56Z</dcterms:modified>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BE0ACE088560407FAF0C27780F469CD0</vt:lpwstr>
  </property>
</Properties>
</file>