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附件2</w:t>
      </w: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本市非居民厨余垃圾处理收费调整方案</w:t>
      </w:r>
    </w:p>
    <w:p>
      <w:pPr>
        <w:spacing w:line="560" w:lineRule="exact"/>
        <w:jc w:val="center"/>
        <w:rPr>
          <w:b/>
          <w:bCs/>
          <w:snapToGrid/>
          <w:kern w:val="2"/>
        </w:rPr>
      </w:pPr>
      <w:r>
        <w:rPr>
          <w:rFonts w:hint="eastAsia"/>
          <w:bCs/>
          <w:snapToGrid/>
          <w:kern w:val="2"/>
        </w:rPr>
        <w:t>(</w:t>
      </w:r>
      <w:r>
        <w:rPr>
          <w:bCs/>
          <w:snapToGrid/>
          <w:kern w:val="2"/>
        </w:rPr>
        <w:t>征求</w:t>
      </w:r>
      <w:r>
        <w:rPr>
          <w:rFonts w:hint="eastAsia"/>
          <w:bCs/>
          <w:snapToGrid/>
          <w:kern w:val="2"/>
        </w:rPr>
        <w:t>意见稿)</w:t>
      </w:r>
    </w:p>
    <w:p>
      <w:pPr>
        <w:spacing w:line="560" w:lineRule="exact"/>
        <w:rPr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为发挥价格机制作用，促进生活垃圾减量、分类和资源化利用，按照《北京市生活垃圾管理条例》《北京市反食品浪费规定》和《</w:t>
      </w:r>
      <w:r>
        <w:rPr>
          <w:rStyle w:val="9"/>
          <w:rFonts w:hint="eastAsia" w:ascii="仿宋_GB2312" w:hAnsi="仿宋_GB2312" w:cs="仿宋_GB2312"/>
        </w:rPr>
        <w:t>国家发展改革委</w:t>
      </w:r>
      <w:r>
        <w:rPr>
          <w:rStyle w:val="9"/>
          <w:rFonts w:ascii="仿宋_GB2312" w:hAnsi="仿宋_GB2312" w:cs="仿宋_GB2312"/>
        </w:rPr>
        <w:t xml:space="preserve"> </w:t>
      </w:r>
      <w:r>
        <w:rPr>
          <w:rStyle w:val="9"/>
          <w:rFonts w:hint="eastAsia" w:ascii="仿宋_GB2312" w:hAnsi="仿宋_GB2312" w:cs="仿宋_GB2312"/>
        </w:rPr>
        <w:t>住房城乡建设部关于推进非居民厨余垃圾处理计量收费的指导意见</w:t>
      </w:r>
      <w:r>
        <w:rPr>
          <w:rFonts w:hint="eastAsia" w:ascii="仿宋_GB2312" w:hAnsi="仿宋_GB2312" w:cs="仿宋_GB2312"/>
        </w:rPr>
        <w:t>》（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bidi="ar"/>
        </w:rPr>
        <w:t>发改价格〔</w:t>
      </w:r>
      <w:r>
        <w:rPr>
          <w:rFonts w:ascii="仿宋_GB2312" w:hAnsi="仿宋_GB2312" w:eastAsia="仿宋_GB2312" w:cs="仿宋_GB2312"/>
          <w:kern w:val="32"/>
          <w:sz w:val="32"/>
          <w:szCs w:val="32"/>
          <w:lang w:bidi="ar"/>
        </w:rPr>
        <w:t>2021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bidi="ar"/>
        </w:rPr>
        <w:t>〕</w:t>
      </w:r>
      <w:r>
        <w:rPr>
          <w:rFonts w:ascii="仿宋_GB2312" w:hAnsi="仿宋_GB2312" w:eastAsia="仿宋_GB2312" w:cs="仿宋_GB2312"/>
          <w:kern w:val="32"/>
          <w:sz w:val="32"/>
          <w:szCs w:val="32"/>
          <w:lang w:bidi="ar"/>
        </w:rPr>
        <w:t>977</w:t>
      </w:r>
      <w:r>
        <w:rPr>
          <w:rFonts w:hint="eastAsia" w:ascii="仿宋_GB2312" w:hAnsi="仿宋_GB2312" w:eastAsia="仿宋_GB2312" w:cs="仿宋_GB2312"/>
          <w:kern w:val="32"/>
          <w:sz w:val="32"/>
          <w:szCs w:val="32"/>
          <w:lang w:bidi="ar"/>
        </w:rPr>
        <w:t>号</w:t>
      </w:r>
      <w:r>
        <w:rPr>
          <w:rFonts w:hint="eastAsia" w:ascii="仿宋_GB2312" w:hAnsi="仿宋_GB2312" w:cs="仿宋_GB2312"/>
        </w:rPr>
        <w:t>）等法规文件，研究提出本市非居民厨余垃圾处理收费调整方案。</w:t>
      </w:r>
    </w:p>
    <w:p>
      <w:pPr>
        <w:spacing w:line="560" w:lineRule="exact"/>
        <w:ind w:firstLine="640" w:firstLineChars="200"/>
        <w:rPr>
          <w:rFonts w:eastAsia="黑体" w:cs="黑体"/>
        </w:rPr>
      </w:pPr>
      <w:r>
        <w:rPr>
          <w:rFonts w:hint="eastAsia" w:eastAsia="黑体" w:cs="黑体"/>
        </w:rPr>
        <w:t>一、基本情况</w:t>
      </w:r>
    </w:p>
    <w:p>
      <w:pPr>
        <w:spacing w:line="560" w:lineRule="exact"/>
        <w:ind w:firstLine="640" w:firstLineChars="200"/>
        <w:rPr>
          <w:rFonts w:eastAsia="楷体_GB2312" w:cs="楷体_GB2312"/>
        </w:rPr>
      </w:pPr>
      <w:r>
        <w:rPr>
          <w:rFonts w:hint="eastAsia" w:eastAsia="楷体_GB2312" w:cs="楷体_GB2312"/>
        </w:rPr>
        <w:t>（一）现行收费政策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本市现行非居民厨余垃圾处理收费标准于2013年制定，</w:t>
      </w:r>
      <w:r>
        <w:rPr>
          <w:rFonts w:hint="eastAsia" w:ascii="仿宋_GB2312" w:hAnsi="仿宋_GB2312" w:cs="仿宋_GB2312"/>
          <w:color w:val="auto"/>
        </w:rPr>
        <w:t>为100元/吨，</w:t>
      </w:r>
      <w:r>
        <w:rPr>
          <w:rFonts w:hint="eastAsia" w:ascii="仿宋_GB2312"/>
        </w:rPr>
        <w:t>厨余垃圾处理费用可按重量计量收取，也可按容积计量收取，根据</w:t>
      </w:r>
      <w:r>
        <w:rPr>
          <w:rFonts w:ascii="仿宋_GB2312"/>
        </w:rPr>
        <w:t>市城市管理委公布的</w:t>
      </w:r>
      <w:r>
        <w:rPr>
          <w:rFonts w:hint="eastAsia" w:ascii="仿宋_GB2312"/>
        </w:rPr>
        <w:t>折算</w:t>
      </w:r>
      <w:r>
        <w:rPr>
          <w:rFonts w:ascii="仿宋_GB2312"/>
        </w:rPr>
        <w:t>系数，</w:t>
      </w:r>
      <w:r>
        <w:rPr>
          <w:rFonts w:hint="eastAsia" w:ascii="仿宋_GB2312" w:hAnsi="仿宋_GB2312" w:cs="仿宋_GB2312"/>
        </w:rPr>
        <w:t>折合每桶（120升，下同）为11元。</w:t>
      </w:r>
    </w:p>
    <w:p>
      <w:pPr>
        <w:spacing w:line="560" w:lineRule="exact"/>
        <w:ind w:firstLine="640" w:firstLineChars="200"/>
        <w:rPr>
          <w:rFonts w:eastAsia="楷体_GB2312" w:cs="楷体_GB2312"/>
        </w:rPr>
      </w:pPr>
      <w:r>
        <w:rPr>
          <w:rFonts w:hint="eastAsia" w:eastAsia="楷体_GB2312" w:cs="楷体_GB2312"/>
        </w:rPr>
        <w:t>（二）成本情况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根据成本调查情况，2019年本市非居民厨余垃圾运输和处理平均成本为563元/吨。其中，运输成本平均为210元/吨，处理成本平均为353元/吨。按照国家规定的增值税率及本市2018-2019年水利、环境和公共设施管理业利润率（2.08%）计算，非居民厨余垃圾运输处理价格为594元/吨。</w:t>
      </w:r>
    </w:p>
    <w:p>
      <w:pPr>
        <w:pStyle w:val="2"/>
        <w:spacing w:after="0" w:line="560" w:lineRule="exact"/>
        <w:ind w:firstLine="640" w:firstLineChars="200"/>
        <w:rPr>
          <w:rFonts w:eastAsia="楷体_GB2312" w:cs="楷体_GB2312"/>
        </w:rPr>
      </w:pPr>
      <w:r>
        <w:rPr>
          <w:rFonts w:hint="eastAsia" w:eastAsia="楷体_GB2312" w:cs="楷体_GB2312"/>
        </w:rPr>
        <w:t>（三）外省市情况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据了解，目前全国仅北京、上海及浙江省部分城市对非居民厨余垃圾实行计量</w:t>
      </w:r>
      <w:r>
        <w:rPr>
          <w:rFonts w:ascii="仿宋_GB2312" w:hAnsi="仿宋_GB2312" w:cs="仿宋_GB2312"/>
        </w:rPr>
        <w:t>收费</w:t>
      </w:r>
      <w:r>
        <w:rPr>
          <w:rFonts w:hint="eastAsia" w:ascii="仿宋_GB2312" w:hAnsi="仿宋_GB2312" w:cs="仿宋_GB2312"/>
        </w:rPr>
        <w:t>。例如，上海市非居民厨余垃圾处理费按标准桶（240升）计收，基数</w:t>
      </w:r>
      <w:r>
        <w:rPr>
          <w:rStyle w:val="11"/>
          <w:rFonts w:hint="eastAsia" w:ascii="仿宋_GB2312" w:hAnsi="仿宋_GB2312" w:cs="仿宋_GB2312"/>
        </w:rPr>
        <w:footnoteReference w:id="0"/>
      </w:r>
      <w:r>
        <w:rPr>
          <w:rFonts w:hint="eastAsia" w:ascii="仿宋_GB2312" w:hAnsi="仿宋_GB2312" w:cs="仿宋_GB2312"/>
        </w:rPr>
        <w:t>内每桶最高为60元，基数外每桶最高为120元；杭州市非居民厨余垃圾处理费按重量或容积计收，每吨折算为10桶（120升桶），基数内为240元/吨（24元/桶），基数外为360元/吨（36元/桶）。</w:t>
      </w:r>
    </w:p>
    <w:p>
      <w:pPr>
        <w:spacing w:line="560" w:lineRule="exact"/>
        <w:ind w:firstLine="640" w:firstLineChars="200"/>
        <w:rPr>
          <w:rFonts w:eastAsia="黑体" w:cs="楷体"/>
          <w:bCs/>
        </w:rPr>
      </w:pPr>
      <w:r>
        <w:rPr>
          <w:rFonts w:hint="eastAsia" w:eastAsia="黑体" w:cs="楷体"/>
          <w:bCs/>
        </w:rPr>
        <w:t>二、调整方案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（一）总体思路</w:t>
      </w:r>
    </w:p>
    <w:p>
      <w:pPr>
        <w:spacing w:line="560" w:lineRule="exact"/>
        <w:ind w:firstLine="640" w:firstLineChars="200"/>
      </w:pPr>
      <w:r>
        <w:t>非居民厨余垃圾处理收费调整</w:t>
      </w:r>
      <w:r>
        <w:rPr>
          <w:rFonts w:hint="eastAsia"/>
        </w:rPr>
        <w:t>立足于促进粮食节约</w:t>
      </w:r>
      <w:r>
        <w:t>和环境</w:t>
      </w:r>
      <w:r>
        <w:rPr>
          <w:rFonts w:hint="eastAsia"/>
        </w:rPr>
        <w:t>保护</w:t>
      </w:r>
      <w:r>
        <w:t>，</w:t>
      </w:r>
      <w:r>
        <w:rPr>
          <w:rFonts w:hint="eastAsia"/>
        </w:rPr>
        <w:t>按照产生者付费原则，建立差别化收费机制，推进厨余</w:t>
      </w:r>
      <w:r>
        <w:t>垃圾</w:t>
      </w:r>
      <w:r>
        <w:rPr>
          <w:rFonts w:hint="eastAsia"/>
        </w:rPr>
        <w:t>全流程管理系统建设</w:t>
      </w:r>
      <w:r>
        <w:t>，</w:t>
      </w:r>
      <w:r>
        <w:rPr>
          <w:rFonts w:hint="eastAsia"/>
        </w:rPr>
        <w:t>引导餐饮服务单位主动采取源头减量措施，激发全社会力量，共同促进</w:t>
      </w:r>
      <w:r>
        <w:t>形成绿色发展</w:t>
      </w:r>
      <w:r>
        <w:rPr>
          <w:rFonts w:hint="eastAsia"/>
        </w:rPr>
        <w:t>的</w:t>
      </w:r>
      <w:r>
        <w:t>生产方式和生活方式。</w:t>
      </w:r>
    </w:p>
    <w:p>
      <w:pPr>
        <w:pStyle w:val="2"/>
        <w:spacing w:after="0" w:line="560" w:lineRule="exact"/>
        <w:ind w:firstLine="64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（二）调整原则</w:t>
      </w:r>
    </w:p>
    <w:p>
      <w:pPr>
        <w:spacing w:line="560" w:lineRule="exact"/>
        <w:ind w:firstLine="640" w:firstLineChars="200"/>
      </w:pPr>
      <w:r>
        <w:rPr>
          <w:rFonts w:hint="eastAsia" w:ascii="仿宋_GB2312"/>
        </w:rPr>
        <w:t>1.坚持激励约束并重</w:t>
      </w:r>
      <w:r>
        <w:rPr>
          <w:rFonts w:hint="eastAsia" w:ascii="仿宋_GB2312"/>
          <w:b w:val="0"/>
          <w:bCs/>
        </w:rPr>
        <w:t>。</w:t>
      </w:r>
      <w:r>
        <w:rPr>
          <w:rFonts w:hint="eastAsia" w:ascii="仿宋_GB2312"/>
        </w:rPr>
        <w:t>逐步</w:t>
      </w:r>
      <w:r>
        <w:rPr>
          <w:rFonts w:hint="eastAsia"/>
        </w:rPr>
        <w:t>建立定额管理和差别化收费机制，实际垃圾产生量低于定额标准的执行较低价格，高于定额标准的实行加价，拉大价格级差，体现有奖有罚，充分发挥价格激励</w:t>
      </w:r>
      <w:r>
        <w:t>约束</w:t>
      </w:r>
      <w:r>
        <w:rPr>
          <w:rFonts w:hint="eastAsia"/>
        </w:rPr>
        <w:t>作用，促进厨</w:t>
      </w:r>
      <w:bookmarkStart w:id="0" w:name="_GoBack"/>
      <w:bookmarkEnd w:id="0"/>
      <w:r>
        <w:rPr>
          <w:rFonts w:hint="eastAsia"/>
        </w:rPr>
        <w:t>余</w:t>
      </w:r>
      <w:r>
        <w:t>垃圾源头减量</w:t>
      </w:r>
      <w:r>
        <w:rPr>
          <w:rFonts w:hint="eastAsia"/>
        </w:rPr>
        <w:t>。</w:t>
      </w:r>
    </w:p>
    <w:p>
      <w:pPr>
        <w:spacing w:line="560" w:lineRule="exact"/>
        <w:ind w:firstLine="640" w:firstLineChars="200"/>
        <w:rPr>
          <w:rFonts w:ascii="仿宋_GB2312"/>
          <w:bCs/>
        </w:rPr>
      </w:pPr>
      <w:r>
        <w:rPr>
          <w:rFonts w:hint="eastAsia" w:ascii="仿宋_GB2312"/>
        </w:rPr>
        <w:t>2.坚持分步分类实施。目前</w:t>
      </w:r>
      <w:r>
        <w:rPr>
          <w:rFonts w:ascii="仿宋_GB2312"/>
        </w:rPr>
        <w:t>本市非居民厨余垃圾收费水平</w:t>
      </w:r>
      <w:r>
        <w:rPr>
          <w:rFonts w:hint="eastAsia" w:ascii="仿宋_GB2312"/>
        </w:rPr>
        <w:t>与</w:t>
      </w:r>
      <w:r>
        <w:rPr>
          <w:rFonts w:ascii="仿宋_GB2312"/>
        </w:rPr>
        <w:t>成本差距较大，</w:t>
      </w:r>
      <w:r>
        <w:rPr>
          <w:rFonts w:hint="eastAsia" w:ascii="仿宋_GB2312"/>
        </w:rPr>
        <w:t>统筹</w:t>
      </w:r>
      <w:r>
        <w:rPr>
          <w:rFonts w:hint="eastAsia" w:ascii="仿宋_GB2312"/>
          <w:bCs/>
        </w:rPr>
        <w:t>考虑餐饮服务</w:t>
      </w:r>
      <w:r>
        <w:rPr>
          <w:rFonts w:ascii="仿宋_GB2312"/>
          <w:bCs/>
        </w:rPr>
        <w:t>单位</w:t>
      </w:r>
      <w:r>
        <w:rPr>
          <w:rFonts w:hint="eastAsia" w:ascii="仿宋_GB2312"/>
          <w:bCs/>
        </w:rPr>
        <w:t>承受能力、</w:t>
      </w:r>
      <w:r>
        <w:rPr>
          <w:rFonts w:ascii="仿宋_GB2312"/>
          <w:bCs/>
        </w:rPr>
        <w:t>行业管理现状等因素</w:t>
      </w:r>
      <w:r>
        <w:rPr>
          <w:rFonts w:hint="eastAsia" w:ascii="仿宋_GB2312"/>
          <w:bCs/>
        </w:rPr>
        <w:t>，按照逐步到位的原则，合理控制调价水平，分步分类</w:t>
      </w:r>
      <w:r>
        <w:rPr>
          <w:rFonts w:ascii="仿宋_GB2312"/>
          <w:bCs/>
        </w:rPr>
        <w:t>实施</w:t>
      </w:r>
      <w:r>
        <w:rPr>
          <w:rFonts w:hint="eastAsia" w:ascii="仿宋_GB2312"/>
          <w:bCs/>
        </w:rPr>
        <w:t>差别化收费政策。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/>
        </w:rPr>
        <w:t>3.坚持</w:t>
      </w:r>
      <w:r>
        <w:rPr>
          <w:rFonts w:hint="eastAsia" w:ascii="仿宋_GB2312" w:hAnsi="仿宋_GB2312" w:cs="仿宋_GB2312"/>
        </w:rPr>
        <w:t>统筹协调推进。价格调整与提升行业管理服务水平同步推进，以计量收费和定额管理为抓手，建立健全非居民厨余垃圾收集、运输、处理全流程管理体系，</w:t>
      </w:r>
      <w:r>
        <w:rPr>
          <w:rFonts w:hint="eastAsia"/>
        </w:rPr>
        <w:t>实现厨余垃圾应收尽收、无害化处理和资源化利用，</w:t>
      </w:r>
      <w:r>
        <w:rPr>
          <w:rFonts w:hint="eastAsia" w:ascii="仿宋_GB2312" w:hAnsi="仿宋_GB2312" w:cs="仿宋_GB2312"/>
        </w:rPr>
        <w:t>提升运输处理服务质量，促进行业精细化管理水平提升。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</w:rPr>
      </w:pPr>
      <w:r>
        <w:rPr>
          <w:rFonts w:hint="eastAsia" w:ascii="楷体_GB2312" w:hAnsi="楷体_GB2312" w:eastAsia="楷体_GB2312" w:cs="楷体_GB2312"/>
          <w:bCs/>
        </w:rPr>
        <w:t>（三）方案内容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1.非居民厨余垃圾处理费收费标准调整为300元/吨（33元/桶，含运输、处理环节，下同），覆盖约50%的成本。所有非居民单位产生的厨余垃圾均按此标准实行计量收费。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</w:rPr>
        <w:t>2.实施差别化收费机制，具体为：实际厨余垃圾产生量低于定额标准50%的（含50%），按200元/吨（22元/桶）计收，基本覆盖运输成本。实际垃圾产生量在定额标准50%～100%之间的（含100%），按300元/吨（33元/桶）计收，实际垃圾产生量超过定额标准的，</w:t>
      </w:r>
      <w:r>
        <w:rPr>
          <w:rFonts w:hint="eastAsia" w:ascii="仿宋_GB2312" w:hAnsi="仿宋_GB2312" w:cs="仿宋_GB2312"/>
          <w:color w:val="auto"/>
        </w:rPr>
        <w:t>定额</w:t>
      </w:r>
      <w:r>
        <w:rPr>
          <w:rFonts w:ascii="仿宋_GB2312" w:hAnsi="仿宋_GB2312" w:cs="仿宋_GB2312"/>
          <w:color w:val="auto"/>
        </w:rPr>
        <w:t>内按</w:t>
      </w:r>
      <w:r>
        <w:rPr>
          <w:rFonts w:hint="eastAsia" w:ascii="仿宋_GB2312" w:hAnsi="仿宋_GB2312" w:cs="仿宋_GB2312"/>
          <w:color w:val="auto"/>
        </w:rPr>
        <w:t>300元/吨（33元/桶）计收，超过部分按600元/吨（66元/桶）计收，补偿成本和合理收益。定额标准由城市管理部门确定。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color w:val="auto"/>
        </w:rPr>
        <w:t>为提高定额管理的科学性、合理性和可操作性，先行对党政机关、部队、学校、</w:t>
      </w:r>
      <w:r>
        <w:rPr>
          <w:rFonts w:hint="eastAsia" w:ascii="仿宋_GB2312" w:hAnsi="仿宋_GB2312" w:cs="仿宋_GB2312"/>
          <w:color w:val="auto"/>
          <w:highlight w:val="none"/>
        </w:rPr>
        <w:t>企业</w:t>
      </w:r>
      <w:r>
        <w:rPr>
          <w:rFonts w:hint="eastAsia" w:ascii="仿宋_GB2312" w:hAnsi="仿宋_GB2312" w:cs="仿宋_GB2312"/>
          <w:color w:val="auto"/>
        </w:rPr>
        <w:t>事业等单位集体食堂试点实施厨余</w:t>
      </w:r>
      <w:r>
        <w:rPr>
          <w:rFonts w:ascii="仿宋_GB2312" w:hAnsi="仿宋_GB2312" w:cs="仿宋_GB2312"/>
          <w:color w:val="auto"/>
        </w:rPr>
        <w:t>垃圾</w:t>
      </w:r>
      <w:r>
        <w:rPr>
          <w:rFonts w:hint="eastAsia" w:ascii="仿宋_GB2312" w:hAnsi="仿宋_GB2312" w:cs="仿宋_GB2312"/>
          <w:color w:val="auto"/>
        </w:rPr>
        <w:t>定额管理和差别化收费，</w:t>
      </w:r>
      <w:r>
        <w:rPr>
          <w:rFonts w:hint="eastAsia" w:ascii="仿宋_GB2312" w:hAnsi="仿宋_GB2312" w:cs="仿宋_GB2312"/>
        </w:rPr>
        <w:t>其他非居民厨余垃圾产废单位待条件成熟后适时实施。</w:t>
      </w:r>
    </w:p>
    <w:p>
      <w:pPr>
        <w:spacing w:line="560" w:lineRule="exact"/>
        <w:ind w:firstLine="640" w:firstLineChars="200"/>
        <w:rPr>
          <w:rFonts w:eastAsia="黑体" w:cs="楷体"/>
          <w:bCs/>
        </w:rPr>
      </w:pPr>
      <w:r>
        <w:rPr>
          <w:rFonts w:hint="eastAsia" w:eastAsia="黑体" w:cs="楷体"/>
          <w:bCs/>
        </w:rPr>
        <w:t>三、组织实施</w:t>
      </w:r>
    </w:p>
    <w:p>
      <w:pPr>
        <w:spacing w:line="560" w:lineRule="exact"/>
        <w:ind w:firstLine="640" w:firstLineChars="200"/>
        <w:rPr>
          <w:bCs/>
        </w:rPr>
      </w:pPr>
      <w:r>
        <w:t>市城市管理委</w:t>
      </w:r>
      <w:r>
        <w:rPr>
          <w:rFonts w:hint="eastAsia"/>
        </w:rPr>
        <w:t>负责</w:t>
      </w:r>
      <w:r>
        <w:t>非居民厨余垃圾计量收费工作的组织实施</w:t>
      </w:r>
      <w:r>
        <w:rPr>
          <w:rFonts w:hint="eastAsia"/>
        </w:rPr>
        <w:t>和统筹</w:t>
      </w:r>
      <w:r>
        <w:t>协调</w:t>
      </w:r>
      <w:r>
        <w:rPr>
          <w:rFonts w:hint="eastAsia"/>
        </w:rPr>
        <w:t>，非居民厨余垃圾处理费的收费主体、收费</w:t>
      </w:r>
      <w:r>
        <w:t>对象、</w:t>
      </w:r>
      <w:r>
        <w:rPr>
          <w:rFonts w:hint="eastAsia"/>
        </w:rPr>
        <w:t>实施</w:t>
      </w:r>
      <w:r>
        <w:t>步骤、</w:t>
      </w:r>
      <w:r>
        <w:rPr>
          <w:rFonts w:hint="eastAsia"/>
        </w:rPr>
        <w:t>计量方式、定额管理、违规行为管理等，按照市城市管理委有关规定执行。市有关部门将</w:t>
      </w:r>
      <w:r>
        <w:rPr>
          <w:rFonts w:hint="eastAsia"/>
          <w:bCs/>
        </w:rPr>
        <w:t>加强对非居民厨余垃圾计量管理</w:t>
      </w:r>
      <w:r>
        <w:rPr>
          <w:bCs/>
        </w:rPr>
        <w:t>及</w:t>
      </w:r>
      <w:r>
        <w:rPr>
          <w:rFonts w:hint="eastAsia"/>
          <w:bCs/>
        </w:rPr>
        <w:t>收费政策执行情况的跟踪评估和动态调整。</w:t>
      </w:r>
    </w:p>
    <w:p>
      <w:pPr>
        <w:pStyle w:val="2"/>
        <w:rPr>
          <w:bCs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举例</w:t>
      </w:r>
      <w:r>
        <w:rPr>
          <w:rFonts w:ascii="黑体" w:hAnsi="黑体" w:eastAsia="黑体"/>
        </w:rPr>
        <w:t>说明</w:t>
      </w:r>
      <w:r>
        <w:rPr>
          <w:rFonts w:hint="eastAsia" w:ascii="黑体" w:hAnsi="黑体" w:eastAsia="黑体"/>
        </w:rPr>
        <w:t>垃圾</w:t>
      </w:r>
      <w:r>
        <w:rPr>
          <w:rFonts w:ascii="黑体" w:hAnsi="黑体" w:eastAsia="黑体"/>
        </w:rPr>
        <w:t>处理费</w:t>
      </w:r>
      <w:r>
        <w:rPr>
          <w:rFonts w:hint="eastAsia" w:ascii="黑体" w:hAnsi="黑体" w:eastAsia="黑体"/>
        </w:rPr>
        <w:t>计算</w:t>
      </w:r>
      <w:r>
        <w:rPr>
          <w:rFonts w:ascii="黑体" w:hAnsi="黑体" w:eastAsia="黑体"/>
        </w:rPr>
        <w:t>方式</w:t>
      </w:r>
      <w:r>
        <w:rPr>
          <w:rFonts w:hint="eastAsia" w:ascii="黑体" w:hAnsi="黑体" w:eastAsia="黑体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/>
          <w:b w:val="0"/>
          <w:bCs/>
        </w:rPr>
      </w:pPr>
      <w:r>
        <w:rPr>
          <w:rFonts w:hint="eastAsia"/>
          <w:b/>
        </w:rPr>
        <w:t>案例1</w:t>
      </w:r>
      <w:r>
        <w:rPr>
          <w:b/>
        </w:rPr>
        <w:t>：</w:t>
      </w:r>
      <w:r>
        <w:rPr>
          <w:rFonts w:hint="eastAsia"/>
          <w:b w:val="0"/>
          <w:bCs/>
        </w:rPr>
        <w:t>假设某非居民单位厨余垃圾产生量定额标准为100吨/年，若该单位实际厨余垃圾产生量为40吨（低于定额标准50%），则按200元/吨的标准缴纳厨余垃圾处理费；若该单位实际厨余垃圾产生量为80吨（在定额标准50%</w:t>
      </w:r>
      <w:r>
        <w:rPr>
          <w:rFonts w:hint="eastAsia"/>
          <w:b w:val="0"/>
          <w:bCs/>
          <w:lang w:val="en-US" w:eastAsia="zh-CN"/>
        </w:rPr>
        <w:t>-</w:t>
      </w:r>
      <w:r>
        <w:rPr>
          <w:rFonts w:hint="eastAsia"/>
          <w:b w:val="0"/>
          <w:bCs/>
        </w:rPr>
        <w:t>100%之间），则需按300元/吨的标准缴纳厨余垃圾处理费；若该单位实际厨余垃圾产生量为</w:t>
      </w:r>
      <w:r>
        <w:rPr>
          <w:rFonts w:hint="eastAsia"/>
          <w:b w:val="0"/>
          <w:bCs/>
          <w:lang w:val="en-US" w:eastAsia="zh-CN"/>
        </w:rPr>
        <w:t>120</w:t>
      </w:r>
      <w:r>
        <w:rPr>
          <w:rFonts w:hint="eastAsia"/>
          <w:b w:val="0"/>
          <w:bCs/>
        </w:rPr>
        <w:t>吨（超过定额标准），则100吨以内（含）按300元/吨计算，超过定额标准的</w:t>
      </w:r>
      <w:r>
        <w:rPr>
          <w:rFonts w:hint="eastAsia"/>
          <w:b w:val="0"/>
          <w:bCs/>
          <w:lang w:val="en-US" w:eastAsia="zh-CN"/>
        </w:rPr>
        <w:t>20</w:t>
      </w:r>
      <w:r>
        <w:rPr>
          <w:rFonts w:hint="eastAsia"/>
          <w:b w:val="0"/>
          <w:bCs/>
        </w:rPr>
        <w:t>吨按600元/吨计算。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ascii="宋体" w:hAnsi="宋体" w:eastAsia="仿宋_GB2312"/>
          <w:snapToGrid w:val="0"/>
          <w:kern w:val="32"/>
          <w:sz w:val="32"/>
          <w:szCs w:val="32"/>
        </w:rPr>
      </w:pPr>
      <w:r>
        <w:rPr>
          <w:rFonts w:hint="eastAsia" w:ascii="宋体" w:hAnsi="宋体" w:eastAsia="仿宋_GB2312"/>
          <w:b/>
          <w:snapToGrid w:val="0"/>
          <w:kern w:val="32"/>
          <w:sz w:val="32"/>
          <w:szCs w:val="32"/>
        </w:rPr>
        <w:t>案例</w:t>
      </w:r>
      <w:r>
        <w:rPr>
          <w:rFonts w:ascii="宋体" w:hAnsi="宋体" w:eastAsia="仿宋_GB2312"/>
          <w:b/>
          <w:snapToGrid w:val="0"/>
          <w:kern w:val="32"/>
          <w:sz w:val="32"/>
          <w:szCs w:val="32"/>
        </w:rPr>
        <w:t>2</w:t>
      </w:r>
      <w:r>
        <w:rPr>
          <w:rFonts w:hint="eastAsia" w:ascii="宋体" w:hAnsi="宋体" w:eastAsia="仿宋_GB2312"/>
          <w:b/>
          <w:snapToGrid w:val="0"/>
          <w:kern w:val="32"/>
          <w:sz w:val="32"/>
          <w:szCs w:val="32"/>
        </w:rPr>
        <w:t>：</w:t>
      </w:r>
      <w:r>
        <w:rPr>
          <w:rFonts w:hint="eastAsia" w:ascii="宋体" w:hAnsi="宋体" w:eastAsia="仿宋_GB2312"/>
          <w:snapToGrid w:val="0"/>
          <w:kern w:val="32"/>
          <w:sz w:val="32"/>
          <w:szCs w:val="32"/>
        </w:rPr>
        <w:t>某非居民单位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，暂未被</w:t>
      </w:r>
      <w:r>
        <w:rPr>
          <w:rFonts w:ascii="仿宋_GB2312" w:hAnsi="仿宋_GB2312" w:eastAsia="仿宋_GB2312" w:cs="仿宋_GB2312"/>
          <w:snapToGrid w:val="0"/>
          <w:kern w:val="32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实施定额管理和</w:t>
      </w:r>
      <w:r>
        <w:rPr>
          <w:rFonts w:ascii="仿宋_GB2312" w:hAnsi="仿宋_GB2312" w:eastAsia="仿宋_GB2312" w:cs="仿宋_GB2312"/>
          <w:snapToGrid w:val="0"/>
          <w:kern w:val="32"/>
          <w:sz w:val="32"/>
          <w:szCs w:val="32"/>
        </w:rPr>
        <w:t>差别化收费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的单位范围，</w:t>
      </w:r>
      <w:r>
        <w:rPr>
          <w:rFonts w:hint="eastAsia" w:ascii="宋体" w:hAnsi="宋体" w:eastAsia="仿宋_GB2312"/>
          <w:snapToGrid w:val="0"/>
          <w:kern w:val="32"/>
          <w:sz w:val="32"/>
          <w:szCs w:val="32"/>
        </w:rPr>
        <w:t>产生的全部厨余垃圾均按300元/吨计收，即：需缴纳的厨余垃圾处理费=实际厨余垃圾产生量</w:t>
      </w:r>
      <w:r>
        <w:rPr>
          <w:rFonts w:hint="eastAsia" w:ascii="仿宋_GB2312" w:hAnsi="仿宋_GB2312" w:eastAsia="仿宋_GB2312" w:cs="仿宋_GB2312"/>
          <w:sz w:val="32"/>
          <w:szCs w:val="32"/>
        </w:rPr>
        <w:t>×300元/吨。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行业主管部门根据产废单位自行申报的厨余垃圾产生量，结合上年度实际收运量，核定当年基数。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2"/>
    <w:rsid w:val="000001C2"/>
    <w:rsid w:val="00087CD4"/>
    <w:rsid w:val="0009696D"/>
    <w:rsid w:val="000D2BF7"/>
    <w:rsid w:val="000D678F"/>
    <w:rsid w:val="00146C93"/>
    <w:rsid w:val="001712ED"/>
    <w:rsid w:val="00180FE5"/>
    <w:rsid w:val="00184B12"/>
    <w:rsid w:val="001852D8"/>
    <w:rsid w:val="001C2A52"/>
    <w:rsid w:val="001C3FF5"/>
    <w:rsid w:val="001F46CD"/>
    <w:rsid w:val="001F63B3"/>
    <w:rsid w:val="00223E1B"/>
    <w:rsid w:val="0023087C"/>
    <w:rsid w:val="00265675"/>
    <w:rsid w:val="002C607D"/>
    <w:rsid w:val="003131FD"/>
    <w:rsid w:val="00326530"/>
    <w:rsid w:val="00352045"/>
    <w:rsid w:val="00355C2E"/>
    <w:rsid w:val="0036405D"/>
    <w:rsid w:val="00382B15"/>
    <w:rsid w:val="003939B6"/>
    <w:rsid w:val="003C325A"/>
    <w:rsid w:val="003F0275"/>
    <w:rsid w:val="003F30C8"/>
    <w:rsid w:val="0043666E"/>
    <w:rsid w:val="004741B2"/>
    <w:rsid w:val="00483257"/>
    <w:rsid w:val="004D5ED1"/>
    <w:rsid w:val="00544EE5"/>
    <w:rsid w:val="00595C1A"/>
    <w:rsid w:val="005E77E9"/>
    <w:rsid w:val="005F023D"/>
    <w:rsid w:val="005F5A64"/>
    <w:rsid w:val="006147C8"/>
    <w:rsid w:val="00690DAF"/>
    <w:rsid w:val="006A0D92"/>
    <w:rsid w:val="006A13F1"/>
    <w:rsid w:val="006A3F9D"/>
    <w:rsid w:val="006C182B"/>
    <w:rsid w:val="006D29F0"/>
    <w:rsid w:val="006F64CC"/>
    <w:rsid w:val="00744FAF"/>
    <w:rsid w:val="007A44AD"/>
    <w:rsid w:val="008514DB"/>
    <w:rsid w:val="00895E67"/>
    <w:rsid w:val="008D7908"/>
    <w:rsid w:val="00905523"/>
    <w:rsid w:val="00914504"/>
    <w:rsid w:val="00923B9B"/>
    <w:rsid w:val="00927319"/>
    <w:rsid w:val="009925BA"/>
    <w:rsid w:val="00994E2E"/>
    <w:rsid w:val="00995C4F"/>
    <w:rsid w:val="009B375E"/>
    <w:rsid w:val="009B3871"/>
    <w:rsid w:val="009E7FF7"/>
    <w:rsid w:val="00A23F88"/>
    <w:rsid w:val="00A2696E"/>
    <w:rsid w:val="00A7536F"/>
    <w:rsid w:val="00A8474A"/>
    <w:rsid w:val="00AA2294"/>
    <w:rsid w:val="00B21FC1"/>
    <w:rsid w:val="00B42708"/>
    <w:rsid w:val="00B537E6"/>
    <w:rsid w:val="00B5510F"/>
    <w:rsid w:val="00B67B6D"/>
    <w:rsid w:val="00C1238E"/>
    <w:rsid w:val="00C67663"/>
    <w:rsid w:val="00CC5DBB"/>
    <w:rsid w:val="00CD132A"/>
    <w:rsid w:val="00D06BAE"/>
    <w:rsid w:val="00D4416A"/>
    <w:rsid w:val="00D4750A"/>
    <w:rsid w:val="00D47B17"/>
    <w:rsid w:val="00DC6CDC"/>
    <w:rsid w:val="00DE0820"/>
    <w:rsid w:val="00DF704F"/>
    <w:rsid w:val="00E10574"/>
    <w:rsid w:val="00E11028"/>
    <w:rsid w:val="00E153C4"/>
    <w:rsid w:val="00E2182C"/>
    <w:rsid w:val="00E242F8"/>
    <w:rsid w:val="00E24308"/>
    <w:rsid w:val="00E964B3"/>
    <w:rsid w:val="00E96EC2"/>
    <w:rsid w:val="00ED45B8"/>
    <w:rsid w:val="00EE2639"/>
    <w:rsid w:val="00EE440F"/>
    <w:rsid w:val="00F10427"/>
    <w:rsid w:val="00F266E5"/>
    <w:rsid w:val="00FA5D4B"/>
    <w:rsid w:val="00FC7491"/>
    <w:rsid w:val="00FE5E9D"/>
    <w:rsid w:val="016B6390"/>
    <w:rsid w:val="27914996"/>
    <w:rsid w:val="2B8B7C41"/>
    <w:rsid w:val="308B1141"/>
    <w:rsid w:val="37AA57DD"/>
    <w:rsid w:val="3B021A49"/>
    <w:rsid w:val="41760DCA"/>
    <w:rsid w:val="44E86637"/>
    <w:rsid w:val="49774F81"/>
    <w:rsid w:val="53131B29"/>
    <w:rsid w:val="5ABB2C6C"/>
    <w:rsid w:val="631C5643"/>
    <w:rsid w:val="68C6744D"/>
    <w:rsid w:val="6D4163E3"/>
    <w:rsid w:val="7C16665C"/>
    <w:rsid w:val="BFB7D25D"/>
    <w:rsid w:val="BFE5026F"/>
    <w:rsid w:val="F5FFE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semiHidden/>
    <w:unhideWhenUsed/>
    <w:qFormat/>
    <w:uiPriority w:val="99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正文文本 Char"/>
    <w:basedOn w:val="9"/>
    <w:link w:val="2"/>
    <w:semiHidden/>
    <w:qFormat/>
    <w:uiPriority w:val="99"/>
    <w:rPr>
      <w:rFonts w:ascii="宋体" w:hAnsi="宋体" w:eastAsia="仿宋_GB2312" w:cs="Times New Roman"/>
      <w:snapToGrid w:val="0"/>
      <w:kern w:val="32"/>
      <w:sz w:val="32"/>
      <w:szCs w:val="32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宋体" w:hAnsi="宋体" w:eastAsia="仿宋_GB2312" w:cs="Times New Roman"/>
      <w:snapToGrid w:val="0"/>
      <w:kern w:val="32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宋体" w:hAnsi="宋体" w:eastAsia="仿宋_GB2312" w:cs="Times New Roman"/>
      <w:snapToGrid w:val="0"/>
      <w:kern w:val="3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宋体" w:hAnsi="宋体" w:eastAsia="仿宋_GB2312" w:cs="Times New Roman"/>
      <w:snapToGrid w:val="0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322</Words>
  <Characters>1841</Characters>
  <Lines>15</Lines>
  <Paragraphs>4</Paragraphs>
  <TotalTime>4</TotalTime>
  <ScaleCrop>false</ScaleCrop>
  <LinksUpToDate>false</LinksUpToDate>
  <CharactersWithSpaces>2159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2021-07-12T15:06:00Z</dcterms:created>
  <dc:creator>Lenovo</dc:creator>
  <cp:lastModifiedBy>uos</cp:lastModifiedBy>
  <cp:lastPrinted>2021-07-08T01:12:00Z</cp:lastPrinted>
  <dcterms:modified xsi:type="dcterms:W3CDTF">2021-07-15T16:00:54Z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