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val="0"/>
        <w:spacing w:before="0" w:after="0" w:line="240" w:lineRule="auto"/>
        <w:ind w:left="0" w:leftChars="0" w:right="0" w:rightChars="0" w:firstLine="641" w:firstLineChars="0"/>
        <w:jc w:val="center"/>
        <w:textAlignment w:val="auto"/>
        <w:outlineLvl w:val="9"/>
        <w:rPr>
          <w:rFonts w:hint="eastAsia" w:ascii="方正小标宋简体" w:hAnsi="方正小标宋简体" w:eastAsia="方正小标宋简体" w:cs="方正小标宋简体"/>
          <w:b w:val="0"/>
          <w:bCs w:val="0"/>
          <w:i w:val="0"/>
          <w:iCs w:val="0"/>
          <w:caps w:val="0"/>
          <w:smallCaps w:val="0"/>
          <w:strike w:val="0"/>
          <w:dstrike w:val="0"/>
          <w:outline w:val="0"/>
          <w:emboss w:val="0"/>
          <w:imprint w:val="0"/>
          <w:vanish w:val="0"/>
          <w:sz w:val="44"/>
          <w:szCs w:val="44"/>
          <w:rtl w:val="0"/>
          <w:lang w:val="en-US" w:eastAsia="zh-CN"/>
        </w:rPr>
      </w:pPr>
      <w:bookmarkStart w:id="0" w:name="_GoBack"/>
      <w:r>
        <w:rPr>
          <w:rFonts w:hint="eastAsia" w:ascii="方正小标宋简体" w:hAnsi="方正小标宋简体" w:eastAsia="方正小标宋简体" w:cs="方正小标宋简体"/>
          <w:b w:val="0"/>
          <w:bCs w:val="0"/>
          <w:i w:val="0"/>
          <w:iCs w:val="0"/>
          <w:caps w:val="0"/>
          <w:smallCaps w:val="0"/>
          <w:strike w:val="0"/>
          <w:dstrike w:val="0"/>
          <w:outline w:val="0"/>
          <w:emboss w:val="0"/>
          <w:imprint w:val="0"/>
          <w:vanish w:val="0"/>
          <w:sz w:val="44"/>
          <w:szCs w:val="44"/>
          <w:rtl w:val="0"/>
          <w:lang w:val="en-US" w:eastAsia="zh-CN"/>
        </w:rPr>
        <w:t>关于《关于推行北京市燃气供用合同示范文本的通知》的起草说明</w:t>
      </w:r>
    </w:p>
    <w:bookmarkEnd w:id="0"/>
    <w:p>
      <w:pPr>
        <w:framePr w:wrap="auto" w:vAnchor="margin" w:hAnchor="text" w:yAlign="inline"/>
        <w:wordWrap w:val="0"/>
        <w:spacing w:line="360" w:lineRule="auto"/>
        <w:jc w:val="both"/>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t xml:space="preserve">                              </w:t>
      </w:r>
    </w:p>
    <w:p>
      <w:pPr>
        <w:framePr w:wrap="auto" w:vAnchor="margin" w:hAnchor="text" w:yAlign="inline"/>
        <w:wordWrap w:val="0"/>
        <w:spacing w:line="360" w:lineRule="auto"/>
        <w:ind w:firstLine="640" w:firstLineChars="200"/>
        <w:jc w:val="left"/>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一、起草背景</w:t>
      </w: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t>为保障用户使用质量、安全有保障的合法气源，便于供气企业履行对用户的安全服务责任，约束用户规范使用燃气，促进燃气行业高质量发展，新修订的《北京市燃气管理条例》（以下简称《条例》）第二十三条明确规定燃气供应企业应当与用户签订供用气合同，明确双方的权利和义务；第三十条明确禁止用户向签订供用气合同以外的单位或者个人购买燃气。并在罚则中针对燃气供应企业违反相关规定的不同严重情形设置了责令限期改正，处二万元以上十万元以下罚款，直至吊销燃气经营许可证的处罚措施，对用户违反相关规定也设置了相应罚款的处罚。</w:t>
      </w: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t>因燃气不同于其他商品，气源和用户类别不同，供用气双方需要通过合同明确的权利义务、供用气方式等都有不同，且用户缺乏燃气专业知识，不适宜由供应企业与用户对所有合同条款进行自由约定。为维护双方合法权益，促进行业健康有序发展，我委联合市市场监管局制定了《关于推行北京市燃气供用合同示范文本的通知》（以下简称《示范文本》）。</w:t>
      </w:r>
    </w:p>
    <w:p>
      <w:pPr>
        <w:framePr w:wrap="auto" w:vAnchor="margin" w:hAnchor="text" w:yAlign="inline"/>
        <w:wordWrap w:val="0"/>
        <w:spacing w:line="360" w:lineRule="auto"/>
        <w:ind w:firstLine="640" w:firstLineChars="200"/>
        <w:jc w:val="left"/>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二、制定过程</w:t>
      </w:r>
    </w:p>
    <w:p>
      <w:pPr>
        <w:framePr w:wrap="auto" w:vAnchor="margin" w:hAnchor="text" w:yAlign="inline"/>
        <w:wordWrap/>
        <w:overflowPunct w:val="0"/>
        <w:spacing w:line="360" w:lineRule="auto"/>
        <w:ind w:firstLine="640" w:firstLineChars="200"/>
        <w:jc w:val="both"/>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t>我委和市市场监管局依据《中华人民共和国民法典》</w:t>
      </w:r>
      <w:r>
        <w:rPr>
          <w:rFonts w:hint="eastAsia" w:ascii="仿宋_GB2312" w:hAnsi="仿宋_GB2312" w:eastAsia="仿宋_GB2312" w:cs="仿宋_GB2312"/>
          <w:spacing w:val="-11"/>
          <w:sz w:val="32"/>
          <w:szCs w:val="32"/>
          <w:rtl w:val="0"/>
          <w:lang w:val="en-US" w:eastAsia="zh-CN"/>
        </w:rPr>
        <w:t>《中华人民共和国消费者权益保护法》《城镇燃气管理条例</w:t>
      </w:r>
      <w:r>
        <w:rPr>
          <w:rFonts w:hint="eastAsia" w:ascii="仿宋_GB2312" w:hAnsi="仿宋_GB2312" w:eastAsia="仿宋_GB2312" w:cs="仿宋_GB2312"/>
          <w:sz w:val="32"/>
          <w:szCs w:val="32"/>
          <w:rtl w:val="0"/>
          <w:lang w:val="en-US" w:eastAsia="zh-CN"/>
        </w:rPr>
        <w:t>》和新修订的《北京市燃气管理条例》等法律法规，结合当前及今后燃气行业发展形势，对原《北京市非居民天然气供用合同》（BF-2012-0505）和《北京市居民天然气供用合同》（BF-2016-0506）进行了修订，并对《北京市瓶装液化石油气供用合同》（BF-2010-0502）进行了拆分，形成了《北京市非居民天然气供用合同》《北京市居民天然气供用合同》《北京市非居民瓶装液化石油气供用合同》和《北京市居民瓶装液化石油气供用合同》等四个合同示范文本的征求意见稿，经向市、区有关部门，供气企业及社会公开征求意见建议后，形成终稿向社会发布。自2021年1月1日起，执行新的合同示范文本，供气企业开始有序组织开展新版供用合同换签工作。</w:t>
      </w:r>
    </w:p>
    <w:p>
      <w:pPr>
        <w:framePr w:wrap="auto" w:vAnchor="margin" w:hAnchor="text" w:yAlign="inline"/>
        <w:wordWrap w:val="0"/>
        <w:spacing w:line="360" w:lineRule="auto"/>
        <w:ind w:firstLine="640" w:firstLineChars="200"/>
        <w:jc w:val="left"/>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三、适用对象及主要内容</w:t>
      </w: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t>《北京市非居民天然气供用合同》适用于本市行政区域内燃气供应企业与非居民用气人之间发生的经营性天然气（含LNG、CNG及其“点供”）供应、使用交易；《北京市居民天然气供用合同》适用于本市行政区域内燃气用气企业与居民用气人之间发生的经营性天然气（含LNG、CNG及其“点供”）供应、使用交易；《北京市非居民瓶装液化石油气供用合同》适用于本市行政区域内燃气供应企业与非居民用气人之间发生的经营性瓶装液化石油气供应、使用交易；《北京市居民瓶装液化石油气供用合同》适用于本市行政区域内燃气供应企业与居民用气人之间发生的经营性瓶装液化石油气供应、使用交易。</w:t>
      </w: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t>每种合同文本因气源和用户性质不同具体内容不同，基本包含以下主要内容：供用气双方基本信息；用气地点、用气性质；供用气系统及设施建设情况（居民用户不涉及）；用气设备信息；供气质量；用气价格、计量及结算方式；燃气设施安全、维护和管理责任；双方权利义务；违约责任；合同的变更、生效；争议解决方式及其他约定。</w:t>
      </w: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r>
        <w:rPr>
          <w:rFonts w:hint="eastAsia" w:ascii="仿宋_GB2312" w:hAnsi="仿宋_GB2312" w:eastAsia="仿宋_GB2312" w:cs="仿宋_GB2312"/>
          <w:sz w:val="32"/>
          <w:szCs w:val="32"/>
          <w:rtl w:val="0"/>
          <w:lang w:val="en-US" w:eastAsia="zh-CN"/>
        </w:rPr>
        <w:br w:type="page"/>
      </w:r>
    </w:p>
    <w:p>
      <w:pPr>
        <w:keepNext w:val="0"/>
        <w:keepLines w:val="0"/>
        <w:pageBreakBefore w:val="0"/>
        <w:framePr w:wrap="auto" w:vAnchor="margin" w:hAnchor="text" w:yAlign="inline"/>
        <w:widowControl w:val="0"/>
        <w:kinsoku/>
        <w:wordWrap/>
        <w:overflowPunct/>
        <w:topLinePunct w:val="0"/>
        <w:autoSpaceDE/>
        <w:autoSpaceDN/>
        <w:bidi w:val="0"/>
        <w:adjustRightInd/>
        <w:snapToGrid w:val="0"/>
        <w:spacing w:line="240" w:lineRule="auto"/>
        <w:ind w:left="0" w:leftChars="0" w:right="0" w:rightChars="0" w:firstLine="641" w:firstLineChars="0"/>
        <w:jc w:val="center"/>
        <w:textAlignment w:val="auto"/>
        <w:outlineLvl w:val="9"/>
        <w:rPr>
          <w:rFonts w:hint="eastAsia" w:ascii="方正小标宋简体" w:hAnsi="方正小标宋简体" w:eastAsia="方正小标宋简体" w:cs="方正小标宋简体"/>
          <w:color w:val="000000"/>
          <w:w w:val="100"/>
          <w:sz w:val="44"/>
          <w:szCs w:val="44"/>
          <w:lang w:eastAsia="zh-CN"/>
        </w:rPr>
      </w:pPr>
      <w:r>
        <w:rPr>
          <w:rFonts w:hint="eastAsia" w:ascii="方正小标宋简体" w:hAnsi="方正小标宋简体" w:eastAsia="方正小标宋简体" w:cs="方正小标宋简体"/>
          <w:sz w:val="44"/>
          <w:szCs w:val="44"/>
          <w:lang w:eastAsia="zh-CN"/>
        </w:rPr>
        <w:t>关于《关于</w:t>
      </w:r>
      <w:r>
        <w:rPr>
          <w:rFonts w:hint="eastAsia" w:ascii="方正小标宋简体" w:hAnsi="方正小标宋简体" w:eastAsia="方正小标宋简体" w:cs="方正小标宋简体"/>
          <w:color w:val="000000"/>
          <w:w w:val="100"/>
          <w:sz w:val="44"/>
          <w:szCs w:val="44"/>
          <w:lang w:eastAsia="zh-CN"/>
        </w:rPr>
        <w:t>推行北京市燃气供用合同</w:t>
      </w:r>
    </w:p>
    <w:p>
      <w:pPr>
        <w:keepNext w:val="0"/>
        <w:keepLines w:val="0"/>
        <w:pageBreakBefore w:val="0"/>
        <w:framePr w:wrap="auto" w:vAnchor="margin" w:hAnchor="text" w:yAlign="inline"/>
        <w:widowControl w:val="0"/>
        <w:kinsoku/>
        <w:wordWrap/>
        <w:overflowPunct/>
        <w:topLinePunct w:val="0"/>
        <w:autoSpaceDE/>
        <w:autoSpaceDN/>
        <w:bidi w:val="0"/>
        <w:adjustRightInd/>
        <w:snapToGrid w:val="0"/>
        <w:spacing w:before="0" w:after="0" w:line="240" w:lineRule="auto"/>
        <w:ind w:left="0" w:leftChars="0" w:right="0" w:rightChars="0" w:firstLine="641"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w w:val="100"/>
          <w:sz w:val="44"/>
          <w:szCs w:val="44"/>
          <w:lang w:eastAsia="zh-CN"/>
        </w:rPr>
        <w:t>示范文本的通知</w:t>
      </w:r>
      <w:r>
        <w:rPr>
          <w:rFonts w:hint="eastAsia" w:ascii="方正小标宋简体" w:hAnsi="方正小标宋简体" w:eastAsia="方正小标宋简体" w:cs="方正小标宋简体"/>
          <w:sz w:val="44"/>
          <w:szCs w:val="44"/>
          <w:lang w:eastAsia="zh-CN"/>
        </w:rPr>
        <w:t>》的制定依据</w:t>
      </w:r>
    </w:p>
    <w:p>
      <w:pPr>
        <w:framePr w:wrap="auto" w:vAnchor="margin" w:hAnchor="text" w:yAlign="inline"/>
        <w:spacing w:line="540" w:lineRule="exact"/>
        <w:jc w:val="center"/>
        <w:rPr>
          <w:rFonts w:hint="eastAsia" w:eastAsia="方正小标宋简体"/>
          <w:sz w:val="44"/>
        </w:rPr>
      </w:pPr>
    </w:p>
    <w:p>
      <w:pPr>
        <w:framePr w:wrap="auto" w:vAnchor="margin" w:hAnchor="text" w:yAlign="inline"/>
        <w:jc w:val="center"/>
        <w:rPr>
          <w:rFonts w:hint="eastAsia" w:eastAsia="华文中宋"/>
          <w:sz w:val="30"/>
        </w:rPr>
      </w:pPr>
    </w:p>
    <w:tbl>
      <w:tblPr>
        <w:tblStyle w:val="5"/>
        <w:tblW w:w="8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420"/>
        <w:gridCol w:w="1980"/>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88" w:type="dxa"/>
            <w:vAlign w:val="center"/>
          </w:tcPr>
          <w:p>
            <w:pPr>
              <w:framePr w:wrap="auto" w:vAnchor="margin" w:hAnchor="text" w:yAlign="inline"/>
              <w:jc w:val="center"/>
              <w:rPr>
                <w:rFonts w:hint="eastAsia"/>
              </w:rPr>
            </w:pPr>
            <w:r>
              <w:rPr>
                <w:rFonts w:hint="eastAsia"/>
              </w:rPr>
              <w:t>序号</w:t>
            </w:r>
          </w:p>
        </w:tc>
        <w:tc>
          <w:tcPr>
            <w:tcW w:w="3420" w:type="dxa"/>
            <w:vAlign w:val="center"/>
          </w:tcPr>
          <w:p>
            <w:pPr>
              <w:framePr w:wrap="auto" w:vAnchor="margin" w:hAnchor="text" w:yAlign="inline"/>
              <w:jc w:val="center"/>
              <w:rPr>
                <w:rFonts w:hint="eastAsia"/>
              </w:rPr>
            </w:pPr>
            <w:r>
              <w:rPr>
                <w:rFonts w:hint="eastAsia"/>
              </w:rPr>
              <w:t>名     称</w:t>
            </w:r>
          </w:p>
        </w:tc>
        <w:tc>
          <w:tcPr>
            <w:tcW w:w="1980" w:type="dxa"/>
            <w:vAlign w:val="center"/>
          </w:tcPr>
          <w:p>
            <w:pPr>
              <w:framePr w:wrap="auto" w:vAnchor="margin" w:hAnchor="text" w:yAlign="inline"/>
              <w:jc w:val="center"/>
              <w:rPr>
                <w:rFonts w:hint="eastAsia"/>
              </w:rPr>
            </w:pPr>
            <w:r>
              <w:rPr>
                <w:rFonts w:hint="eastAsia"/>
              </w:rPr>
              <w:t>制定机关</w:t>
            </w:r>
          </w:p>
        </w:tc>
        <w:tc>
          <w:tcPr>
            <w:tcW w:w="2106" w:type="dxa"/>
            <w:vAlign w:val="center"/>
          </w:tcPr>
          <w:p>
            <w:pPr>
              <w:framePr w:wrap="auto" w:vAnchor="margin" w:hAnchor="text" w:yAlign="inline"/>
              <w:jc w:val="center"/>
              <w:rPr>
                <w:rFonts w:hint="eastAsia"/>
              </w:rPr>
            </w:pPr>
            <w:r>
              <w:rPr>
                <w:rFonts w:hint="eastAsia"/>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88" w:type="dxa"/>
            <w:vAlign w:val="center"/>
          </w:tcPr>
          <w:p>
            <w:pPr>
              <w:framePr w:wrap="auto" w:vAnchor="margin" w:hAnchor="text" w:yAlign="inline"/>
              <w:jc w:val="center"/>
              <w:rPr>
                <w:rFonts w:hint="eastAsia"/>
                <w:lang w:val="en-US" w:eastAsia="zh-CN"/>
              </w:rPr>
            </w:pPr>
            <w:r>
              <w:rPr>
                <w:rFonts w:hint="eastAsia"/>
                <w:lang w:val="en-US" w:eastAsia="zh-CN"/>
              </w:rPr>
              <w:t>1</w:t>
            </w:r>
          </w:p>
        </w:tc>
        <w:tc>
          <w:tcPr>
            <w:tcW w:w="3420" w:type="dxa"/>
            <w:vAlign w:val="center"/>
          </w:tcPr>
          <w:p>
            <w:pPr>
              <w:framePr w:wrap="auto" w:vAnchor="margin" w:hAnchor="text" w:yAlign="inline"/>
              <w:jc w:val="center"/>
              <w:rPr>
                <w:rFonts w:hint="eastAsia"/>
                <w:lang w:eastAsia="zh-CN"/>
              </w:rPr>
            </w:pPr>
            <w:r>
              <w:rPr>
                <w:rFonts w:hint="eastAsia"/>
                <w:lang w:eastAsia="zh-CN"/>
              </w:rPr>
              <w:t>《中华人民共和国民法典》</w:t>
            </w:r>
          </w:p>
        </w:tc>
        <w:tc>
          <w:tcPr>
            <w:tcW w:w="1980" w:type="dxa"/>
            <w:vAlign w:val="center"/>
          </w:tcPr>
          <w:p>
            <w:pPr>
              <w:framePr w:wrap="auto" w:vAnchor="margin" w:hAnchor="text" w:yAlign="inline"/>
              <w:jc w:val="center"/>
              <w:rPr>
                <w:rFonts w:hint="eastAsia"/>
              </w:rPr>
            </w:pPr>
            <w:r>
              <w:rPr>
                <w:rFonts w:hint="eastAsia"/>
              </w:rPr>
              <w:t>全国人民代表大会</w:t>
            </w:r>
          </w:p>
        </w:tc>
        <w:tc>
          <w:tcPr>
            <w:tcW w:w="2106" w:type="dxa"/>
            <w:vAlign w:val="center"/>
          </w:tcPr>
          <w:p>
            <w:pPr>
              <w:framePr w:wrap="auto" w:vAnchor="margin" w:hAnchor="text" w:yAlign="inline"/>
              <w:jc w:val="center"/>
              <w:rPr>
                <w:rFonts w:hint="eastAsia" w:eastAsia="宋体"/>
                <w:lang w:val="en-US" w:eastAsia="zh-CN"/>
              </w:rPr>
            </w:pPr>
            <w:r>
              <w:rPr>
                <w:rFonts w:hint="eastAsia"/>
                <w:lang w:val="en-US" w:eastAsia="zh-CN"/>
              </w:rPr>
              <w:t>2021年1月1日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88" w:type="dxa"/>
            <w:vAlign w:val="center"/>
          </w:tcPr>
          <w:p>
            <w:pPr>
              <w:framePr w:wrap="auto" w:vAnchor="margin" w:hAnchor="text" w:yAlign="inline"/>
              <w:jc w:val="center"/>
              <w:rPr>
                <w:rFonts w:hint="eastAsia" w:eastAsia="宋体"/>
                <w:lang w:val="en-US" w:eastAsia="zh-CN"/>
              </w:rPr>
            </w:pPr>
            <w:r>
              <w:rPr>
                <w:rFonts w:hint="eastAsia"/>
                <w:lang w:val="en-US" w:eastAsia="zh-CN"/>
              </w:rPr>
              <w:t>2</w:t>
            </w:r>
          </w:p>
        </w:tc>
        <w:tc>
          <w:tcPr>
            <w:tcW w:w="3420" w:type="dxa"/>
            <w:vAlign w:val="center"/>
          </w:tcPr>
          <w:p>
            <w:pPr>
              <w:framePr w:wrap="auto" w:vAnchor="margin" w:hAnchor="text" w:yAlign="inline"/>
              <w:jc w:val="center"/>
              <w:rPr>
                <w:rFonts w:hint="eastAsia"/>
              </w:rPr>
            </w:pPr>
            <w:r>
              <w:rPr>
                <w:rFonts w:hint="eastAsia"/>
                <w:lang w:eastAsia="zh-CN"/>
              </w:rPr>
              <w:t>《</w:t>
            </w:r>
            <w:r>
              <w:rPr>
                <w:rFonts w:hint="eastAsia"/>
              </w:rPr>
              <w:t>城镇燃气管理条例</w:t>
            </w:r>
            <w:r>
              <w:rPr>
                <w:rFonts w:hint="eastAsia"/>
                <w:lang w:eastAsia="zh-CN"/>
              </w:rPr>
              <w:t>》</w:t>
            </w:r>
          </w:p>
        </w:tc>
        <w:tc>
          <w:tcPr>
            <w:tcW w:w="1980" w:type="dxa"/>
            <w:vAlign w:val="center"/>
          </w:tcPr>
          <w:p>
            <w:pPr>
              <w:framePr w:wrap="auto" w:vAnchor="margin" w:hAnchor="text" w:yAlign="inline"/>
              <w:jc w:val="center"/>
              <w:rPr>
                <w:rFonts w:hint="eastAsia"/>
              </w:rPr>
            </w:pPr>
            <w:r>
              <w:rPr>
                <w:rFonts w:hint="eastAsia"/>
              </w:rPr>
              <w:t>国务院</w:t>
            </w:r>
          </w:p>
        </w:tc>
        <w:tc>
          <w:tcPr>
            <w:tcW w:w="2106" w:type="dxa"/>
            <w:vAlign w:val="center"/>
          </w:tcPr>
          <w:p>
            <w:pPr>
              <w:framePr w:wrap="auto" w:vAnchor="margin" w:hAnchor="text" w:yAlign="inline"/>
              <w:jc w:val="center"/>
              <w:rPr>
                <w:rFonts w:hint="eastAsia"/>
              </w:rPr>
            </w:pPr>
            <w:r>
              <w:t>20</w:t>
            </w:r>
            <w:r>
              <w:rPr>
                <w:rFonts w:hint="eastAsia"/>
              </w:rPr>
              <w:t>11</w:t>
            </w:r>
            <w:r>
              <w:t>年</w:t>
            </w:r>
            <w:r>
              <w:rPr>
                <w:rFonts w:hint="eastAsia"/>
              </w:rPr>
              <w:t>3</w:t>
            </w:r>
            <w:r>
              <w:t>月</w:t>
            </w:r>
            <w:r>
              <w:rPr>
                <w:rFonts w:hint="eastAsia"/>
              </w:rPr>
              <w:t>1</w:t>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88" w:type="dxa"/>
            <w:vAlign w:val="center"/>
          </w:tcPr>
          <w:p>
            <w:pPr>
              <w:framePr w:wrap="auto" w:vAnchor="margin" w:hAnchor="text" w:yAlign="inline"/>
              <w:jc w:val="center"/>
              <w:rPr>
                <w:rFonts w:hint="eastAsia" w:eastAsia="宋体"/>
                <w:lang w:eastAsia="zh-CN"/>
              </w:rPr>
            </w:pPr>
            <w:r>
              <w:rPr>
                <w:rFonts w:hint="eastAsia"/>
                <w:lang w:val="en-US" w:eastAsia="zh-CN"/>
              </w:rPr>
              <w:t>3</w:t>
            </w:r>
          </w:p>
        </w:tc>
        <w:tc>
          <w:tcPr>
            <w:tcW w:w="3420" w:type="dxa"/>
            <w:vAlign w:val="center"/>
          </w:tcPr>
          <w:p>
            <w:pPr>
              <w:framePr w:wrap="auto" w:vAnchor="margin" w:hAnchor="text" w:yAlign="inline"/>
              <w:jc w:val="center"/>
              <w:rPr>
                <w:rFonts w:hint="eastAsia" w:eastAsia="宋体"/>
                <w:lang w:eastAsia="zh-CN"/>
              </w:rPr>
            </w:pPr>
            <w:r>
              <w:rPr>
                <w:rFonts w:hint="eastAsia"/>
                <w:lang w:eastAsia="zh-CN"/>
              </w:rPr>
              <w:t>《北京市燃气管理条例》</w:t>
            </w:r>
          </w:p>
        </w:tc>
        <w:tc>
          <w:tcPr>
            <w:tcW w:w="1980" w:type="dxa"/>
            <w:vAlign w:val="center"/>
          </w:tcPr>
          <w:p>
            <w:pPr>
              <w:framePr w:wrap="auto" w:vAnchor="margin" w:hAnchor="text" w:yAlign="inline"/>
              <w:jc w:val="center"/>
              <w:rPr>
                <w:rFonts w:hint="eastAsia"/>
              </w:rPr>
            </w:pPr>
            <w:r>
              <w:rPr>
                <w:rFonts w:hint="eastAsia"/>
              </w:rPr>
              <w:t>北京市人大</w:t>
            </w:r>
          </w:p>
        </w:tc>
        <w:tc>
          <w:tcPr>
            <w:tcW w:w="2106" w:type="dxa"/>
            <w:vAlign w:val="center"/>
          </w:tcPr>
          <w:p>
            <w:pPr>
              <w:framePr w:wrap="auto" w:vAnchor="margin" w:hAnchor="text" w:yAlign="inline"/>
              <w:jc w:val="center"/>
              <w:rPr>
                <w:rFonts w:hint="eastAsia"/>
              </w:rPr>
            </w:pPr>
            <w:r>
              <w:rPr>
                <w:rFonts w:hint="eastAsia"/>
              </w:rPr>
              <w:t>20</w:t>
            </w:r>
            <w:r>
              <w:rPr>
                <w:rFonts w:hint="eastAsia"/>
                <w:lang w:val="en-US" w:eastAsia="zh-CN"/>
              </w:rPr>
              <w:t>21</w:t>
            </w:r>
            <w:r>
              <w:rPr>
                <w:rFonts w:hint="eastAsia"/>
              </w:rPr>
              <w:t>年</w:t>
            </w:r>
            <w:r>
              <w:rPr>
                <w:rFonts w:hint="eastAsia"/>
                <w:lang w:val="en-US" w:eastAsia="zh-CN"/>
              </w:rPr>
              <w:t>1</w:t>
            </w:r>
            <w:r>
              <w:rPr>
                <w:rFonts w:hint="eastAsia"/>
              </w:rPr>
              <w:t>月</w:t>
            </w:r>
            <w:r>
              <w:rPr>
                <w:rFonts w:hint="eastAsia"/>
                <w:lang w:val="en-US" w:eastAsia="zh-CN"/>
              </w:rPr>
              <w:t>1</w:t>
            </w:r>
            <w:r>
              <w:rPr>
                <w:rFonts w:hint="eastAsia"/>
              </w:rPr>
              <w:t>日</w:t>
            </w:r>
          </w:p>
        </w:tc>
      </w:tr>
    </w:tbl>
    <w:p>
      <w:pPr>
        <w:framePr w:wrap="auto" w:vAnchor="margin" w:hAnchor="text" w:yAlign="inline"/>
        <w:rPr>
          <w:rFonts w:hint="eastAsia"/>
          <w:sz w:val="30"/>
        </w:rPr>
      </w:pPr>
    </w:p>
    <w:p>
      <w:pPr>
        <w:framePr w:wrap="auto" w:vAnchor="margin" w:hAnchor="text" w:yAlign="inline"/>
        <w:rPr>
          <w:rFonts w:hint="eastAsia"/>
          <w:sz w:val="30"/>
        </w:rPr>
      </w:pP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p>
    <w:p>
      <w:pPr>
        <w:framePr w:wrap="auto" w:vAnchor="margin" w:hAnchor="text" w:yAlign="inline"/>
        <w:wordWrap w:val="0"/>
        <w:spacing w:line="360" w:lineRule="auto"/>
        <w:ind w:firstLine="640" w:firstLineChars="200"/>
        <w:jc w:val="left"/>
        <w:rPr>
          <w:rFonts w:hint="eastAsia" w:ascii="仿宋_GB2312" w:hAnsi="仿宋_GB2312" w:eastAsia="仿宋_GB2312" w:cs="仿宋_GB2312"/>
          <w:sz w:val="32"/>
          <w:szCs w:val="32"/>
          <w:rtl w:val="0"/>
          <w:lang w:val="en-US" w:eastAsia="zh-CN"/>
        </w:rPr>
      </w:pPr>
    </w:p>
    <w:p>
      <w:pPr>
        <w:framePr w:wrap="auto" w:vAnchor="margin" w:hAnchor="text" w:yAlign="inline"/>
        <w:wordWrap w:val="0"/>
        <w:spacing w:line="360" w:lineRule="auto"/>
        <w:ind w:firstLine="640" w:firstLineChars="200"/>
        <w:jc w:val="left"/>
        <w:rPr>
          <w:rFonts w:hint="default" w:ascii="仿宋_GB2312" w:hAnsi="仿宋_GB2312" w:eastAsia="仿宋_GB2312" w:cs="仿宋_GB2312"/>
          <w:sz w:val="32"/>
          <w:szCs w:val="32"/>
          <w:rtl w:val="0"/>
          <w:lang w:val="en-US" w:eastAsia="zh-CN"/>
        </w:rPr>
      </w:pP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PingFang SC Regular">
    <w:altName w:val="仿宋_GB2312"/>
    <w:panose1 w:val="00000000000000000000"/>
    <w:charset w:val="86"/>
    <w:family w:val="auto"/>
    <w:pitch w:val="default"/>
    <w:sig w:usb0="00000000" w:usb1="00000000" w:usb2="00000000" w:usb3="00000000" w:csb0="00000000" w:csb1="00000000"/>
  </w:font>
  <w:font w:name="PingFang SC Regular">
    <w:altName w:val="仿宋_GB2312"/>
    <w:panose1 w:val="00000000000000000000"/>
    <w:charset w:val="86"/>
    <w:family w:val="auto"/>
    <w:pitch w:val="default"/>
    <w:sig w:usb0="00000000" w:usb1="00000000" w:usb2="00000000" w:usb3="00000000" w:csb0="00000000" w:csb1="00000000"/>
  </w:font>
  <w:font w:name="等线">
    <w:altName w:val="宋体"/>
    <w:panose1 w:val="02010600030101010101"/>
    <w:charset w:val="86"/>
    <w:family w:val="roman"/>
    <w:pitch w:val="default"/>
    <w:sig w:usb0="00000000" w:usb1="00000000" w:usb2="00000016" w:usb3="00000000" w:csb0="0004000F" w:csb1="00000000"/>
  </w:font>
  <w:font w:name="苹方 常规">
    <w:altName w:val="宋体"/>
    <w:panose1 w:val="020B0300000000000000"/>
    <w:charset w:val="86"/>
    <w:family w:val="roman"/>
    <w:pitch w:val="default"/>
    <w:sig w:usb0="00000000" w:usb1="00000000" w:usb2="00000016" w:usb3="00000000" w:csb0="00040001" w:csb1="00000000"/>
  </w:font>
  <w:font w:name="Arial Unicode MS">
    <w:altName w:val="宋体"/>
    <w:panose1 w:val="00000000000000000000"/>
    <w:charset w:val="86"/>
    <w:family w:val="roman"/>
    <w:pitch w:val="default"/>
    <w:sig w:usb0="00000000" w:usb1="00000000" w:usb2="00000000" w:usb3="00000000" w:csb0="00000000" w:csb1="00000000"/>
  </w:font>
  <w:font w:name="Noto Serif CJK JP">
    <w:altName w:val="宋体"/>
    <w:panose1 w:val="020204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PingFang SC 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trackRevisions w:val="1"/>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06904AF4"/>
    <w:rsid w:val="0EA96A20"/>
    <w:rsid w:val="0F5F0961"/>
    <w:rsid w:val="182577B0"/>
    <w:rsid w:val="1E8E5F81"/>
    <w:rsid w:val="1F49781A"/>
    <w:rsid w:val="23377CEA"/>
    <w:rsid w:val="24047B52"/>
    <w:rsid w:val="2A707F1E"/>
    <w:rsid w:val="2B01003F"/>
    <w:rsid w:val="2C6F559C"/>
    <w:rsid w:val="2F43068E"/>
    <w:rsid w:val="33876971"/>
    <w:rsid w:val="369B197A"/>
    <w:rsid w:val="37771A71"/>
    <w:rsid w:val="380858A8"/>
    <w:rsid w:val="39BA3FE6"/>
    <w:rsid w:val="3D4E6C67"/>
    <w:rsid w:val="3E6A0DEF"/>
    <w:rsid w:val="444E280C"/>
    <w:rsid w:val="46F7A13E"/>
    <w:rsid w:val="47AE69D8"/>
    <w:rsid w:val="48857AE8"/>
    <w:rsid w:val="4D1C28DD"/>
    <w:rsid w:val="4D8C47A4"/>
    <w:rsid w:val="5ADE52EA"/>
    <w:rsid w:val="5AF04E97"/>
    <w:rsid w:val="5AF2023D"/>
    <w:rsid w:val="5CAE3D28"/>
    <w:rsid w:val="5CC67C3C"/>
    <w:rsid w:val="5D48170C"/>
    <w:rsid w:val="5D8B3348"/>
    <w:rsid w:val="5EFE3856"/>
    <w:rsid w:val="5F070D46"/>
    <w:rsid w:val="5F341406"/>
    <w:rsid w:val="61E44DC4"/>
    <w:rsid w:val="646975F7"/>
    <w:rsid w:val="68B344F1"/>
    <w:rsid w:val="6BB658E3"/>
    <w:rsid w:val="6BBD79F3"/>
    <w:rsid w:val="6EF45E6D"/>
    <w:rsid w:val="732E1E5A"/>
    <w:rsid w:val="770700F4"/>
    <w:rsid w:val="7A682D56"/>
    <w:rsid w:val="7F485E8E"/>
    <w:rsid w:val="F3FA9E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等线" w:hAnsi="等线" w:eastAsia="等线" w:cs="等线"/>
      <w:color w:val="000000"/>
      <w:spacing w:val="0"/>
      <w:w w:val="100"/>
      <w:kern w:val="2"/>
      <w:position w:val="0"/>
      <w:sz w:val="21"/>
      <w:szCs w:val="21"/>
      <w:u w:val="none" w:color="000000"/>
      <w:shd w:val="clear" w:color="auto" w:fill="auto"/>
      <w:vertAlign w:val="baseline"/>
      <w:lang w:val="en-US"/>
    </w:rPr>
  </w:style>
  <w:style w:type="character" w:default="1" w:styleId="3">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 w:type="character" w:styleId="4">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苹方 常规" w:hAnsi="苹方 常规"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Office_10.8.0.6370_F1E327BC-269C-435d-A152-05C5408002CA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2021-05-17T19:06:00Z</dcterms:created>
  <dc:creator>Administrator</dc:creator>
  <cp:lastModifiedBy>办公室</cp:lastModifiedBy>
  <dcterms:modified xsi:type="dcterms:W3CDTF">2022-09-27T03:58:44Z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