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lang w:eastAsia="zh-CN"/>
        </w:rPr>
        <w:t>《</w:t>
      </w:r>
      <w:r>
        <w:rPr>
          <w:rFonts w:hint="eastAsia" w:asciiTheme="minorEastAsia" w:hAnsiTheme="minorEastAsia"/>
          <w:b/>
          <w:sz w:val="44"/>
          <w:szCs w:val="44"/>
        </w:rPr>
        <w:t>关于北京市20</w:t>
      </w:r>
      <w:r>
        <w:rPr>
          <w:rFonts w:hint="eastAsia" w:asciiTheme="minorEastAsia" w:hAnsiTheme="minorEastAsia"/>
          <w:b/>
          <w:sz w:val="44"/>
          <w:szCs w:val="44"/>
          <w:lang w:val="en-US" w:eastAsia="zh-CN"/>
        </w:rPr>
        <w:t>21</w:t>
      </w:r>
      <w:r>
        <w:rPr>
          <w:rFonts w:hint="eastAsia" w:asciiTheme="minorEastAsia" w:hAnsiTheme="minorEastAsia"/>
          <w:b/>
          <w:sz w:val="44"/>
          <w:szCs w:val="44"/>
        </w:rPr>
        <w:t>年电力</w:t>
      </w:r>
      <w:r>
        <w:rPr>
          <w:rFonts w:hint="eastAsia" w:asciiTheme="minorEastAsia" w:hAnsiTheme="minorEastAsia"/>
          <w:b/>
          <w:sz w:val="44"/>
          <w:szCs w:val="44"/>
          <w:lang w:eastAsia="zh-CN"/>
        </w:rPr>
        <w:t>市场化</w:t>
      </w:r>
      <w:r>
        <w:rPr>
          <w:rFonts w:hint="eastAsia" w:asciiTheme="minorEastAsia" w:hAnsiTheme="minorEastAsia"/>
          <w:b/>
          <w:sz w:val="44"/>
          <w:szCs w:val="44"/>
        </w:rPr>
        <w:t>交易工作</w:t>
      </w:r>
      <w:r>
        <w:rPr>
          <w:rFonts w:hint="eastAsia" w:asciiTheme="minorEastAsia" w:hAnsiTheme="minorEastAsia"/>
          <w:b/>
          <w:sz w:val="44"/>
          <w:szCs w:val="44"/>
          <w:lang w:eastAsia="zh-CN"/>
        </w:rPr>
        <w:t>安排</w:t>
      </w:r>
      <w:r>
        <w:rPr>
          <w:rFonts w:hint="eastAsia" w:asciiTheme="minorEastAsia" w:hAnsiTheme="minorEastAsia"/>
          <w:b/>
          <w:sz w:val="44"/>
          <w:szCs w:val="44"/>
        </w:rPr>
        <w:t>的通知</w:t>
      </w:r>
      <w:r>
        <w:rPr>
          <w:rFonts w:hint="eastAsia" w:asciiTheme="minorEastAsia" w:hAnsiTheme="minorEastAsia"/>
          <w:b/>
          <w:sz w:val="44"/>
          <w:szCs w:val="44"/>
          <w:lang w:eastAsia="zh-CN"/>
        </w:rPr>
        <w:t>》的解读</w:t>
      </w:r>
    </w:p>
    <w:p>
      <w:pPr>
        <w:jc w:val="center"/>
        <w:rPr>
          <w:rFonts w:asciiTheme="minorEastAsia" w:hAnsiTheme="minorEastAsia"/>
          <w:b/>
          <w:sz w:val="44"/>
          <w:szCs w:val="44"/>
        </w:rPr>
      </w:pPr>
    </w:p>
    <w:p>
      <w:pPr>
        <w:ind w:firstLine="640" w:firstLineChars="200"/>
        <w:rPr>
          <w:rFonts w:hint="eastAsia" w:ascii="黑体" w:hAnsi="黑体" w:eastAsia="黑体" w:cs="黑体"/>
          <w:sz w:val="32"/>
          <w:szCs w:val="32"/>
        </w:rPr>
      </w:pPr>
      <w:r>
        <w:rPr>
          <w:rFonts w:hint="eastAsia" w:ascii="仿宋_GB2312" w:eastAsia="仿宋_GB2312"/>
          <w:sz w:val="32"/>
          <w:szCs w:val="32"/>
        </w:rPr>
        <w:t>为落实北京市电力体制改革综合试点方案中的重点任务，</w:t>
      </w:r>
      <w:r>
        <w:rPr>
          <w:rFonts w:hint="eastAsia" w:ascii="仿宋_GB2312" w:eastAsia="仿宋_GB2312"/>
          <w:sz w:val="32"/>
          <w:szCs w:val="32"/>
          <w:lang w:eastAsia="zh-CN"/>
        </w:rPr>
        <w:t>继续</w:t>
      </w:r>
      <w:r>
        <w:rPr>
          <w:rFonts w:hint="eastAsia" w:ascii="仿宋_GB2312" w:eastAsia="仿宋_GB2312"/>
          <w:sz w:val="32"/>
          <w:szCs w:val="32"/>
        </w:rPr>
        <w:t>推进北京市20</w:t>
      </w:r>
      <w:r>
        <w:rPr>
          <w:rFonts w:hint="eastAsia" w:ascii="仿宋_GB2312" w:eastAsia="仿宋_GB2312"/>
          <w:sz w:val="32"/>
          <w:szCs w:val="32"/>
          <w:lang w:val="en-US" w:eastAsia="zh-CN"/>
        </w:rPr>
        <w:t>21</w:t>
      </w:r>
      <w:r>
        <w:rPr>
          <w:rFonts w:hint="eastAsia" w:ascii="仿宋_GB2312" w:eastAsia="仿宋_GB2312"/>
          <w:sz w:val="32"/>
          <w:szCs w:val="32"/>
        </w:rPr>
        <w:t>年电力市场化直接交易工作，结合本市实际，制定关于北京市20</w:t>
      </w:r>
      <w:r>
        <w:rPr>
          <w:rFonts w:hint="eastAsia" w:ascii="仿宋_GB2312" w:eastAsia="仿宋_GB2312"/>
          <w:sz w:val="32"/>
          <w:szCs w:val="32"/>
          <w:lang w:val="en-US" w:eastAsia="zh-CN"/>
        </w:rPr>
        <w:t>21</w:t>
      </w:r>
      <w:r>
        <w:rPr>
          <w:rFonts w:hint="eastAsia" w:ascii="仿宋_GB2312" w:eastAsia="仿宋_GB2312"/>
          <w:sz w:val="32"/>
          <w:szCs w:val="32"/>
        </w:rPr>
        <w:t>年电力</w:t>
      </w:r>
      <w:r>
        <w:rPr>
          <w:rFonts w:hint="eastAsia" w:ascii="仿宋_GB2312" w:eastAsia="仿宋_GB2312"/>
          <w:sz w:val="32"/>
          <w:szCs w:val="32"/>
          <w:lang w:eastAsia="zh-CN"/>
        </w:rPr>
        <w:t>市场化</w:t>
      </w:r>
      <w:r>
        <w:rPr>
          <w:rFonts w:hint="eastAsia" w:ascii="仿宋_GB2312" w:eastAsia="仿宋_GB2312"/>
          <w:sz w:val="32"/>
          <w:szCs w:val="32"/>
        </w:rPr>
        <w:t>交易工作</w:t>
      </w:r>
      <w:bookmarkStart w:id="0" w:name="_GoBack"/>
      <w:bookmarkEnd w:id="0"/>
      <w:r>
        <w:rPr>
          <w:rFonts w:hint="eastAsia" w:ascii="仿宋_GB2312" w:eastAsia="仿宋_GB2312"/>
          <w:sz w:val="32"/>
          <w:szCs w:val="32"/>
          <w:lang w:eastAsia="zh-CN"/>
        </w:rPr>
        <w:t>安排</w:t>
      </w:r>
      <w:r>
        <w:rPr>
          <w:rFonts w:hint="eastAsia" w:ascii="仿宋_GB2312" w:eastAsia="仿宋_GB2312"/>
          <w:sz w:val="32"/>
          <w:szCs w:val="32"/>
        </w:rPr>
        <w:t>的通知。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一、背景</w:t>
      </w:r>
    </w:p>
    <w:p>
      <w:pPr>
        <w:ind w:firstLine="640" w:firstLineChars="200"/>
        <w:rPr>
          <w:rFonts w:ascii="仿宋_GB2312" w:eastAsia="仿宋_GB2312"/>
          <w:sz w:val="32"/>
          <w:szCs w:val="32"/>
        </w:rPr>
      </w:pPr>
      <w:r>
        <w:rPr>
          <w:rFonts w:hint="eastAsia" w:ascii="仿宋_GB2312" w:eastAsia="仿宋_GB2312"/>
          <w:sz w:val="32"/>
          <w:szCs w:val="32"/>
        </w:rPr>
        <w:t>为加快北京市20</w:t>
      </w:r>
      <w:r>
        <w:rPr>
          <w:rFonts w:hint="eastAsia" w:ascii="仿宋_GB2312" w:eastAsia="仿宋_GB2312"/>
          <w:sz w:val="32"/>
          <w:szCs w:val="32"/>
          <w:lang w:val="en-US" w:eastAsia="zh-CN"/>
        </w:rPr>
        <w:t>21</w:t>
      </w:r>
      <w:r>
        <w:rPr>
          <w:rFonts w:hint="eastAsia" w:ascii="仿宋_GB2312" w:eastAsia="仿宋_GB2312"/>
          <w:sz w:val="32"/>
          <w:szCs w:val="32"/>
        </w:rPr>
        <w:t>年电力市场建设，根据《中共中央 国务院关于进一步深化电力体制改革的若干意见》（中发〔2015〕9号）及国家发展改革委、国家能源局《关于做好2021年电力中长期合同签订工作的通知》（发改运行〔2020〕1784号）文件要求，构建有效竞争的市场结构和市场体系。</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、主要内容</w:t>
      </w:r>
    </w:p>
    <w:p>
      <w:pPr>
        <w:ind w:firstLine="640" w:firstLineChars="200"/>
        <w:rPr>
          <w:rFonts w:hint="eastAsia" w:ascii="仿宋_GB2312" w:eastAsia="仿宋_GB2312"/>
          <w:sz w:val="32"/>
          <w:szCs w:val="32"/>
        </w:rPr>
      </w:pPr>
      <w:r>
        <w:rPr>
          <w:rFonts w:hint="eastAsia" w:ascii="仿宋_GB2312" w:eastAsia="仿宋_GB2312"/>
          <w:sz w:val="32"/>
          <w:szCs w:val="32"/>
        </w:rPr>
        <w:t>通知由</w:t>
      </w:r>
      <w:r>
        <w:rPr>
          <w:rFonts w:hint="eastAsia" w:ascii="仿宋_GB2312" w:eastAsia="仿宋_GB2312"/>
          <w:sz w:val="32"/>
          <w:szCs w:val="32"/>
          <w:lang w:eastAsia="zh-CN"/>
        </w:rPr>
        <w:t>交易电量规模、交易组织安排、直接交易价格、结算方式、相关工作要求</w:t>
      </w:r>
      <w:r>
        <w:rPr>
          <w:rFonts w:hint="eastAsia" w:ascii="仿宋_GB2312" w:eastAsia="仿宋_GB2312"/>
          <w:sz w:val="32"/>
          <w:szCs w:val="32"/>
        </w:rPr>
        <w:t>组成，共五部分。</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（一）交易电量规模</w:t>
      </w:r>
    </w:p>
    <w:p>
      <w:pPr>
        <w:ind w:firstLine="640" w:firstLineChars="200"/>
        <w:rPr>
          <w:rFonts w:ascii="仿宋_GB2312" w:eastAsia="仿宋_GB2312"/>
          <w:sz w:val="32"/>
          <w:szCs w:val="32"/>
        </w:rPr>
      </w:pPr>
      <w:r>
        <w:rPr>
          <w:rFonts w:hint="eastAsia" w:ascii="仿宋_GB2312" w:eastAsia="仿宋_GB2312"/>
          <w:sz w:val="32"/>
          <w:szCs w:val="32"/>
        </w:rPr>
        <w:t>根据京津唐电网20</w:t>
      </w:r>
      <w:r>
        <w:rPr>
          <w:rFonts w:hint="eastAsia" w:ascii="仿宋_GB2312" w:eastAsia="仿宋_GB2312"/>
          <w:sz w:val="32"/>
          <w:szCs w:val="32"/>
          <w:lang w:val="en-US" w:eastAsia="zh-CN"/>
        </w:rPr>
        <w:t>21</w:t>
      </w:r>
      <w:r>
        <w:rPr>
          <w:rFonts w:hint="eastAsia" w:ascii="仿宋_GB2312" w:eastAsia="仿宋_GB2312"/>
          <w:sz w:val="32"/>
          <w:szCs w:val="32"/>
        </w:rPr>
        <w:t>年发电量安排及电网安全、供热约束条件，202</w:t>
      </w:r>
      <w:r>
        <w:rPr>
          <w:rFonts w:hint="eastAsia" w:ascii="仿宋_GB2312" w:eastAsia="仿宋_GB2312"/>
          <w:sz w:val="32"/>
          <w:szCs w:val="32"/>
          <w:lang w:val="en-US" w:eastAsia="zh-CN"/>
        </w:rPr>
        <w:t>1</w:t>
      </w:r>
      <w:r>
        <w:rPr>
          <w:rFonts w:hint="eastAsia" w:ascii="仿宋_GB2312" w:eastAsia="仿宋_GB2312"/>
          <w:sz w:val="32"/>
          <w:szCs w:val="32"/>
        </w:rPr>
        <w:t>年，北京市电力市场化直接交易用户侧总电量规模拟安排</w:t>
      </w:r>
      <w:r>
        <w:rPr>
          <w:rFonts w:hint="eastAsia" w:ascii="仿宋_GB2312" w:eastAsia="仿宋_GB2312"/>
          <w:sz w:val="32"/>
          <w:szCs w:val="32"/>
          <w:lang w:val="en-US" w:eastAsia="zh-CN"/>
        </w:rPr>
        <w:t>225</w:t>
      </w:r>
      <w:r>
        <w:rPr>
          <w:rFonts w:hint="eastAsia" w:ascii="仿宋_GB2312" w:eastAsia="仿宋_GB2312"/>
          <w:sz w:val="32"/>
          <w:szCs w:val="32"/>
        </w:rPr>
        <w:t>亿千瓦时。</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（二）交易组织安排</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北京市电力市场化交易工作由北京电力交易中心、首都电力交易中心共同组织开展。</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参与交易主体分为发电企业、售电公司、电力用户，具体以电力交易中心公告为准。</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交易组织具体方式</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2021年北京按照年度、月度开展分时段电力中长期交易，交易方式以双边协商、集中交易为主。</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电力用户：将注册用户全部电压等级（10千伏及以上）的用电单元统一打包参与交易。</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售电公司：售电公司将所代理用户全部电压等级（10千伏及以上）的用电单元统一打包参与交易。</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由国网华北电力调度控制分中心会同相关电力调度机构协调开展直接交易安全校核工作。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由北京电力交易中心、首都电力交易中心联合发布交易结果。</w:t>
      </w:r>
    </w:p>
    <w:p>
      <w:pPr>
        <w:ind w:firstLine="643" w:firstLineChars="200"/>
        <w:rPr>
          <w:rFonts w:ascii="仿宋_GB2312" w:eastAsia="仿宋_GB2312"/>
          <w:sz w:val="32"/>
          <w:szCs w:val="32"/>
        </w:rPr>
      </w:pPr>
      <w:r>
        <w:rPr>
          <w:rFonts w:hint="eastAsia" w:ascii="楷体" w:hAnsi="楷体" w:eastAsia="楷体" w:cs="楷体"/>
          <w:b/>
          <w:bCs/>
          <w:sz w:val="32"/>
          <w:szCs w:val="32"/>
        </w:rPr>
        <w:t>（三）直接交易价格</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1.时段划分</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按照北京市发展和改革委员会《关于调整本市销售电价有关事项的通知》（京发改〔2020〕1708号）明确的尖峰、峰、平、谷时段，2021年北京市电力市场化交易申报分为以下四个时段。</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2.交易价格</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电能量交易价格为通过电力市场直接交易形成的价格，即发电侧价格。</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北京市场用户的用电价格由电能量交易价格、输配电价格、辅助服务费用、政府性基金及附加等构成。</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w:t>
      </w:r>
      <w:r>
        <w:rPr>
          <w:rFonts w:hint="eastAsia" w:ascii="楷体" w:hAnsi="楷体" w:eastAsia="楷体" w:cs="楷体"/>
          <w:b/>
          <w:bCs/>
          <w:sz w:val="32"/>
          <w:szCs w:val="32"/>
          <w:lang w:eastAsia="zh-CN"/>
        </w:rPr>
        <w:t>结算方式</w:t>
      </w:r>
    </w:p>
    <w:p>
      <w:pPr>
        <w:ind w:firstLine="640" w:firstLineChars="200"/>
        <w:rPr>
          <w:rFonts w:hint="eastAsia" w:ascii="仿宋_GB2312" w:eastAsia="仿宋_GB2312"/>
          <w:sz w:val="32"/>
          <w:szCs w:val="32"/>
        </w:rPr>
      </w:pPr>
      <w:r>
        <w:rPr>
          <w:rFonts w:hint="eastAsia" w:ascii="仿宋_GB2312" w:eastAsia="仿宋_GB2312"/>
          <w:sz w:val="32"/>
          <w:szCs w:val="32"/>
        </w:rPr>
        <w:t>1.合同电量</w:t>
      </w:r>
    </w:p>
    <w:p>
      <w:pPr>
        <w:ind w:firstLine="640" w:firstLineChars="200"/>
        <w:rPr>
          <w:rFonts w:hint="eastAsia" w:ascii="仿宋_GB2312" w:eastAsia="仿宋_GB2312"/>
          <w:sz w:val="32"/>
          <w:szCs w:val="32"/>
        </w:rPr>
      </w:pPr>
      <w:r>
        <w:rPr>
          <w:rFonts w:hint="eastAsia" w:ascii="仿宋_GB2312" w:eastAsia="仿宋_GB2312"/>
          <w:sz w:val="32"/>
          <w:szCs w:val="32"/>
        </w:rPr>
        <w:t>2021年，北京市电力用户、售电公司交易各时段合同电量和合同偏差电量分开结算。</w:t>
      </w:r>
    </w:p>
    <w:p>
      <w:pPr>
        <w:ind w:firstLine="640" w:firstLineChars="200"/>
        <w:rPr>
          <w:rFonts w:hint="eastAsia" w:ascii="仿宋_GB2312" w:eastAsia="仿宋_GB2312"/>
          <w:sz w:val="32"/>
          <w:szCs w:val="32"/>
        </w:rPr>
      </w:pPr>
      <w:r>
        <w:rPr>
          <w:rFonts w:hint="eastAsia" w:ascii="仿宋_GB2312" w:eastAsia="仿宋_GB2312"/>
          <w:sz w:val="32"/>
          <w:szCs w:val="32"/>
        </w:rPr>
        <w:t>2.合同偏差电量</w:t>
      </w:r>
    </w:p>
    <w:p>
      <w:pPr>
        <w:ind w:firstLine="640" w:firstLineChars="200"/>
        <w:rPr>
          <w:rFonts w:hint="eastAsia" w:ascii="仿宋_GB2312" w:eastAsia="仿宋_GB2312"/>
          <w:sz w:val="32"/>
          <w:szCs w:val="32"/>
        </w:rPr>
      </w:pPr>
      <w:r>
        <w:rPr>
          <w:rFonts w:hint="eastAsia" w:ascii="仿宋_GB2312" w:eastAsia="仿宋_GB2312"/>
          <w:sz w:val="32"/>
          <w:szCs w:val="32"/>
        </w:rPr>
        <w:t>电力用户、售电公司实际用电量与各类交易合同（购售合同）总电量的差值部分为合同偏差电量，合同偏差电量分时段计算。</w:t>
      </w:r>
    </w:p>
    <w:p>
      <w:pPr>
        <w:ind w:firstLine="640" w:firstLineChars="200"/>
        <w:rPr>
          <w:rFonts w:hint="eastAsia" w:ascii="仿宋_GB2312" w:eastAsia="仿宋_GB2312"/>
          <w:sz w:val="32"/>
          <w:szCs w:val="32"/>
        </w:rPr>
      </w:pPr>
      <w:r>
        <w:rPr>
          <w:rFonts w:hint="eastAsia" w:ascii="仿宋_GB2312" w:eastAsia="仿宋_GB2312"/>
          <w:sz w:val="32"/>
          <w:szCs w:val="32"/>
        </w:rPr>
        <w:t>3.偏差电量结算</w:t>
      </w:r>
    </w:p>
    <w:p>
      <w:pPr>
        <w:ind w:firstLine="640" w:firstLineChars="200"/>
        <w:rPr>
          <w:rFonts w:hint="eastAsia" w:ascii="仿宋_GB2312" w:eastAsia="仿宋_GB2312"/>
          <w:sz w:val="32"/>
          <w:szCs w:val="32"/>
        </w:rPr>
      </w:pPr>
      <w:r>
        <w:rPr>
          <w:rFonts w:hint="eastAsia" w:ascii="仿宋_GB2312" w:eastAsia="仿宋_GB2312"/>
          <w:sz w:val="32"/>
          <w:szCs w:val="32"/>
        </w:rPr>
        <w:t>合同偏差电量部分按照以下价格分时段结算：</w:t>
      </w:r>
    </w:p>
    <w:p>
      <w:pPr>
        <w:ind w:firstLine="640" w:firstLineChars="200"/>
        <w:rPr>
          <w:rFonts w:hint="eastAsia" w:ascii="仿宋_GB2312" w:eastAsia="仿宋_GB2312"/>
          <w:sz w:val="32"/>
          <w:szCs w:val="32"/>
        </w:rPr>
      </w:pPr>
      <w:r>
        <w:rPr>
          <w:rFonts w:hint="eastAsia" w:ascii="仿宋_GB2312" w:eastAsia="仿宋_GB2312"/>
          <w:sz w:val="32"/>
          <w:szCs w:val="32"/>
        </w:rPr>
        <w:t>P</w:t>
      </w:r>
      <w:r>
        <w:rPr>
          <w:rFonts w:hint="eastAsia" w:cs="仿宋_GB2312"/>
          <w:kern w:val="0"/>
          <w:sz w:val="18"/>
          <w:szCs w:val="18"/>
          <w:highlight w:val="none"/>
        </w:rPr>
        <w:t>超用</w:t>
      </w:r>
      <w:r>
        <w:rPr>
          <w:rFonts w:hint="eastAsia" w:ascii="仿宋_GB2312" w:eastAsia="仿宋_GB2312"/>
          <w:sz w:val="32"/>
          <w:szCs w:val="32"/>
        </w:rPr>
        <w:t>=P</w:t>
      </w:r>
      <w:r>
        <w:rPr>
          <w:rFonts w:hint="eastAsia" w:cs="仿宋_GB2312"/>
          <w:kern w:val="0"/>
          <w:sz w:val="18"/>
          <w:szCs w:val="18"/>
          <w:highlight w:val="none"/>
        </w:rPr>
        <w:t>年度市场均价</w:t>
      </w:r>
      <w:r>
        <w:rPr>
          <w:rFonts w:hint="eastAsia" w:ascii="仿宋_GB2312" w:eastAsia="仿宋_GB2312"/>
          <w:sz w:val="32"/>
          <w:szCs w:val="32"/>
        </w:rPr>
        <w:t>×U</w:t>
      </w:r>
      <w:r>
        <w:rPr>
          <w:rFonts w:hint="eastAsia" w:cs="仿宋_GB2312"/>
          <w:kern w:val="0"/>
          <w:sz w:val="18"/>
          <w:szCs w:val="18"/>
          <w:highlight w:val="none"/>
        </w:rPr>
        <w:t>1</w:t>
      </w:r>
    </w:p>
    <w:p>
      <w:pPr>
        <w:ind w:firstLine="640" w:firstLineChars="200"/>
        <w:rPr>
          <w:rFonts w:hint="eastAsia" w:ascii="仿宋_GB2312" w:eastAsia="仿宋_GB2312"/>
          <w:sz w:val="32"/>
          <w:szCs w:val="32"/>
        </w:rPr>
      </w:pPr>
      <w:r>
        <w:rPr>
          <w:rFonts w:hint="eastAsia" w:ascii="仿宋_GB2312" w:eastAsia="仿宋_GB2312"/>
          <w:sz w:val="32"/>
          <w:szCs w:val="32"/>
        </w:rPr>
        <w:t>P</w:t>
      </w:r>
      <w:r>
        <w:rPr>
          <w:rFonts w:hint="eastAsia" w:cs="仿宋_GB2312"/>
          <w:kern w:val="0"/>
          <w:sz w:val="18"/>
          <w:szCs w:val="18"/>
          <w:highlight w:val="none"/>
        </w:rPr>
        <w:t>少用</w:t>
      </w:r>
      <w:r>
        <w:rPr>
          <w:rFonts w:hint="eastAsia" w:ascii="仿宋_GB2312" w:eastAsia="仿宋_GB2312"/>
          <w:sz w:val="32"/>
          <w:szCs w:val="32"/>
        </w:rPr>
        <w:t>=P</w:t>
      </w:r>
      <w:r>
        <w:rPr>
          <w:rFonts w:hint="eastAsia" w:cs="仿宋_GB2312"/>
          <w:kern w:val="0"/>
          <w:sz w:val="18"/>
          <w:szCs w:val="18"/>
          <w:highlight w:val="none"/>
        </w:rPr>
        <w:t>年度市场均价</w:t>
      </w:r>
      <w:r>
        <w:rPr>
          <w:rFonts w:hint="eastAsia" w:ascii="仿宋_GB2312" w:eastAsia="仿宋_GB2312"/>
          <w:sz w:val="32"/>
          <w:szCs w:val="32"/>
        </w:rPr>
        <w:t>×U</w:t>
      </w:r>
      <w:r>
        <w:rPr>
          <w:rFonts w:hint="eastAsia" w:cs="仿宋_GB2312"/>
          <w:kern w:val="0"/>
          <w:sz w:val="18"/>
          <w:szCs w:val="18"/>
          <w:highlight w:val="none"/>
        </w:rPr>
        <w:t>2</w:t>
      </w:r>
    </w:p>
    <w:p>
      <w:pPr>
        <w:ind w:firstLine="640" w:firstLineChars="200"/>
        <w:rPr>
          <w:rFonts w:hint="eastAsia" w:ascii="仿宋_GB2312" w:eastAsia="仿宋_GB2312"/>
          <w:sz w:val="32"/>
          <w:szCs w:val="32"/>
        </w:rPr>
      </w:pPr>
      <w:r>
        <w:rPr>
          <w:rFonts w:hint="eastAsia" w:ascii="仿宋_GB2312" w:eastAsia="仿宋_GB2312"/>
          <w:sz w:val="32"/>
          <w:szCs w:val="32"/>
        </w:rPr>
        <w:t>U</w:t>
      </w:r>
      <w:r>
        <w:rPr>
          <w:rFonts w:hint="eastAsia" w:cs="仿宋_GB2312"/>
          <w:kern w:val="0"/>
          <w:sz w:val="18"/>
          <w:szCs w:val="18"/>
          <w:highlight w:val="none"/>
        </w:rPr>
        <w:t>1</w:t>
      </w:r>
      <w:r>
        <w:rPr>
          <w:rFonts w:hint="eastAsia" w:ascii="仿宋_GB2312" w:eastAsia="仿宋_GB2312"/>
          <w:sz w:val="32"/>
          <w:szCs w:val="32"/>
        </w:rPr>
        <w:t>为调节系数，2021年1季度，北京地区U</w:t>
      </w:r>
      <w:r>
        <w:rPr>
          <w:rFonts w:hint="eastAsia" w:cs="仿宋_GB2312"/>
          <w:kern w:val="0"/>
          <w:sz w:val="18"/>
          <w:szCs w:val="18"/>
          <w:highlight w:val="none"/>
        </w:rPr>
        <w:t>1</w:t>
      </w:r>
      <w:r>
        <w:rPr>
          <w:rFonts w:hint="eastAsia" w:ascii="仿宋_GB2312" w:eastAsia="仿宋_GB2312"/>
          <w:sz w:val="32"/>
          <w:szCs w:val="32"/>
        </w:rPr>
        <w:t>暂定1.01。</w:t>
      </w:r>
    </w:p>
    <w:p>
      <w:pPr>
        <w:ind w:firstLine="640" w:firstLineChars="200"/>
        <w:rPr>
          <w:rFonts w:hint="eastAsia" w:ascii="仿宋_GB2312" w:eastAsia="仿宋_GB2312"/>
          <w:sz w:val="32"/>
          <w:szCs w:val="32"/>
        </w:rPr>
      </w:pPr>
      <w:r>
        <w:rPr>
          <w:rFonts w:hint="eastAsia" w:ascii="仿宋_GB2312" w:eastAsia="仿宋_GB2312"/>
          <w:sz w:val="32"/>
          <w:szCs w:val="32"/>
        </w:rPr>
        <w:t>U</w:t>
      </w:r>
      <w:r>
        <w:rPr>
          <w:rFonts w:hint="eastAsia" w:cs="仿宋_GB2312"/>
          <w:kern w:val="0"/>
          <w:sz w:val="18"/>
          <w:szCs w:val="18"/>
          <w:highlight w:val="none"/>
        </w:rPr>
        <w:t>2</w:t>
      </w:r>
      <w:r>
        <w:rPr>
          <w:rFonts w:hint="eastAsia" w:ascii="仿宋_GB2312" w:eastAsia="仿宋_GB2312"/>
          <w:sz w:val="32"/>
          <w:szCs w:val="32"/>
        </w:rPr>
        <w:t>为调节系数，2021年1季度，北京地区U</w:t>
      </w:r>
      <w:r>
        <w:rPr>
          <w:rFonts w:hint="eastAsia" w:cs="仿宋_GB2312"/>
          <w:kern w:val="0"/>
          <w:sz w:val="18"/>
          <w:szCs w:val="18"/>
          <w:highlight w:val="none"/>
        </w:rPr>
        <w:t>2</w:t>
      </w:r>
      <w:r>
        <w:rPr>
          <w:rFonts w:hint="eastAsia" w:ascii="仿宋_GB2312" w:eastAsia="仿宋_GB2312"/>
          <w:sz w:val="32"/>
          <w:szCs w:val="32"/>
        </w:rPr>
        <w:t>暂定0.99。</w:t>
      </w:r>
    </w:p>
    <w:p>
      <w:pPr>
        <w:ind w:firstLine="640" w:firstLineChars="200"/>
        <w:rPr>
          <w:rFonts w:hint="eastAsia" w:ascii="仿宋_GB2312" w:eastAsia="仿宋_GB2312"/>
          <w:sz w:val="32"/>
          <w:szCs w:val="32"/>
        </w:rPr>
      </w:pPr>
      <w:r>
        <w:rPr>
          <w:rFonts w:hint="eastAsia" w:ascii="仿宋_GB2312" w:eastAsia="仿宋_GB2312"/>
          <w:sz w:val="32"/>
          <w:szCs w:val="32"/>
        </w:rPr>
        <w:t>2021年1季度开展偏差电量结算试运行，后期根据北京市场运行情况，适时调整调节系数并向市场主体发布。</w:t>
      </w:r>
    </w:p>
    <w:p>
      <w:pPr>
        <w:ind w:firstLine="640" w:firstLineChars="200"/>
        <w:rPr>
          <w:rFonts w:hint="eastAsia" w:ascii="仿宋_GB2312" w:eastAsia="仿宋_GB2312"/>
          <w:sz w:val="32"/>
          <w:szCs w:val="32"/>
        </w:rPr>
      </w:pPr>
      <w:r>
        <w:rPr>
          <w:rFonts w:hint="eastAsia" w:ascii="仿宋_GB2312" w:eastAsia="仿宋_GB2312"/>
          <w:sz w:val="32"/>
          <w:szCs w:val="32"/>
        </w:rPr>
        <w:t>4.不平衡资金</w:t>
      </w:r>
    </w:p>
    <w:p>
      <w:pPr>
        <w:ind w:firstLine="640" w:firstLineChars="200"/>
        <w:rPr>
          <w:rFonts w:hint="eastAsia" w:ascii="仿宋_GB2312" w:eastAsia="仿宋_GB2312"/>
          <w:sz w:val="32"/>
          <w:szCs w:val="32"/>
        </w:rPr>
      </w:pPr>
      <w:r>
        <w:rPr>
          <w:rFonts w:hint="eastAsia" w:ascii="仿宋_GB2312" w:eastAsia="仿宋_GB2312"/>
          <w:sz w:val="32"/>
          <w:szCs w:val="32"/>
        </w:rPr>
        <w:t>电力用户、售电公司因合同偏差电量结算引起的不平衡资金，原则上在北京地区用户侧分摊。具体分摊原则根据市场运行情况和不平衡资金测算情况另行通知。</w:t>
      </w:r>
    </w:p>
    <w:p>
      <w:pPr>
        <w:ind w:firstLine="640" w:firstLineChars="200"/>
        <w:rPr>
          <w:rFonts w:hint="eastAsia" w:ascii="仿宋_GB2312" w:eastAsia="仿宋_GB2312"/>
          <w:sz w:val="32"/>
          <w:szCs w:val="32"/>
        </w:rPr>
      </w:pPr>
      <w:r>
        <w:rPr>
          <w:rFonts w:hint="eastAsia" w:ascii="仿宋_GB2312" w:eastAsia="仿宋_GB2312"/>
          <w:sz w:val="32"/>
          <w:szCs w:val="32"/>
        </w:rPr>
        <w:t>5.政策偏差电量免责</w:t>
      </w:r>
    </w:p>
    <w:p>
      <w:pPr>
        <w:ind w:firstLine="640" w:firstLineChars="200"/>
        <w:rPr>
          <w:rFonts w:hint="eastAsia" w:ascii="仿宋_GB2312" w:eastAsia="仿宋_GB2312"/>
          <w:sz w:val="32"/>
          <w:szCs w:val="32"/>
        </w:rPr>
      </w:pPr>
      <w:r>
        <w:rPr>
          <w:rFonts w:hint="eastAsia" w:ascii="仿宋_GB2312" w:eastAsia="仿宋_GB2312"/>
          <w:sz w:val="32"/>
          <w:szCs w:val="32"/>
        </w:rPr>
        <w:t>政策偏差电量免责参考《京津唐电网电力中长期交易结算规则》（另行发布）执行。</w:t>
      </w:r>
    </w:p>
    <w:p>
      <w:pPr>
        <w:numPr>
          <w:ilvl w:val="0"/>
          <w:numId w:val="1"/>
        </w:num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相关工作要求</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参与市场化交易的售电公司、直接参与市场化交易的电力用户（仅针对准入名称与用电人名称不一致的电力用户）以履约保函的方式向国网北京市电力公司提供担保。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等线">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7816"/>
    <w:multiLevelType w:val="singleLevel"/>
    <w:tmpl w:val="5FDC7816"/>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F6"/>
    <w:rsid w:val="000A0C96"/>
    <w:rsid w:val="001806F6"/>
    <w:rsid w:val="00293FD9"/>
    <w:rsid w:val="00415FA9"/>
    <w:rsid w:val="004A387E"/>
    <w:rsid w:val="004D3844"/>
    <w:rsid w:val="004D767A"/>
    <w:rsid w:val="006D0F2E"/>
    <w:rsid w:val="007B7E75"/>
    <w:rsid w:val="00863090"/>
    <w:rsid w:val="00977E97"/>
    <w:rsid w:val="00A9623B"/>
    <w:rsid w:val="00AF6E0D"/>
    <w:rsid w:val="00EC0B46"/>
    <w:rsid w:val="0B812926"/>
    <w:rsid w:val="0D2D052B"/>
    <w:rsid w:val="0D72171F"/>
    <w:rsid w:val="0E5A5A4A"/>
    <w:rsid w:val="1E3E3BFE"/>
    <w:rsid w:val="1FA2270C"/>
    <w:rsid w:val="286D293C"/>
    <w:rsid w:val="3A931261"/>
    <w:rsid w:val="444676D5"/>
    <w:rsid w:val="52321E77"/>
    <w:rsid w:val="54E35293"/>
    <w:rsid w:val="596707F5"/>
    <w:rsid w:val="617A47F5"/>
    <w:rsid w:val="6188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line="640" w:lineRule="exact"/>
      <w:jc w:val="center"/>
    </w:pPr>
    <w:rPr>
      <w:rFonts w:eastAsia="华文中宋"/>
      <w:sz w:val="4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Words>
  <Characters>634</Characters>
  <Lines>5</Lines>
  <Paragraphs>1</Paragraphs>
  <ScaleCrop>false</ScaleCrop>
  <LinksUpToDate>false</LinksUpToDate>
  <CharactersWithSpaces>744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2018-06-11T07:15:00Z</dcterms:created>
  <dc:creator>lily</dc:creator>
  <cp:lastModifiedBy>pc</cp:lastModifiedBy>
  <cp:lastPrinted>2020-05-22T01:46:00Z</cp:lastPrinted>
  <dcterms:modified xsi:type="dcterms:W3CDTF">2020-12-21T10:13:47Z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