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bookmarkEnd w:id="0"/>
    </w:p>
    <w:p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z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《北京市瓶装</w:t>
      </w:r>
      <w:r>
        <w:rPr>
          <w:rFonts w:ascii="方正小标宋简体" w:eastAsia="方正小标宋简体"/>
          <w:sz w:val="44"/>
          <w:szCs w:val="44"/>
        </w:rPr>
        <w:t>液化石油气供应和使用安全管理暂行规定</w:t>
      </w:r>
      <w:r>
        <w:rPr>
          <w:rFonts w:hint="eastAsia" w:ascii="方正小标宋简体" w:eastAsia="方正小标宋简体"/>
          <w:sz w:val="44"/>
          <w:szCs w:val="44"/>
        </w:rPr>
        <w:t>》的解读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制定背景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管控城市运行风险，减少和防范液化气安全事故，根据国家和本市有关法律、法规、规章的规定，结合市领导指示要求，</w:t>
      </w:r>
      <w:r>
        <w:rPr>
          <w:rFonts w:hint="eastAsia" w:ascii="Times New Roman" w:hAnsi="Times New Roman" w:eastAsia="仿宋_GB2312"/>
          <w:sz w:val="32"/>
          <w:szCs w:val="32"/>
        </w:rPr>
        <w:t>特制订本《规定》。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二、制定依据</w:t>
      </w:r>
    </w:p>
    <w:p>
      <w:pPr>
        <w:pStyle w:val="2"/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《安全生产法》、《特种设备安全法》、《城镇燃气管理条例》、《北京市燃气管理条例》、《北京市城市基础设施特许经营条例》、《北京市液化石油气发展建设专项规划》（京管发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6号）等。</w:t>
      </w:r>
    </w:p>
    <w:p>
      <w:pPr>
        <w:pStyle w:val="2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三、适用对象</w:t>
      </w:r>
    </w:p>
    <w:p>
      <w:pPr>
        <w:pStyle w:val="2"/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本市城市管理</w:t>
      </w:r>
      <w:r>
        <w:rPr>
          <w:rFonts w:ascii="Times New Roman" w:hAnsi="Times New Roman" w:eastAsia="仿宋_GB2312"/>
          <w:sz w:val="32"/>
          <w:szCs w:val="32"/>
        </w:rPr>
        <w:t>、市场监管、应急管理、交通运输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城管执法等部门，</w:t>
      </w:r>
      <w:r>
        <w:rPr>
          <w:rFonts w:hint="eastAsia" w:ascii="Times New Roman" w:hAnsi="Times New Roman" w:eastAsia="仿宋_GB2312"/>
          <w:sz w:val="32"/>
          <w:szCs w:val="32"/>
        </w:rPr>
        <w:t>液化气</w:t>
      </w:r>
      <w:r>
        <w:rPr>
          <w:rFonts w:ascii="Times New Roman" w:hAnsi="Times New Roman" w:eastAsia="仿宋_GB2312"/>
          <w:sz w:val="32"/>
          <w:szCs w:val="32"/>
        </w:rPr>
        <w:t>充装站、供应站，各类</w:t>
      </w:r>
      <w:r>
        <w:rPr>
          <w:rFonts w:hint="eastAsia" w:ascii="Times New Roman" w:hAnsi="Times New Roman" w:eastAsia="仿宋_GB2312"/>
          <w:sz w:val="32"/>
          <w:szCs w:val="32"/>
        </w:rPr>
        <w:t>液化</w:t>
      </w:r>
      <w:r>
        <w:rPr>
          <w:rFonts w:ascii="Times New Roman" w:hAnsi="Times New Roman" w:eastAsia="仿宋_GB2312"/>
          <w:sz w:val="32"/>
          <w:szCs w:val="32"/>
        </w:rPr>
        <w:t>气用户。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600" w:lineRule="exact"/>
        <w:ind w:left="64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主要内容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（一）建立了“三个机制”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1.建立监管(管理)协调机制。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2.建立执法联动机制。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3.建立考核评价机制。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/>
          <w:szCs w:val="32"/>
        </w:rPr>
      </w:pPr>
      <w:r>
        <w:rPr>
          <w:rFonts w:hint="eastAsia" w:ascii="仿宋_GB2312"/>
          <w:b/>
          <w:bCs/>
          <w:szCs w:val="32"/>
        </w:rPr>
        <w:t>（二）细化五方责任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1.细化部门监管（管理）职责。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2.细化液化气使用安全管理责任。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3.细化街道、乡镇属地管理责任。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4.逐一明确了充装站、供应站、气瓶运输单位的安全供气的主体责任，应遵守的规定，禁止行为。</w:t>
      </w:r>
    </w:p>
    <w:p>
      <w:pPr>
        <w:adjustRightInd w:val="0"/>
        <w:snapToGrid w:val="0"/>
        <w:spacing w:line="600" w:lineRule="exact"/>
        <w:ind w:firstLine="640" w:firstLineChars="200"/>
      </w:pPr>
      <w:r>
        <w:rPr>
          <w:rFonts w:hint="eastAsia" w:ascii="仿宋_GB2312"/>
          <w:szCs w:val="32"/>
        </w:rPr>
        <w:t>5.细化了用户安全用气的主体责任。</w:t>
      </w:r>
    </w:p>
    <w:sectPr>
      <w:footerReference r:id="rId4" w:type="first"/>
      <w:footerReference r:id="rId3" w:type="even"/>
      <w:pgSz w:w="11906" w:h="16838"/>
      <w:pgMar w:top="2098" w:right="1531" w:bottom="1985" w:left="1531" w:header="851" w:footer="1474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Style w:val="6"/>
        <w:rFonts w:ascii="宋体" w:hAnsi="宋体"/>
        <w:sz w:val="28"/>
      </w:rPr>
      <w:t>—</w:t>
    </w:r>
    <w:r>
      <w:rPr>
        <w:rStyle w:val="6"/>
        <w:rFonts w:hint="eastAsia" w:ascii="宋体" w:hAnsi="宋体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4</w:t>
    </w:r>
    <w:r>
      <w:rPr>
        <w:rFonts w:ascii="宋体"/>
        <w:sz w:val="28"/>
      </w:rPr>
      <w:fldChar w:fldCharType="end"/>
    </w:r>
    <w:r>
      <w:rPr>
        <w:rStyle w:val="6"/>
        <w:rFonts w:hint="eastAsia" w:ascii="宋体"/>
        <w:sz w:val="28"/>
      </w:rPr>
      <w:t xml:space="preserve"> </w:t>
    </w:r>
    <w:r>
      <w:rPr>
        <w:rStyle w:val="6"/>
        <w:rFonts w:ascii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43993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5C0F"/>
    <w:multiLevelType w:val="singleLevel"/>
    <w:tmpl w:val="5E995C0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1B1B"/>
    <w:rsid w:val="00243EBD"/>
    <w:rsid w:val="00426F46"/>
    <w:rsid w:val="005C347D"/>
    <w:rsid w:val="007E6DC3"/>
    <w:rsid w:val="00BA5E15"/>
    <w:rsid w:val="12C91B1B"/>
    <w:rsid w:val="1D6D13F6"/>
    <w:rsid w:val="21936B80"/>
    <w:rsid w:val="2B547BEC"/>
    <w:rsid w:val="503A6E20"/>
    <w:rsid w:val="5FF44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eastAsia="华文中宋"/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4"/>
    <w:uiPriority w:val="0"/>
    <w:rPr>
      <w:rFonts w:ascii="宋体" w:hAnsi="宋体" w:eastAsia="仿宋_GB2312"/>
      <w:kern w:val="2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eastAsia="仿宋_GB2312"/>
      <w:kern w:val="2"/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63</Words>
  <Characters>361</Characters>
  <Lines>3</Lines>
  <Paragraphs>1</Paragraphs>
  <ScaleCrop>false</ScaleCrop>
  <LinksUpToDate>false</LinksUpToDate>
  <CharactersWithSpaces>423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2020-04-17T07:20:00Z</dcterms:created>
  <dc:creator>lenovo</dc:creator>
  <cp:lastModifiedBy>pc</cp:lastModifiedBy>
  <dcterms:modified xsi:type="dcterms:W3CDTF">2020-06-19T06:13:15Z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