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625"/>
        </w:tabs>
        <w:snapToGrid w:val="0"/>
        <w:spacing w:line="600" w:lineRule="exact"/>
        <w:ind w:firstLine="960" w:firstLineChars="300"/>
        <w:jc w:val="center"/>
        <w:rPr>
          <w:rFonts w:hint="eastAsia"/>
          <w:sz w:val="44"/>
          <w:szCs w:val="44"/>
        </w:rPr>
      </w:pPr>
      <w:r>
        <w:tab/>
      </w: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首都城市环境建设管理委员会办公室</w:t>
      </w:r>
    </w:p>
    <w:p>
      <w:pPr>
        <w:adjustRightInd w:val="0"/>
        <w:snapToGrid w:val="0"/>
        <w:jc w:val="center"/>
        <w:rPr>
          <w:rFonts w:hint="eastAsia" w:ascii="方正小标宋简体" w:eastAsia="方正小标宋简体"/>
          <w:color w:val="000000"/>
          <w:sz w:val="44"/>
          <w:szCs w:val="44"/>
        </w:rPr>
      </w:pPr>
      <w:r>
        <w:rPr>
          <w:rFonts w:hint="eastAsia" w:ascii="方正小标宋简体" w:eastAsia="方正小标宋简体"/>
          <w:sz w:val="44"/>
          <w:szCs w:val="44"/>
        </w:rPr>
        <w:t>关于</w:t>
      </w:r>
      <w:r>
        <w:rPr>
          <w:rFonts w:hint="eastAsia" w:ascii="方正小标宋简体" w:hAnsi="方正小标宋简体" w:eastAsia="方正小标宋简体" w:cs="方正小标宋简体"/>
          <w:sz w:val="44"/>
          <w:szCs w:val="44"/>
        </w:rPr>
        <w:t>印发垃圾分类减量四个实施办法的通知</w:t>
      </w:r>
    </w:p>
    <w:p>
      <w:pPr>
        <w:adjustRightInd w:val="0"/>
        <w:snapToGrid w:val="0"/>
        <w:spacing w:line="312" w:lineRule="auto"/>
        <w:jc w:val="center"/>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rPr>
        <w:t>首环建管办〔2019〕57号</w:t>
      </w:r>
      <w:r>
        <w:rPr>
          <w:rFonts w:hint="eastAsia" w:ascii="楷体_GB2312" w:hAnsi="楷体_GB2312" w:eastAsia="楷体_GB2312" w:cs="楷体_GB2312"/>
          <w:lang w:eastAsia="zh-CN"/>
        </w:rPr>
        <w:t>）</w:t>
      </w:r>
    </w:p>
    <w:p>
      <w:pPr>
        <w:pStyle w:val="2"/>
        <w:jc w:val="center"/>
        <w:rPr>
          <w:rFonts w:hint="eastAsia"/>
        </w:rPr>
      </w:pPr>
      <w:r>
        <w:rPr>
          <w:rFonts w:hint="eastAsia" w:ascii="楷体_GB2312" w:hAnsi="楷体_GB2312" w:eastAsia="楷体_GB2312" w:cs="楷体_GB2312"/>
          <w:lang w:eastAsia="zh-CN"/>
        </w:rPr>
        <w:t>（公示版）</w:t>
      </w:r>
    </w:p>
    <w:p>
      <w:pPr>
        <w:spacing w:line="560" w:lineRule="exact"/>
        <w:rPr>
          <w:rFonts w:hint="eastAsia" w:ascii="仿宋_GB2312" w:hAnsi="仿宋_GB2312" w:cs="仿宋_GB2312"/>
        </w:rPr>
      </w:pPr>
    </w:p>
    <w:p>
      <w:pPr>
        <w:spacing w:line="560" w:lineRule="exact"/>
        <w:rPr>
          <w:rFonts w:hint="eastAsia" w:ascii="仿宋_GB2312" w:hAnsi="仿宋_GB2312" w:cs="仿宋_GB2312"/>
        </w:rPr>
      </w:pPr>
      <w:r>
        <w:rPr>
          <w:rFonts w:hint="eastAsia" w:ascii="仿宋_GB2312" w:hAnsi="仿宋_GB2312" w:cs="仿宋_GB2312"/>
        </w:rPr>
        <w:t>各区人民政府，市政府相关部门，各有关单位：</w:t>
      </w:r>
    </w:p>
    <w:p>
      <w:pPr>
        <w:spacing w:line="560" w:lineRule="exact"/>
        <w:ind w:firstLine="640" w:firstLineChars="200"/>
        <w:rPr>
          <w:rFonts w:hint="eastAsia" w:ascii="仿宋_GB2312" w:hAnsi="仿宋_GB2312" w:cs="仿宋_GB2312"/>
        </w:rPr>
      </w:pPr>
      <w:r>
        <w:rPr>
          <w:rFonts w:hint="eastAsia" w:ascii="仿宋_GB2312" w:hAnsi="仿宋_GB2312" w:cs="仿宋_GB2312"/>
        </w:rPr>
        <w:t>为贯彻落实新修订的《北京市生活垃圾管理条例》，市城市管理委拟定了《北京市党政机关社会单位垃圾分类实施办法（暂行）》《北京市居住小区垃圾分类实施办法（暂行）》《北京市垃圾分类收集运输处理实施办法（暂行）》和《北京市生活垃圾减量实施办法（暂行）》，已经市委市政府会议审议通过，现予印发，请贯彻执行。</w:t>
      </w:r>
    </w:p>
    <w:p>
      <w:pPr>
        <w:adjustRightInd w:val="0"/>
        <w:spacing w:line="560" w:lineRule="exact"/>
        <w:ind w:firstLine="640" w:firstLineChars="200"/>
        <w:contextualSpacing/>
        <w:rPr>
          <w:rFonts w:hint="eastAsia" w:ascii="仿宋_GB2312" w:hAnsi="仿宋_GB2312" w:cs="仿宋_GB2312"/>
        </w:rPr>
      </w:pPr>
      <w:r>
        <w:rPr>
          <w:rFonts w:hint="eastAsia" w:ascii="仿宋_GB2312" w:hAnsi="仿宋_GB2312" w:cs="仿宋_GB2312"/>
        </w:rPr>
        <w:t>特此通知。</w:t>
      </w:r>
    </w:p>
    <w:p>
      <w:pPr>
        <w:pStyle w:val="2"/>
        <w:rPr>
          <w:rFonts w:hint="eastAsia"/>
        </w:rPr>
      </w:pPr>
    </w:p>
    <w:p>
      <w:pPr>
        <w:adjustRightInd w:val="0"/>
        <w:spacing w:line="460" w:lineRule="exact"/>
        <w:ind w:firstLine="640" w:firstLineChars="200"/>
        <w:contextualSpacing/>
      </w:pPr>
    </w:p>
    <w:p>
      <w:pPr>
        <w:adjustRightInd w:val="0"/>
        <w:spacing w:line="540" w:lineRule="exact"/>
        <w:ind w:firstLine="640" w:firstLineChars="200"/>
        <w:contextualSpacing/>
        <w:rPr>
          <w:rFonts w:ascii="仿宋_GB2312" w:hAnsi="仿宋"/>
        </w:rPr>
      </w:pPr>
    </w:p>
    <w:p>
      <w:pPr>
        <w:tabs>
          <w:tab w:val="left" w:pos="7770"/>
          <w:tab w:val="left" w:pos="8190"/>
        </w:tabs>
        <w:adjustRightInd w:val="0"/>
        <w:snapToGrid w:val="0"/>
        <w:spacing w:line="560" w:lineRule="exact"/>
        <w:ind w:firstLine="3699" w:firstLineChars="1156"/>
        <w:rPr>
          <w:rFonts w:hint="eastAsia"/>
        </w:rPr>
      </w:pPr>
      <w:r>
        <w:rPr>
          <w:rFonts w:hint="eastAsia"/>
        </w:rPr>
        <w:t>首都城市环境建设管理委员会办公室</w:t>
      </w:r>
    </w:p>
    <w:p>
      <w:pPr>
        <w:tabs>
          <w:tab w:val="left" w:pos="7560"/>
        </w:tabs>
        <w:adjustRightInd w:val="0"/>
        <w:snapToGrid w:val="0"/>
        <w:spacing w:line="560" w:lineRule="exact"/>
        <w:ind w:firstLine="4800" w:firstLineChars="1500"/>
        <w:rPr>
          <w:rFonts w:hint="eastAsia"/>
        </w:rPr>
      </w:pPr>
      <w:r>
        <w:rPr>
          <w:rFonts w:hint="eastAsia"/>
        </w:rPr>
        <w:t xml:space="preserve">  </w:t>
      </w:r>
      <w:r>
        <w:t>201</w:t>
      </w:r>
      <w:r>
        <w:rPr>
          <w:rFonts w:hint="eastAsia"/>
        </w:rPr>
        <w:t>9</w:t>
      </w:r>
      <w:r>
        <w:t>年</w:t>
      </w:r>
      <w:r>
        <w:rPr>
          <w:rFonts w:hint="eastAsia"/>
        </w:rPr>
        <w:t>12</w:t>
      </w:r>
      <w:r>
        <w:t>月</w:t>
      </w:r>
      <w:r>
        <w:rPr>
          <w:rFonts w:hint="eastAsia"/>
        </w:rPr>
        <w:t>27</w:t>
      </w:r>
      <w:r>
        <w:t>日</w:t>
      </w:r>
    </w:p>
    <w:p>
      <w:pPr>
        <w:tabs>
          <w:tab w:val="left" w:pos="7560"/>
        </w:tabs>
        <w:adjustRightInd w:val="0"/>
        <w:snapToGrid w:val="0"/>
        <w:spacing w:line="560" w:lineRule="exact"/>
        <w:ind w:firstLine="4800" w:firstLineChars="1500"/>
        <w:rPr>
          <w:rFonts w:hint="eastAsia"/>
        </w:rPr>
      </w:pPr>
    </w:p>
    <w:p>
      <w:pPr>
        <w:tabs>
          <w:tab w:val="left" w:pos="7560"/>
        </w:tabs>
        <w:adjustRightInd w:val="0"/>
        <w:snapToGrid w:val="0"/>
        <w:spacing w:line="560" w:lineRule="exact"/>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spacing w:line="64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北京市党政机关社会单位垃圾分类实施办法</w:t>
      </w:r>
    </w:p>
    <w:p>
      <w:pPr>
        <w:spacing w:line="640" w:lineRule="exact"/>
        <w:jc w:val="center"/>
        <w:rPr>
          <w:rFonts w:hint="eastAsia" w:ascii="华文中宋" w:hAnsi="华文中宋" w:eastAsia="华文中宋" w:cs="方正小标宋_GBK"/>
          <w:spacing w:val="-23"/>
          <w:kern w:val="0"/>
          <w:sz w:val="36"/>
          <w:szCs w:val="36"/>
        </w:rPr>
      </w:pPr>
      <w:r>
        <w:rPr>
          <w:rFonts w:hint="eastAsia" w:ascii="楷体_GB2312" w:hAnsi="华文中宋" w:eastAsia="楷体_GB2312" w:cs="方正小标宋_GBK"/>
          <w:spacing w:val="-23"/>
          <w:kern w:val="0"/>
          <w:sz w:val="36"/>
          <w:szCs w:val="36"/>
        </w:rPr>
        <w:t>（暂行）</w:t>
      </w:r>
    </w:p>
    <w:p>
      <w:pPr>
        <w:adjustRightInd w:val="0"/>
        <w:snapToGrid w:val="0"/>
        <w:spacing w:line="640" w:lineRule="exact"/>
        <w:ind w:firstLine="736" w:firstLineChars="200"/>
        <w:rPr>
          <w:rFonts w:ascii="仿宋_GB2312" w:cs="仿宋_GB2312"/>
          <w:color w:val="000000"/>
          <w:spacing w:val="4"/>
          <w:sz w:val="36"/>
          <w:szCs w:val="36"/>
        </w:rPr>
      </w:pPr>
    </w:p>
    <w:p>
      <w:pPr>
        <w:adjustRightInd w:val="0"/>
        <w:snapToGrid w:val="0"/>
        <w:spacing w:line="560" w:lineRule="exact"/>
        <w:ind w:firstLine="608" w:firstLineChars="200"/>
        <w:rPr>
          <w:rFonts w:hint="eastAsia" w:cs="仿宋_GB2312"/>
          <w:color w:val="000000"/>
        </w:rPr>
      </w:pPr>
      <w:r>
        <w:rPr>
          <w:rFonts w:hint="eastAsia" w:cs="仿宋_GB2312"/>
          <w:color w:val="000000"/>
          <w:spacing w:val="-8"/>
        </w:rPr>
        <w:t>依据《北京市生活垃圾管理条例》《国务院办公厅关于转发国家发展改革委住房城乡建设部生活垃圾分类制度实施方案的通知</w:t>
      </w:r>
      <w:r>
        <w:rPr>
          <w:rFonts w:hint="eastAsia" w:cs="仿宋_GB2312"/>
          <w:color w:val="000000"/>
        </w:rPr>
        <w:t>》（国办发〔2017〕26号）《国家机关事务管理局等部门关于推进党政机关等公共机构生活垃圾分类工作的通知》（国管节能〔2017〕180号）《北京市人民政府办公厅关于加快推进生活垃圾</w:t>
      </w:r>
      <w:r>
        <w:rPr>
          <w:rFonts w:hint="eastAsia" w:cs="仿宋_GB2312"/>
          <w:color w:val="000000"/>
          <w:spacing w:val="-8"/>
        </w:rPr>
        <w:t>分类工作的意见》（京政办发〔2017〕44号），制定本办法。</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一、实施主体范围</w:t>
      </w:r>
    </w:p>
    <w:p>
      <w:pPr>
        <w:adjustRightInd w:val="0"/>
        <w:snapToGrid w:val="0"/>
        <w:spacing w:line="560" w:lineRule="exact"/>
        <w:ind w:firstLine="640" w:firstLineChars="200"/>
        <w:rPr>
          <w:rFonts w:hint="eastAsia" w:cs="仿宋_GB2312"/>
          <w:color w:val="000000"/>
        </w:rPr>
      </w:pPr>
      <w:r>
        <w:rPr>
          <w:rFonts w:hint="eastAsia" w:eastAsia="楷体_GB2312" w:cs="仿宋_GB2312"/>
          <w:color w:val="000000"/>
        </w:rPr>
        <w:t>（一）公共机构。</w:t>
      </w:r>
      <w:r>
        <w:rPr>
          <w:rFonts w:hint="eastAsia" w:cs="仿宋_GB2312"/>
          <w:color w:val="000000"/>
        </w:rPr>
        <w:t>包括党政机关，学校、医院、科研、</w:t>
      </w:r>
      <w:r>
        <w:rPr>
          <w:rFonts w:hint="eastAsia" w:cs="仿宋_GB2312"/>
          <w:color w:val="000000"/>
          <w:spacing w:val="-8"/>
        </w:rPr>
        <w:t>文化、出版、广播电视等事业单位，协会、学会、联合会等</w:t>
      </w:r>
      <w:r>
        <w:rPr>
          <w:rFonts w:hint="eastAsia" w:cs="仿宋_GB2312"/>
          <w:color w:val="000000"/>
        </w:rPr>
        <w:t>社团组织，车站、机场、旅游景点、体育场馆、演出场馆等公共场所管理单位。</w:t>
      </w:r>
    </w:p>
    <w:p>
      <w:pPr>
        <w:adjustRightInd w:val="0"/>
        <w:snapToGrid w:val="0"/>
        <w:spacing w:line="560" w:lineRule="exact"/>
        <w:ind w:firstLine="640" w:firstLineChars="200"/>
        <w:rPr>
          <w:rFonts w:hint="eastAsia" w:cs="仿宋_GB2312"/>
          <w:color w:val="000000"/>
        </w:rPr>
      </w:pPr>
      <w:r>
        <w:rPr>
          <w:rFonts w:hint="eastAsia" w:eastAsia="楷体_GB2312" w:cs="仿宋_GB2312"/>
          <w:color w:val="000000"/>
        </w:rPr>
        <w:t>（二）相关企业。</w:t>
      </w:r>
      <w:r>
        <w:rPr>
          <w:rFonts w:hint="eastAsia" w:cs="仿宋_GB2312"/>
          <w:color w:val="000000"/>
        </w:rPr>
        <w:t>包括宾馆、饭店、购物中心、超市、专业市场、农贸市场、农产品批发市场、商铺、商用写字楼等。</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二、分类标准及要求</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（一）分类标准</w:t>
      </w:r>
    </w:p>
    <w:p>
      <w:pPr>
        <w:adjustRightInd w:val="0"/>
        <w:snapToGrid w:val="0"/>
        <w:spacing w:line="560" w:lineRule="exact"/>
        <w:ind w:firstLine="640" w:firstLineChars="200"/>
        <w:rPr>
          <w:rFonts w:hint="eastAsia" w:cs="仿宋_GB2312"/>
          <w:color w:val="000000"/>
        </w:rPr>
      </w:pPr>
      <w:r>
        <w:rPr>
          <w:rFonts w:hint="eastAsia" w:cs="仿宋_GB2312"/>
          <w:color w:val="000000"/>
        </w:rPr>
        <w:t>党政机关、社会单位垃圾分类基本品类主要包括：厨余垃圾、可回收物、有害垃圾、其他垃圾。</w:t>
      </w:r>
    </w:p>
    <w:p>
      <w:pPr>
        <w:adjustRightInd w:val="0"/>
        <w:snapToGrid w:val="0"/>
        <w:spacing w:line="560" w:lineRule="exact"/>
        <w:ind w:firstLine="640" w:firstLineChars="200"/>
        <w:rPr>
          <w:rFonts w:hint="eastAsia" w:cs="仿宋_GB2312"/>
        </w:rPr>
      </w:pPr>
      <w:r>
        <w:rPr>
          <w:rFonts w:hint="eastAsia" w:cs="仿宋_GB2312"/>
        </w:rPr>
        <w:t>1.厨余垃圾</w:t>
      </w:r>
    </w:p>
    <w:p>
      <w:pPr>
        <w:adjustRightInd w:val="0"/>
        <w:snapToGrid w:val="0"/>
        <w:spacing w:line="560" w:lineRule="exact"/>
        <w:ind w:firstLine="640" w:firstLineChars="200"/>
        <w:rPr>
          <w:rFonts w:hint="eastAsia" w:cs="仿宋_GB2312"/>
        </w:rPr>
      </w:pPr>
      <w:r>
        <w:rPr>
          <w:rFonts w:hint="eastAsia" w:cs="仿宋_GB2312"/>
        </w:rPr>
        <w:t>是指党政机关、社会单位在食品加工、饮食服务、单位供餐等活动中产生的食物残渣、食品加工废料和废弃食用油脂，包括剩菜剩饭、菜根菜叶、骨骼内脏、果皮等。以及农贸市场、农产品批发市场产生的蔬菜瓜果垃圾、腐肉、肉碎骨、水产品、畜禽内脏等。</w:t>
      </w:r>
    </w:p>
    <w:p>
      <w:pPr>
        <w:adjustRightInd w:val="0"/>
        <w:snapToGrid w:val="0"/>
        <w:spacing w:line="560" w:lineRule="exact"/>
        <w:ind w:firstLine="640" w:firstLineChars="200"/>
        <w:rPr>
          <w:rFonts w:hint="eastAsia" w:cs="仿宋_GB2312"/>
        </w:rPr>
      </w:pPr>
      <w:r>
        <w:rPr>
          <w:rFonts w:hint="eastAsia" w:cs="仿宋_GB2312"/>
        </w:rPr>
        <w:t>2.可回收物</w:t>
      </w:r>
    </w:p>
    <w:p>
      <w:pPr>
        <w:adjustRightInd w:val="0"/>
        <w:snapToGrid w:val="0"/>
        <w:spacing w:line="560" w:lineRule="exact"/>
        <w:ind w:firstLine="640" w:firstLineChars="200"/>
        <w:rPr>
          <w:rFonts w:hint="eastAsia"/>
          <w:kern w:val="0"/>
        </w:rPr>
      </w:pPr>
      <w:r>
        <w:rPr>
          <w:rFonts w:hint="eastAsia"/>
          <w:kern w:val="0"/>
        </w:rPr>
        <w:t>是指在日常生活中或者为日常生活提供服务的活动中产生的，已经失去原有全部或者部分使用价值，回收后经过再加工可以成为生产原料或者经过整理可以再利用的物品。</w:t>
      </w:r>
    </w:p>
    <w:p>
      <w:pPr>
        <w:adjustRightInd w:val="0"/>
        <w:snapToGrid w:val="0"/>
        <w:spacing w:line="560" w:lineRule="exact"/>
        <w:ind w:firstLine="640" w:firstLineChars="200"/>
        <w:rPr>
          <w:rFonts w:hint="eastAsia" w:cs="仿宋_GB2312"/>
        </w:rPr>
      </w:pPr>
      <w:r>
        <w:rPr>
          <w:rFonts w:hint="eastAsia" w:cs="仿宋_GB2312"/>
        </w:rPr>
        <w:t>（1）废弃电器电子类产品</w:t>
      </w:r>
    </w:p>
    <w:p>
      <w:pPr>
        <w:adjustRightInd w:val="0"/>
        <w:snapToGrid w:val="0"/>
        <w:spacing w:line="560" w:lineRule="exact"/>
        <w:ind w:firstLine="640" w:firstLineChars="200"/>
        <w:rPr>
          <w:rFonts w:hint="eastAsia" w:cs="仿宋_GB2312"/>
        </w:rPr>
      </w:pPr>
      <w:r>
        <w:rPr>
          <w:rFonts w:hint="eastAsia" w:cs="仿宋_GB2312"/>
        </w:rPr>
        <w:t>包括报废计算机、打印机、复印机、传真机、扫描仪、投影仪、电视机、空调机等。</w:t>
      </w:r>
    </w:p>
    <w:p>
      <w:pPr>
        <w:adjustRightInd w:val="0"/>
        <w:snapToGrid w:val="0"/>
        <w:spacing w:line="560" w:lineRule="exact"/>
        <w:ind w:firstLine="640" w:firstLineChars="200"/>
        <w:rPr>
          <w:rFonts w:hint="eastAsia" w:cs="仿宋_GB2312"/>
        </w:rPr>
      </w:pPr>
      <w:r>
        <w:rPr>
          <w:rFonts w:hint="eastAsia" w:cs="仿宋_GB2312"/>
        </w:rPr>
        <w:t>（2）其他可回收物</w:t>
      </w:r>
    </w:p>
    <w:p>
      <w:pPr>
        <w:adjustRightInd w:val="0"/>
        <w:snapToGrid w:val="0"/>
        <w:spacing w:line="560" w:lineRule="exact"/>
        <w:ind w:firstLine="640" w:firstLineChars="200"/>
        <w:rPr>
          <w:rFonts w:hint="eastAsia" w:cs="仿宋_GB2312"/>
        </w:rPr>
      </w:pPr>
      <w:r>
        <w:rPr>
          <w:rFonts w:hint="eastAsia" w:cs="仿宋_GB2312"/>
        </w:rPr>
        <w:t>包括公开发行的废旧报刊书籍，废塑料，废包装物，废旧纺织物，废金属，废玻璃等。</w:t>
      </w:r>
    </w:p>
    <w:p>
      <w:pPr>
        <w:adjustRightInd w:val="0"/>
        <w:snapToGrid w:val="0"/>
        <w:spacing w:line="560" w:lineRule="exact"/>
        <w:ind w:firstLine="640" w:firstLineChars="200"/>
        <w:rPr>
          <w:rFonts w:hint="eastAsia" w:cs="仿宋_GB2312"/>
        </w:rPr>
      </w:pPr>
      <w:r>
        <w:rPr>
          <w:rFonts w:hint="eastAsia" w:cs="仿宋_GB2312"/>
        </w:rPr>
        <w:t>3.有害垃圾</w:t>
      </w:r>
    </w:p>
    <w:p>
      <w:pPr>
        <w:adjustRightInd w:val="0"/>
        <w:snapToGrid w:val="0"/>
        <w:spacing w:line="560" w:lineRule="exact"/>
        <w:ind w:firstLine="608" w:firstLineChars="200"/>
        <w:rPr>
          <w:rFonts w:hint="eastAsia" w:cs="仿宋_GB2312"/>
          <w:spacing w:val="-8"/>
        </w:rPr>
      </w:pPr>
      <w:r>
        <w:rPr>
          <w:rFonts w:hint="eastAsia" w:cs="仿宋_GB2312"/>
          <w:spacing w:val="-8"/>
        </w:rPr>
        <w:t>是指生活垃圾中的有毒有害物质，主要包括废电池（镉镍电池、氧化汞电池、铅蓄电池等），废荧光灯管（日光灯管、节能灯等），废温度计，废血压计，废药品及其包装物，废油漆、溶剂及其包装物，废杀虫剂、消毒剂及其包装物，废胶片及废相纸等。</w:t>
      </w:r>
    </w:p>
    <w:p>
      <w:pPr>
        <w:adjustRightInd w:val="0"/>
        <w:snapToGrid w:val="0"/>
        <w:spacing w:line="560" w:lineRule="exact"/>
        <w:ind w:firstLine="640" w:firstLineChars="200"/>
        <w:rPr>
          <w:rFonts w:hint="eastAsia" w:cs="仿宋_GB2312"/>
        </w:rPr>
      </w:pPr>
      <w:r>
        <w:rPr>
          <w:rFonts w:hint="eastAsia" w:cs="仿宋_GB2312"/>
        </w:rPr>
        <w:t>4.其他垃圾</w:t>
      </w:r>
    </w:p>
    <w:p>
      <w:pPr>
        <w:adjustRightInd w:val="0"/>
        <w:snapToGrid w:val="0"/>
        <w:spacing w:line="560" w:lineRule="exact"/>
        <w:ind w:firstLine="640" w:firstLineChars="200"/>
        <w:rPr>
          <w:rFonts w:hint="eastAsia" w:cs="仿宋_GB2312"/>
        </w:rPr>
      </w:pPr>
      <w:r>
        <w:rPr>
          <w:rFonts w:hint="eastAsia" w:cs="仿宋_GB2312"/>
        </w:rPr>
        <w:t>主要指除厨余垃圾、可回收物、有害垃圾之外的生活垃圾，以及难以辨识类别的生活垃圾。包括卫生纸、餐巾纸、污染纸张、灰土、陶瓷碎片等。</w:t>
      </w:r>
    </w:p>
    <w:p>
      <w:pPr>
        <w:adjustRightInd w:val="0"/>
        <w:snapToGrid w:val="0"/>
        <w:spacing w:line="560" w:lineRule="exact"/>
        <w:ind w:firstLine="640" w:firstLineChars="200"/>
        <w:rPr>
          <w:rFonts w:hint="eastAsia" w:cs="仿宋_GB2312"/>
          <w:color w:val="000000"/>
        </w:rPr>
      </w:pPr>
      <w:r>
        <w:rPr>
          <w:rFonts w:hint="eastAsia" w:cs="仿宋_GB2312"/>
          <w:color w:val="000000"/>
        </w:rPr>
        <w:t>5.其他情况</w:t>
      </w:r>
    </w:p>
    <w:p>
      <w:pPr>
        <w:adjustRightInd w:val="0"/>
        <w:snapToGrid w:val="0"/>
        <w:spacing w:line="560" w:lineRule="exact"/>
        <w:ind w:firstLine="640" w:firstLineChars="200"/>
        <w:rPr>
          <w:rFonts w:hint="eastAsia" w:cs="仿宋_GB2312"/>
          <w:color w:val="000000"/>
        </w:rPr>
      </w:pPr>
      <w:r>
        <w:rPr>
          <w:rFonts w:hint="eastAsia" w:cs="仿宋_GB2312"/>
          <w:color w:val="000000"/>
        </w:rPr>
        <w:t>（1）医院医疗垃圾要单独设置相应收集容器，按照医疗垃圾相关规定要求处置。</w:t>
      </w:r>
    </w:p>
    <w:p>
      <w:pPr>
        <w:adjustRightInd w:val="0"/>
        <w:snapToGrid w:val="0"/>
        <w:spacing w:line="560" w:lineRule="exact"/>
        <w:ind w:firstLine="640" w:firstLineChars="200"/>
        <w:rPr>
          <w:rFonts w:hint="eastAsia" w:cs="仿宋_GB2312"/>
          <w:color w:val="000000"/>
        </w:rPr>
      </w:pPr>
      <w:r>
        <w:rPr>
          <w:rFonts w:hint="eastAsia" w:cs="仿宋_GB2312"/>
          <w:color w:val="000000"/>
        </w:rPr>
        <w:t>（2）学校、科研院所产生的危险废弃物要严格按照相关规定要求处置。</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（二）容器设置和管理要求</w:t>
      </w:r>
    </w:p>
    <w:p>
      <w:pPr>
        <w:adjustRightInd w:val="0"/>
        <w:snapToGrid w:val="0"/>
        <w:spacing w:line="560" w:lineRule="exact"/>
        <w:ind w:firstLine="640" w:firstLineChars="200"/>
        <w:rPr>
          <w:rFonts w:hint="eastAsia" w:cs="仿宋_GB2312"/>
          <w:color w:val="000000"/>
        </w:rPr>
      </w:pPr>
      <w:r>
        <w:rPr>
          <w:rFonts w:hint="eastAsia" w:cs="仿宋_GB2312"/>
          <w:color w:val="000000"/>
        </w:rPr>
        <w:t>1.食堂餐饮区域</w:t>
      </w:r>
    </w:p>
    <w:p>
      <w:pPr>
        <w:adjustRightInd w:val="0"/>
        <w:snapToGrid w:val="0"/>
        <w:spacing w:line="560" w:lineRule="exact"/>
        <w:ind w:firstLine="640" w:firstLineChars="200"/>
        <w:rPr>
          <w:rFonts w:hint="eastAsia" w:cs="仿宋_GB2312"/>
          <w:color w:val="000000"/>
        </w:rPr>
      </w:pPr>
      <w:r>
        <w:rPr>
          <w:rFonts w:hint="eastAsia" w:cs="仿宋_GB2312"/>
          <w:color w:val="000000"/>
        </w:rPr>
        <w:t>（1）食品加工区应设置厨余垃圾收集容器收集食物残渣、食品加工废料等，设置其他垃圾收集容器收集食品包装物等，设置专用容器收集煎炸废油。配置油水分离装置（油水分离器或隔油池），对产生的含油废水进行分离收集。通过采用控水、控杂措施减少厨余垃圾清运量。</w:t>
      </w:r>
    </w:p>
    <w:p>
      <w:pPr>
        <w:adjustRightInd w:val="0"/>
        <w:snapToGrid w:val="0"/>
        <w:spacing w:line="560" w:lineRule="exact"/>
        <w:ind w:firstLine="640" w:firstLineChars="200"/>
        <w:rPr>
          <w:rFonts w:hint="eastAsia" w:cs="仿宋_GB2312"/>
          <w:color w:val="000000"/>
        </w:rPr>
      </w:pPr>
      <w:r>
        <w:rPr>
          <w:rFonts w:hint="eastAsia" w:cs="仿宋_GB2312"/>
          <w:color w:val="000000"/>
        </w:rPr>
        <w:t>（2）集中用餐区应在餐具集中回收处成组设置厨余垃圾、其他垃圾分类收集容器，并予以明确指引。</w:t>
      </w:r>
    </w:p>
    <w:p>
      <w:pPr>
        <w:adjustRightInd w:val="0"/>
        <w:snapToGrid w:val="0"/>
        <w:spacing w:line="560" w:lineRule="exact"/>
        <w:ind w:firstLine="640" w:firstLineChars="200"/>
        <w:rPr>
          <w:rFonts w:hint="eastAsia" w:cs="仿宋_GB2312"/>
          <w:color w:val="000000"/>
        </w:rPr>
      </w:pPr>
      <w:r>
        <w:rPr>
          <w:rFonts w:hint="eastAsia" w:cs="仿宋_GB2312"/>
          <w:color w:val="000000"/>
        </w:rPr>
        <w:t>（3）1000人以上用餐规模的大型餐饮企业、食堂和中央厨房宜安装厨余垃圾就地处理设备。</w:t>
      </w:r>
    </w:p>
    <w:p>
      <w:pPr>
        <w:adjustRightInd w:val="0"/>
        <w:snapToGrid w:val="0"/>
        <w:spacing w:line="560" w:lineRule="exact"/>
        <w:ind w:firstLine="640" w:firstLineChars="200"/>
        <w:rPr>
          <w:rFonts w:hint="eastAsia" w:cs="仿宋_GB2312"/>
          <w:color w:val="000000"/>
        </w:rPr>
      </w:pPr>
      <w:r>
        <w:rPr>
          <w:rFonts w:hint="eastAsia" w:cs="仿宋_GB2312"/>
          <w:color w:val="000000"/>
        </w:rPr>
        <w:t>（4）在夏秋等炎热季节，应加大厨余垃圾收运频次，及时清运。暂存时间超过12小时的单位，应在厨余垃圾暂存间采取降温措施，有效控制异味产生。</w:t>
      </w:r>
    </w:p>
    <w:p>
      <w:pPr>
        <w:adjustRightInd w:val="0"/>
        <w:snapToGrid w:val="0"/>
        <w:spacing w:line="560" w:lineRule="exact"/>
        <w:ind w:firstLine="640" w:firstLineChars="200"/>
        <w:rPr>
          <w:rFonts w:hint="eastAsia" w:cs="仿宋_GB2312"/>
          <w:color w:val="000000"/>
        </w:rPr>
      </w:pPr>
      <w:r>
        <w:rPr>
          <w:rFonts w:hint="eastAsia" w:cs="仿宋_GB2312"/>
          <w:color w:val="000000"/>
        </w:rPr>
        <w:t>2.办公区域</w:t>
      </w:r>
    </w:p>
    <w:p>
      <w:pPr>
        <w:adjustRightInd w:val="0"/>
        <w:snapToGrid w:val="0"/>
        <w:spacing w:line="560" w:lineRule="exact"/>
        <w:ind w:firstLine="640" w:firstLineChars="200"/>
        <w:rPr>
          <w:rFonts w:hint="eastAsia" w:cs="仿宋_GB2312"/>
          <w:color w:val="000000"/>
        </w:rPr>
      </w:pPr>
      <w:r>
        <w:rPr>
          <w:rFonts w:hint="eastAsia" w:cs="仿宋_GB2312"/>
          <w:color w:val="000000"/>
        </w:rPr>
        <w:t>（1）每个办公室内应设置其他垃圾收集容器。在出入通道、楼层廊道等公共区域，因地制宜设置可回收物、有害垃圾、其他垃圾收集容器。</w:t>
      </w:r>
    </w:p>
    <w:p>
      <w:pPr>
        <w:adjustRightInd w:val="0"/>
        <w:snapToGrid w:val="0"/>
        <w:spacing w:line="560" w:lineRule="exact"/>
        <w:ind w:firstLine="640" w:firstLineChars="200"/>
        <w:rPr>
          <w:rFonts w:hint="eastAsia" w:cs="仿宋_GB2312"/>
          <w:color w:val="000000"/>
        </w:rPr>
      </w:pPr>
      <w:r>
        <w:rPr>
          <w:rFonts w:hint="eastAsia" w:cs="仿宋_GB2312"/>
          <w:color w:val="000000"/>
        </w:rPr>
        <w:t>（2）单位应集中设置废旧报纸、纸张等可回收物存储点，定期预约专业单位或人员上门回收。</w:t>
      </w:r>
    </w:p>
    <w:p>
      <w:pPr>
        <w:adjustRightInd w:val="0"/>
        <w:snapToGrid w:val="0"/>
        <w:spacing w:line="560" w:lineRule="exact"/>
        <w:ind w:firstLine="640" w:firstLineChars="200"/>
        <w:rPr>
          <w:rFonts w:hint="eastAsia" w:cs="仿宋_GB2312"/>
          <w:color w:val="000000"/>
        </w:rPr>
      </w:pPr>
      <w:r>
        <w:rPr>
          <w:rFonts w:hint="eastAsia" w:cs="仿宋_GB2312"/>
          <w:color w:val="000000"/>
        </w:rPr>
        <w:t>（3）单位应集中设置有害垃圾暂存点，定期预约经认定的危险废物运输和经营企业及时清运。</w:t>
      </w:r>
    </w:p>
    <w:p>
      <w:pPr>
        <w:adjustRightInd w:val="0"/>
        <w:snapToGrid w:val="0"/>
        <w:spacing w:line="560" w:lineRule="exact"/>
        <w:ind w:firstLine="640" w:firstLineChars="200"/>
        <w:rPr>
          <w:rFonts w:hint="eastAsia" w:cs="仿宋_GB2312"/>
          <w:color w:val="000000"/>
        </w:rPr>
      </w:pPr>
      <w:r>
        <w:rPr>
          <w:rFonts w:hint="eastAsia" w:cs="仿宋_GB2312"/>
          <w:color w:val="000000"/>
        </w:rPr>
        <w:t>3.公共场所区域</w:t>
      </w:r>
    </w:p>
    <w:p>
      <w:pPr>
        <w:adjustRightInd w:val="0"/>
        <w:snapToGrid w:val="0"/>
        <w:spacing w:line="560" w:lineRule="exact"/>
        <w:ind w:firstLine="640" w:firstLineChars="200"/>
        <w:rPr>
          <w:rFonts w:hint="eastAsia" w:cs="仿宋_GB2312"/>
          <w:color w:val="000000"/>
        </w:rPr>
      </w:pPr>
      <w:r>
        <w:rPr>
          <w:rFonts w:hint="eastAsia" w:cs="仿宋_GB2312"/>
          <w:color w:val="000000"/>
        </w:rPr>
        <w:t>办公楼外区域、办事大厅公共场所等，应成组设置可回收物、其他垃圾两类收集容器。</w:t>
      </w:r>
    </w:p>
    <w:p>
      <w:pPr>
        <w:adjustRightInd w:val="0"/>
        <w:snapToGrid w:val="0"/>
        <w:spacing w:line="560" w:lineRule="exact"/>
        <w:ind w:firstLine="640" w:firstLineChars="200"/>
        <w:rPr>
          <w:rFonts w:hint="eastAsia" w:cs="仿宋_GB2312"/>
          <w:color w:val="000000"/>
        </w:rPr>
      </w:pPr>
      <w:r>
        <w:rPr>
          <w:rFonts w:hint="eastAsia" w:cs="仿宋_GB2312"/>
          <w:color w:val="000000"/>
        </w:rPr>
        <w:t>4.宾馆、饭店、购物中心、超市、专业市场、农贸市场、农产品批发市场、商铺、商用写字楼等经营性单位应根据经营区域产废情况合理设置分类收集容器。</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三、实施步骤</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（一）总体安排</w:t>
      </w:r>
    </w:p>
    <w:p>
      <w:pPr>
        <w:adjustRightInd w:val="0"/>
        <w:snapToGrid w:val="0"/>
        <w:spacing w:line="560" w:lineRule="exact"/>
        <w:ind w:firstLine="640" w:firstLineChars="200"/>
        <w:rPr>
          <w:rFonts w:hint="eastAsia" w:cs="仿宋_GB2312"/>
          <w:color w:val="000000"/>
        </w:rPr>
      </w:pPr>
      <w:r>
        <w:rPr>
          <w:rFonts w:hint="eastAsia" w:cs="仿宋_GB2312"/>
          <w:color w:val="000000"/>
        </w:rPr>
        <w:t>1.中央和国家党政机关、市级党政机关、区级党政机关在2019年底前全面实施垃圾分类。</w:t>
      </w:r>
    </w:p>
    <w:p>
      <w:pPr>
        <w:adjustRightInd w:val="0"/>
        <w:snapToGrid w:val="0"/>
        <w:spacing w:line="560" w:lineRule="exact"/>
        <w:ind w:firstLine="640" w:firstLineChars="200"/>
        <w:rPr>
          <w:rFonts w:hint="eastAsia" w:cs="仿宋_GB2312"/>
          <w:color w:val="000000"/>
        </w:rPr>
      </w:pPr>
      <w:r>
        <w:rPr>
          <w:rFonts w:hint="eastAsia" w:cs="仿宋_GB2312"/>
          <w:color w:val="000000"/>
        </w:rPr>
        <w:t>2.学校、医院等事业单位以及</w:t>
      </w:r>
      <w:r>
        <w:rPr>
          <w:rFonts w:hint="eastAsia" w:cs="仿宋_GB2312"/>
          <w:color w:val="000000"/>
          <w:spacing w:val="6"/>
        </w:rPr>
        <w:t>宾馆、饭店等相关企业</w:t>
      </w:r>
      <w:r>
        <w:rPr>
          <w:rFonts w:hint="eastAsia" w:cs="仿宋_GB2312"/>
          <w:color w:val="000000"/>
        </w:rPr>
        <w:t>在2020年4月底前全面实施垃圾分类。</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（二）实施步骤</w:t>
      </w:r>
    </w:p>
    <w:p>
      <w:pPr>
        <w:adjustRightInd w:val="0"/>
        <w:snapToGrid w:val="0"/>
        <w:spacing w:line="560" w:lineRule="exact"/>
        <w:ind w:firstLine="640" w:firstLineChars="200"/>
        <w:rPr>
          <w:rFonts w:hint="eastAsia" w:cs="仿宋_GB2312"/>
          <w:color w:val="000000"/>
        </w:rPr>
      </w:pPr>
      <w:r>
        <w:rPr>
          <w:rFonts w:hint="eastAsia" w:cs="仿宋_GB2312"/>
          <w:color w:val="000000"/>
        </w:rPr>
        <w:t>1.启动准备</w:t>
      </w:r>
    </w:p>
    <w:p>
      <w:pPr>
        <w:adjustRightInd w:val="0"/>
        <w:snapToGrid w:val="0"/>
        <w:spacing w:line="560" w:lineRule="exact"/>
        <w:ind w:firstLine="640" w:firstLineChars="200"/>
        <w:rPr>
          <w:rFonts w:hint="eastAsia" w:cs="仿宋_GB2312"/>
          <w:color w:val="000000"/>
        </w:rPr>
      </w:pPr>
      <w:r>
        <w:rPr>
          <w:rFonts w:hint="eastAsia" w:cs="仿宋_GB2312"/>
          <w:color w:val="000000"/>
        </w:rPr>
        <w:t>（1）各社会单位结合实际情况成立本单位垃圾分类工作小组。</w:t>
      </w:r>
    </w:p>
    <w:p>
      <w:pPr>
        <w:adjustRightInd w:val="0"/>
        <w:snapToGrid w:val="0"/>
        <w:spacing w:line="560" w:lineRule="exact"/>
        <w:ind w:firstLine="640" w:firstLineChars="200"/>
        <w:rPr>
          <w:rFonts w:hint="eastAsia" w:cs="仿宋_GB2312"/>
          <w:color w:val="000000"/>
        </w:rPr>
      </w:pPr>
      <w:r>
        <w:rPr>
          <w:rFonts w:hint="eastAsia" w:cs="仿宋_GB2312"/>
          <w:color w:val="000000"/>
        </w:rPr>
        <w:t>（2）开展基础调研，掌握本单位垃圾投放点设置、各品类垃圾日均产生量、收运方式、保洁员配置等现状。</w:t>
      </w:r>
    </w:p>
    <w:p>
      <w:pPr>
        <w:adjustRightInd w:val="0"/>
        <w:snapToGrid w:val="0"/>
        <w:spacing w:line="560" w:lineRule="exact"/>
        <w:ind w:firstLine="640" w:firstLineChars="200"/>
        <w:rPr>
          <w:rFonts w:hint="eastAsia" w:cs="仿宋_GB2312"/>
          <w:color w:val="000000"/>
        </w:rPr>
      </w:pPr>
      <w:r>
        <w:rPr>
          <w:rFonts w:hint="eastAsia" w:cs="仿宋_GB2312"/>
          <w:color w:val="000000"/>
        </w:rPr>
        <w:t>（3）按照调研情况，制定本单位垃圾分类实施方案。实施方案应包括分类设施设备配置（点位设置、垃圾房改造、分类收运设备配置等）、长效管理制度、收运服务对接、培训与宣传告知、各项任务时间节点等内容。</w:t>
      </w:r>
    </w:p>
    <w:p>
      <w:pPr>
        <w:adjustRightInd w:val="0"/>
        <w:snapToGrid w:val="0"/>
        <w:spacing w:line="560" w:lineRule="exact"/>
        <w:ind w:firstLine="640" w:firstLineChars="200"/>
        <w:rPr>
          <w:rFonts w:hint="eastAsia" w:cs="仿宋_GB2312"/>
          <w:color w:val="000000"/>
        </w:rPr>
      </w:pPr>
      <w:r>
        <w:rPr>
          <w:rFonts w:hint="eastAsia" w:cs="仿宋_GB2312"/>
          <w:color w:val="000000"/>
        </w:rPr>
        <w:t>（4）开展物业管理人员、保洁员等具体推进人员的培训工作。培训内容应包括新修订的《北京市生活垃圾管理条例》、本市生活垃圾分类基本知识、分类收运操作规范等。</w:t>
      </w:r>
    </w:p>
    <w:p>
      <w:pPr>
        <w:adjustRightInd w:val="0"/>
        <w:snapToGrid w:val="0"/>
        <w:spacing w:line="560" w:lineRule="exact"/>
        <w:ind w:firstLine="640" w:firstLineChars="200"/>
        <w:rPr>
          <w:rFonts w:hint="eastAsia" w:cs="仿宋_GB2312"/>
          <w:color w:val="000000"/>
        </w:rPr>
      </w:pPr>
      <w:r>
        <w:rPr>
          <w:rFonts w:hint="eastAsia" w:cs="仿宋_GB2312"/>
          <w:color w:val="000000"/>
        </w:rPr>
        <w:t>2.全面实施</w:t>
      </w:r>
    </w:p>
    <w:p>
      <w:pPr>
        <w:adjustRightInd w:val="0"/>
        <w:snapToGrid w:val="0"/>
        <w:spacing w:line="560" w:lineRule="exact"/>
        <w:ind w:firstLine="640" w:firstLineChars="200"/>
        <w:rPr>
          <w:rFonts w:hint="eastAsia" w:cs="仿宋_GB2312"/>
          <w:color w:val="000000"/>
        </w:rPr>
      </w:pPr>
      <w:r>
        <w:rPr>
          <w:rFonts w:hint="eastAsia" w:cs="仿宋_GB2312"/>
          <w:color w:val="000000"/>
        </w:rPr>
        <w:t>（1）配置设备。按照实施方案，工作小组敦促相关责任部门、人员配置分类收集容器及分类收运设备等。</w:t>
      </w:r>
    </w:p>
    <w:p>
      <w:pPr>
        <w:adjustRightInd w:val="0"/>
        <w:snapToGrid w:val="0"/>
        <w:spacing w:line="560" w:lineRule="exact"/>
        <w:ind w:firstLine="640" w:firstLineChars="200"/>
        <w:rPr>
          <w:rFonts w:hint="eastAsia" w:cs="仿宋_GB2312"/>
          <w:color w:val="000000"/>
        </w:rPr>
      </w:pPr>
      <w:r>
        <w:rPr>
          <w:rFonts w:hint="eastAsia" w:cs="仿宋_GB2312"/>
          <w:color w:val="000000"/>
        </w:rPr>
        <w:t>（2）宣传动员。开展垃圾分类宣传活动，包括生活垃圾分类知识、分类方法及投放要求，将垃圾分类宣传融入单位开展的各类活动中。</w:t>
      </w:r>
    </w:p>
    <w:p>
      <w:pPr>
        <w:adjustRightInd w:val="0"/>
        <w:snapToGrid w:val="0"/>
        <w:spacing w:line="560" w:lineRule="exact"/>
        <w:ind w:firstLine="640" w:firstLineChars="200"/>
        <w:rPr>
          <w:rFonts w:hint="eastAsia" w:cs="仿宋_GB2312"/>
          <w:color w:val="000000"/>
        </w:rPr>
      </w:pPr>
      <w:r>
        <w:rPr>
          <w:rFonts w:hint="eastAsia" w:cs="仿宋_GB2312"/>
          <w:color w:val="000000"/>
        </w:rPr>
        <w:t>（3）加强指导。工作小组应开展日常检查指导，每半月进行一次垃圾分类工作情况分析，总结经验，梳理问题，提出整改建议，扎实做好日常垃圾分类。</w:t>
      </w:r>
    </w:p>
    <w:p>
      <w:pPr>
        <w:adjustRightInd w:val="0"/>
        <w:snapToGrid w:val="0"/>
        <w:spacing w:line="560" w:lineRule="exact"/>
        <w:ind w:firstLine="640" w:firstLineChars="200"/>
        <w:rPr>
          <w:rFonts w:hint="eastAsia" w:cs="仿宋_GB2312"/>
          <w:color w:val="000000"/>
        </w:rPr>
      </w:pPr>
      <w:r>
        <w:rPr>
          <w:rFonts w:hint="eastAsia" w:cs="仿宋_GB2312"/>
          <w:color w:val="000000"/>
        </w:rPr>
        <w:t>3.形成机制</w:t>
      </w:r>
    </w:p>
    <w:p>
      <w:pPr>
        <w:adjustRightInd w:val="0"/>
        <w:snapToGrid w:val="0"/>
        <w:spacing w:line="560" w:lineRule="exact"/>
        <w:ind w:firstLine="640" w:firstLineChars="200"/>
        <w:rPr>
          <w:rFonts w:hint="eastAsia" w:cs="仿宋_GB2312"/>
          <w:color w:val="000000"/>
        </w:rPr>
      </w:pPr>
      <w:r>
        <w:rPr>
          <w:rFonts w:hint="eastAsia" w:cs="仿宋_GB2312"/>
          <w:color w:val="000000"/>
        </w:rPr>
        <w:t>（1）通过先进表彰、红黑榜等公示方式，增强干部职工垃圾分类积极性，养成分类投放习惯。</w:t>
      </w:r>
    </w:p>
    <w:p>
      <w:pPr>
        <w:adjustRightInd w:val="0"/>
        <w:snapToGrid w:val="0"/>
        <w:spacing w:line="560" w:lineRule="exact"/>
        <w:ind w:firstLine="640" w:firstLineChars="200"/>
        <w:rPr>
          <w:rFonts w:hint="eastAsia" w:cs="仿宋_GB2312"/>
          <w:color w:val="000000"/>
        </w:rPr>
      </w:pPr>
      <w:r>
        <w:rPr>
          <w:rFonts w:hint="eastAsia" w:cs="仿宋_GB2312"/>
          <w:color w:val="000000"/>
        </w:rPr>
        <w:t>（2）各单位工作小组要按照实施方案，固化宣传、检查、考核制度，形成长效管理机制。</w:t>
      </w:r>
    </w:p>
    <w:p>
      <w:pPr>
        <w:adjustRightInd w:val="0"/>
        <w:snapToGrid w:val="0"/>
        <w:spacing w:line="560" w:lineRule="exact"/>
        <w:ind w:firstLine="640" w:firstLineChars="200"/>
        <w:rPr>
          <w:rFonts w:hint="eastAsia" w:cs="仿宋_GB2312"/>
          <w:color w:val="000000"/>
        </w:rPr>
      </w:pPr>
      <w:r>
        <w:rPr>
          <w:rFonts w:hint="eastAsia" w:cs="仿宋_GB2312"/>
          <w:color w:val="000000"/>
        </w:rPr>
        <w:t>（3）定期开展分析评估，根据评估结果，及时改进硬件配置和管理方式，提升垃圾分类工作实效。</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四、工作要求</w:t>
      </w:r>
    </w:p>
    <w:p>
      <w:pPr>
        <w:adjustRightInd w:val="0"/>
        <w:snapToGrid w:val="0"/>
        <w:spacing w:line="560" w:lineRule="exact"/>
        <w:ind w:firstLine="640" w:firstLineChars="200"/>
        <w:rPr>
          <w:rFonts w:hint="eastAsia" w:cs="仿宋_GB2312"/>
          <w:color w:val="000000"/>
        </w:rPr>
      </w:pPr>
      <w:r>
        <w:rPr>
          <w:rFonts w:hint="eastAsia" w:eastAsia="楷体_GB2312" w:cs="仿宋_GB2312"/>
          <w:color w:val="000000"/>
        </w:rPr>
        <w:t>（一）实施“一把手”工程。</w:t>
      </w:r>
      <w:r>
        <w:rPr>
          <w:rFonts w:hint="eastAsia" w:cs="仿宋_GB2312"/>
          <w:color w:val="000000"/>
        </w:rPr>
        <w:t>各单位主要领导要高度重视垃圾分类工作，做到亲自过问，亲自部署，亲自检查，带头实施垃圾分类。</w:t>
      </w:r>
    </w:p>
    <w:p>
      <w:pPr>
        <w:adjustRightInd w:val="0"/>
        <w:snapToGrid w:val="0"/>
        <w:spacing w:line="560" w:lineRule="exact"/>
        <w:ind w:firstLine="640" w:firstLineChars="200"/>
        <w:rPr>
          <w:rFonts w:hint="eastAsia" w:cs="仿宋_GB2312"/>
          <w:color w:val="000000"/>
        </w:rPr>
      </w:pPr>
      <w:r>
        <w:rPr>
          <w:rFonts w:hint="eastAsia" w:eastAsia="楷体_GB2312" w:cs="仿宋_GB2312"/>
          <w:color w:val="000000"/>
        </w:rPr>
        <w:t>（二）推动工作落实。</w:t>
      </w:r>
      <w:r>
        <w:rPr>
          <w:rFonts w:hint="eastAsia" w:cs="仿宋_GB2312"/>
          <w:color w:val="000000"/>
        </w:rPr>
        <w:t>各单位要健全组织，落实责任，明确经费保障渠道，制定工作措施，确保垃圾分类工作有效推进。</w:t>
      </w:r>
    </w:p>
    <w:p>
      <w:pPr>
        <w:adjustRightInd w:val="0"/>
        <w:snapToGrid w:val="0"/>
        <w:spacing w:line="560" w:lineRule="exact"/>
        <w:ind w:firstLine="640" w:firstLineChars="200"/>
        <w:rPr>
          <w:rFonts w:hint="eastAsia" w:cs="仿宋_GB2312"/>
          <w:color w:val="000000"/>
        </w:rPr>
      </w:pPr>
      <w:r>
        <w:rPr>
          <w:rFonts w:hint="eastAsia" w:eastAsia="楷体_GB2312" w:cs="仿宋_GB2312"/>
          <w:color w:val="000000"/>
        </w:rPr>
        <w:t>（三）加强日常考核。</w:t>
      </w:r>
      <w:r>
        <w:rPr>
          <w:rFonts w:hint="eastAsia" w:cs="仿宋_GB2312"/>
          <w:color w:val="000000"/>
        </w:rPr>
        <w:t>各单位要建立内部垃圾分类考核制度，对垃圾分类不到位的部门、个人要视情给予批评教育、内部通报。</w:t>
      </w:r>
    </w:p>
    <w:p>
      <w:pPr>
        <w:spacing w:line="560" w:lineRule="exact"/>
        <w:jc w:val="center"/>
        <w:rPr>
          <w:rFonts w:hint="eastAsia" w:eastAsia="华文中宋" w:cs="方正小标宋_GBK"/>
          <w:sz w:val="44"/>
          <w:szCs w:val="44"/>
        </w:rPr>
      </w:pPr>
      <w:r>
        <w:rPr>
          <w:rFonts w:hint="eastAsia" w:cs="仿宋_GB2312"/>
          <w:color w:val="000000"/>
        </w:rPr>
        <w:br w:type="page"/>
      </w:r>
      <w:r>
        <w:rPr>
          <w:rFonts w:hint="eastAsia" w:eastAsia="方正小标宋简体" w:cs="方正小标宋简体"/>
          <w:sz w:val="44"/>
          <w:szCs w:val="44"/>
        </w:rPr>
        <w:t>北京市居住小区垃圾分类实施办法</w:t>
      </w:r>
    </w:p>
    <w:p>
      <w:pPr>
        <w:spacing w:line="560" w:lineRule="exact"/>
        <w:jc w:val="center"/>
        <w:rPr>
          <w:rFonts w:hint="eastAsia" w:eastAsia="楷体_GB2312" w:cs="方正小标宋_GBK"/>
          <w:sz w:val="36"/>
          <w:szCs w:val="36"/>
        </w:rPr>
      </w:pPr>
      <w:r>
        <w:rPr>
          <w:rFonts w:hint="eastAsia" w:eastAsia="楷体_GB2312" w:cs="方正小标宋_GBK"/>
          <w:sz w:val="36"/>
          <w:szCs w:val="36"/>
        </w:rPr>
        <w:t>（暂行）</w:t>
      </w:r>
    </w:p>
    <w:p>
      <w:pPr>
        <w:adjustRightInd w:val="0"/>
        <w:snapToGrid w:val="0"/>
        <w:spacing w:line="560" w:lineRule="exact"/>
        <w:ind w:firstLine="656" w:firstLineChars="200"/>
        <w:rPr>
          <w:rFonts w:cs="仿宋_GB2312"/>
          <w:color w:val="000000"/>
          <w:spacing w:val="4"/>
        </w:rPr>
      </w:pPr>
    </w:p>
    <w:p>
      <w:pPr>
        <w:adjustRightInd w:val="0"/>
        <w:snapToGrid w:val="0"/>
        <w:spacing w:line="560" w:lineRule="exact"/>
        <w:ind w:firstLine="608" w:firstLineChars="200"/>
        <w:rPr>
          <w:rFonts w:hint="eastAsia" w:cs="仿宋_GB2312"/>
          <w:color w:val="000000"/>
        </w:rPr>
      </w:pPr>
      <w:r>
        <w:rPr>
          <w:rFonts w:hint="eastAsia" w:cs="仿宋_GB2312"/>
          <w:color w:val="000000"/>
          <w:spacing w:val="-8"/>
        </w:rPr>
        <w:t>依据《北京市生活垃圾管理条例》《国务院办公厅关于转发国家发展改革委住房城乡建设部生活垃圾分类制度实施方案的通知</w:t>
      </w:r>
      <w:r>
        <w:rPr>
          <w:rFonts w:hint="eastAsia" w:cs="仿宋_GB2312"/>
          <w:color w:val="000000"/>
        </w:rPr>
        <w:t>》（国办发〔2017〕26号）《北京市人民政府办公厅关于加快推进生活垃圾</w:t>
      </w:r>
      <w:r>
        <w:rPr>
          <w:rFonts w:hint="eastAsia" w:cs="仿宋_GB2312"/>
          <w:color w:val="000000"/>
          <w:spacing w:val="-8"/>
        </w:rPr>
        <w:t>分类工作的意见》（京政办发〔2017〕44号）</w:t>
      </w:r>
      <w:r>
        <w:rPr>
          <w:rFonts w:hint="eastAsia" w:cs="仿宋_GB2312"/>
          <w:color w:val="000000"/>
        </w:rPr>
        <w:t>《住房和城乡建设部等部门关于在全国地级及以上城市全面开展生活垃圾分类工作的通知》（建城〔2019〕56号），以垃圾分类示范片区创建为引领，重点推动居住小区垃圾分类实施，制定本办法。</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一、责任主体</w:t>
      </w:r>
    </w:p>
    <w:p>
      <w:pPr>
        <w:adjustRightInd w:val="0"/>
        <w:snapToGrid w:val="0"/>
        <w:spacing w:line="560" w:lineRule="exact"/>
        <w:ind w:firstLine="640" w:firstLineChars="200"/>
        <w:rPr>
          <w:rFonts w:hint="eastAsia" w:cs="仿宋_GB2312"/>
          <w:color w:val="000000"/>
        </w:rPr>
      </w:pPr>
      <w:r>
        <w:rPr>
          <w:rFonts w:hint="eastAsia" w:cs="仿宋_GB2312"/>
          <w:color w:val="000000"/>
        </w:rPr>
        <w:t>居住小区垃圾分类的组织实施由垃圾分类管理责任人负责。实行物业管理的，由物业管理单位负责；单位自管的，由自管单位负责；不能确定垃圾分类管理责任人的，由所在地街道（乡镇）确定管理责任人。</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二、分类标准及要求</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（一）分类标准</w:t>
      </w:r>
    </w:p>
    <w:p>
      <w:pPr>
        <w:adjustRightInd w:val="0"/>
        <w:snapToGrid w:val="0"/>
        <w:spacing w:line="560" w:lineRule="exact"/>
        <w:ind w:firstLine="640" w:firstLineChars="200"/>
        <w:rPr>
          <w:rFonts w:hint="eastAsia" w:cs="仿宋_GB2312"/>
          <w:color w:val="000000"/>
        </w:rPr>
      </w:pPr>
      <w:r>
        <w:rPr>
          <w:rFonts w:hint="eastAsia" w:cs="仿宋_GB2312"/>
          <w:color w:val="000000"/>
        </w:rPr>
        <w:t>居住小区垃圾分类基本品类主要包括：厨余垃圾、可回收物、有害垃圾、其他垃圾。</w:t>
      </w:r>
    </w:p>
    <w:p>
      <w:pPr>
        <w:adjustRightInd w:val="0"/>
        <w:snapToGrid w:val="0"/>
        <w:spacing w:line="560" w:lineRule="exact"/>
        <w:ind w:firstLine="640" w:firstLineChars="200"/>
        <w:rPr>
          <w:rFonts w:hint="eastAsia" w:cs="仿宋_GB2312"/>
          <w:color w:val="000000"/>
        </w:rPr>
      </w:pPr>
      <w:r>
        <w:rPr>
          <w:rFonts w:hint="eastAsia" w:cs="仿宋_GB2312"/>
          <w:color w:val="000000"/>
        </w:rPr>
        <w:t>1.厨余垃圾</w:t>
      </w:r>
    </w:p>
    <w:p>
      <w:pPr>
        <w:adjustRightInd w:val="0"/>
        <w:snapToGrid w:val="0"/>
        <w:spacing w:line="560" w:lineRule="exact"/>
        <w:ind w:firstLine="640" w:firstLineChars="200"/>
        <w:rPr>
          <w:rFonts w:hint="eastAsia" w:cs="仿宋_GB2312"/>
          <w:color w:val="000000"/>
        </w:rPr>
      </w:pPr>
      <w:r>
        <w:rPr>
          <w:rFonts w:hint="eastAsia" w:cs="仿宋_GB2312"/>
          <w:color w:val="000000"/>
        </w:rPr>
        <w:t>是指家庭中产生的菜帮菜叶、瓜果皮核、剩菜剩饭、废弃食物等易腐性垃圾。</w:t>
      </w:r>
    </w:p>
    <w:p>
      <w:pPr>
        <w:adjustRightInd w:val="0"/>
        <w:snapToGrid w:val="0"/>
        <w:spacing w:line="560" w:lineRule="exact"/>
        <w:ind w:firstLine="640" w:firstLineChars="200"/>
        <w:rPr>
          <w:rFonts w:hint="eastAsia" w:cs="仿宋_GB2312"/>
          <w:color w:val="000000"/>
        </w:rPr>
      </w:pPr>
      <w:r>
        <w:rPr>
          <w:rFonts w:hint="eastAsia" w:cs="仿宋_GB2312"/>
          <w:color w:val="000000"/>
        </w:rPr>
        <w:t>2.可回收物</w:t>
      </w:r>
    </w:p>
    <w:p>
      <w:pPr>
        <w:adjustRightInd w:val="0"/>
        <w:snapToGrid w:val="0"/>
        <w:spacing w:line="560" w:lineRule="exact"/>
        <w:ind w:firstLine="640" w:firstLineChars="200"/>
        <w:rPr>
          <w:rFonts w:hint="eastAsia" w:cs="仿宋_GB2312"/>
          <w:color w:val="000000"/>
        </w:rPr>
      </w:pPr>
      <w:r>
        <w:rPr>
          <w:rFonts w:hint="eastAsia" w:cs="仿宋_GB2312"/>
          <w:color w:val="000000"/>
        </w:rPr>
        <w:t>是指在日常生活中或者为日常生活提供服务的活动中产生的，已经失去原有全部或者部分使用价值，回收后经过再加工可以成为生产原料或者经过整理可以再利用的物品，主要包括废纸类、塑料类、玻璃类、金属类、电子废弃物类、织物类等。</w:t>
      </w:r>
    </w:p>
    <w:p>
      <w:pPr>
        <w:adjustRightInd w:val="0"/>
        <w:snapToGrid w:val="0"/>
        <w:spacing w:line="560" w:lineRule="exact"/>
        <w:ind w:firstLine="640" w:firstLineChars="200"/>
        <w:rPr>
          <w:rFonts w:hint="eastAsia" w:cs="仿宋_GB2312"/>
          <w:color w:val="000000"/>
        </w:rPr>
      </w:pPr>
      <w:r>
        <w:rPr>
          <w:rFonts w:hint="eastAsia" w:cs="仿宋_GB2312"/>
          <w:color w:val="000000"/>
        </w:rPr>
        <w:t>3.有害垃圾</w:t>
      </w:r>
    </w:p>
    <w:p>
      <w:pPr>
        <w:adjustRightInd w:val="0"/>
        <w:snapToGrid w:val="0"/>
        <w:spacing w:line="560" w:lineRule="exact"/>
        <w:ind w:firstLine="608" w:firstLineChars="200"/>
        <w:rPr>
          <w:rFonts w:hint="eastAsia" w:cs="仿宋_GB2312"/>
          <w:spacing w:val="-8"/>
        </w:rPr>
      </w:pPr>
      <w:r>
        <w:rPr>
          <w:rFonts w:hint="eastAsia" w:cs="仿宋_GB2312"/>
          <w:spacing w:val="-8"/>
        </w:rPr>
        <w:t>是指生活垃圾中的有毒有害物质，主要包括废电池（镉镍电池、氧化汞电池、铅蓄电池等），废荧光灯管（日光灯管、节能灯等），废温度计，废血压计，废药品及其包装物，废油漆、溶剂及其包装物，废杀虫剂、消毒剂及其包装物，废胶片及废相纸等。</w:t>
      </w:r>
    </w:p>
    <w:p>
      <w:pPr>
        <w:adjustRightInd w:val="0"/>
        <w:snapToGrid w:val="0"/>
        <w:spacing w:line="560" w:lineRule="exact"/>
        <w:ind w:firstLine="640" w:firstLineChars="200"/>
        <w:rPr>
          <w:rFonts w:hint="eastAsia" w:cs="仿宋_GB2312"/>
          <w:color w:val="000000"/>
        </w:rPr>
      </w:pPr>
      <w:r>
        <w:rPr>
          <w:rFonts w:hint="eastAsia" w:cs="仿宋_GB2312"/>
          <w:color w:val="000000"/>
        </w:rPr>
        <w:t>4.其他垃圾</w:t>
      </w:r>
    </w:p>
    <w:p>
      <w:pPr>
        <w:adjustRightInd w:val="0"/>
        <w:snapToGrid w:val="0"/>
        <w:spacing w:line="560" w:lineRule="exact"/>
        <w:ind w:firstLine="640" w:firstLineChars="200"/>
        <w:rPr>
          <w:rFonts w:hint="eastAsia" w:cs="仿宋_GB2312"/>
          <w:color w:val="000000"/>
        </w:rPr>
      </w:pPr>
      <w:r>
        <w:rPr>
          <w:rFonts w:hint="eastAsia" w:cs="仿宋_GB2312"/>
          <w:color w:val="000000"/>
        </w:rPr>
        <w:t>是指</w:t>
      </w:r>
      <w:r>
        <w:rPr>
          <w:rFonts w:hint="eastAsia" w:cs="仿宋_GB2312"/>
        </w:rPr>
        <w:t>除厨余垃圾、可回收物、有害垃圾之外的生活垃圾，以及难以辨识类别的生活垃圾。包括卫生纸、餐巾纸、污染纸张、灰土、陶瓷碎片等。</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（二）容器设置及投放模式</w:t>
      </w:r>
    </w:p>
    <w:p>
      <w:pPr>
        <w:adjustRightInd w:val="0"/>
        <w:snapToGrid w:val="0"/>
        <w:spacing w:line="560" w:lineRule="exact"/>
        <w:ind w:firstLine="640" w:firstLineChars="200"/>
        <w:rPr>
          <w:rFonts w:hint="eastAsia" w:cs="仿宋_GB2312"/>
          <w:color w:val="000000"/>
        </w:rPr>
      </w:pPr>
      <w:r>
        <w:rPr>
          <w:rFonts w:hint="eastAsia" w:cs="仿宋_GB2312"/>
          <w:color w:val="000000"/>
        </w:rPr>
        <w:t>垃圾分类投放基本模式可归纳为三类：固定式、流动式和组合模式。</w:t>
      </w:r>
    </w:p>
    <w:p>
      <w:pPr>
        <w:adjustRightInd w:val="0"/>
        <w:snapToGrid w:val="0"/>
        <w:spacing w:line="560" w:lineRule="exact"/>
        <w:ind w:firstLine="608" w:firstLineChars="200"/>
        <w:rPr>
          <w:rFonts w:hint="eastAsia" w:cs="仿宋_GB2312"/>
          <w:color w:val="000000"/>
          <w:spacing w:val="-8"/>
        </w:rPr>
      </w:pPr>
      <w:r>
        <w:rPr>
          <w:rFonts w:hint="eastAsia" w:cs="仿宋_GB2312"/>
          <w:color w:val="000000"/>
          <w:spacing w:val="-8"/>
        </w:rPr>
        <w:t>1.固定式。主要包括固定桶站、专人值守的分类驿站等。</w:t>
      </w:r>
    </w:p>
    <w:p>
      <w:pPr>
        <w:adjustRightInd w:val="0"/>
        <w:snapToGrid w:val="0"/>
        <w:spacing w:line="560" w:lineRule="exact"/>
        <w:ind w:firstLine="640" w:firstLineChars="200"/>
        <w:rPr>
          <w:rFonts w:hint="eastAsia" w:cs="仿宋_GB2312"/>
          <w:color w:val="000000"/>
        </w:rPr>
      </w:pPr>
      <w:r>
        <w:rPr>
          <w:rFonts w:hint="eastAsia" w:cs="仿宋_GB2312"/>
          <w:color w:val="000000"/>
        </w:rPr>
        <w:t>（1）厨余垃圾与其他垃圾收集容器作为基本配置应成组设置，分类容器配置数量应根据垃圾收集方式、频次，按照《环境卫生设施设置标准》（CJJ-27）合理设置。在垃圾投放高峰期可适当增加收运频次或增加收集容器数量，确保垃圾桶不满冒。</w:t>
      </w:r>
    </w:p>
    <w:p>
      <w:pPr>
        <w:adjustRightInd w:val="0"/>
        <w:snapToGrid w:val="0"/>
        <w:spacing w:line="560" w:lineRule="exact"/>
        <w:ind w:firstLine="640" w:firstLineChars="200"/>
        <w:rPr>
          <w:rFonts w:hint="eastAsia" w:cs="仿宋_GB2312"/>
          <w:color w:val="000000"/>
        </w:rPr>
      </w:pPr>
      <w:r>
        <w:rPr>
          <w:rFonts w:hint="eastAsia" w:cs="仿宋_GB2312"/>
          <w:color w:val="000000"/>
        </w:rPr>
        <w:t>（2）每个居住小区须至少设置一处可回收物收集点，应当选择居住小区内较方便位置设置，如：居民出入道路两侧、公共休闲区等。如居住小区内已建设分类驿站等两网融合回收服务点，可替代可回收物收集点。可回收物收集点可与装修垃圾、大件垃圾暂存点合并设置。对于未提供上门回收或定时定点回收服务的居住小区，应在垃圾分类投放站点合理设置可回收物容器。</w:t>
      </w:r>
    </w:p>
    <w:p>
      <w:pPr>
        <w:adjustRightInd w:val="0"/>
        <w:snapToGrid w:val="0"/>
        <w:spacing w:line="560" w:lineRule="exact"/>
        <w:ind w:firstLine="640" w:firstLineChars="200"/>
        <w:rPr>
          <w:rFonts w:hint="eastAsia" w:cs="仿宋_GB2312"/>
          <w:color w:val="000000"/>
        </w:rPr>
      </w:pPr>
      <w:r>
        <w:rPr>
          <w:rFonts w:hint="eastAsia" w:cs="仿宋_GB2312"/>
          <w:color w:val="000000"/>
        </w:rPr>
        <w:t>（3）有害垃圾容器设置按照便利、快捷、安全的原则，每个居住小区至少设立一个专门场所或容器。对不同品种的有害垃圾要进行分类投放收集暂存，并在醒目位置设置有害垃圾标志。</w:t>
      </w:r>
    </w:p>
    <w:p>
      <w:pPr>
        <w:adjustRightInd w:val="0"/>
        <w:snapToGrid w:val="0"/>
        <w:spacing w:line="560" w:lineRule="exact"/>
        <w:ind w:firstLine="640" w:firstLineChars="200"/>
        <w:rPr>
          <w:rFonts w:hint="eastAsia" w:cs="仿宋_GB2312"/>
          <w:color w:val="000000"/>
        </w:rPr>
      </w:pPr>
      <w:r>
        <w:rPr>
          <w:rFonts w:hint="eastAsia" w:cs="仿宋_GB2312"/>
          <w:color w:val="000000"/>
        </w:rPr>
        <w:t>（4）专人值守的分类驿站可按照每300至500户居民设置。</w:t>
      </w:r>
    </w:p>
    <w:p>
      <w:pPr>
        <w:adjustRightInd w:val="0"/>
        <w:snapToGrid w:val="0"/>
        <w:spacing w:line="560" w:lineRule="exact"/>
        <w:ind w:firstLine="640" w:firstLineChars="200"/>
        <w:rPr>
          <w:rFonts w:hint="eastAsia" w:cs="仿宋_GB2312"/>
          <w:color w:val="000000"/>
        </w:rPr>
      </w:pPr>
      <w:r>
        <w:rPr>
          <w:rFonts w:hint="eastAsia" w:cs="仿宋_GB2312"/>
          <w:color w:val="000000"/>
        </w:rPr>
        <w:t>2.流动式。主要包括上门收集和定时收集两种方式。上门收集是指收集人员与居民住户采取一对一服务的方式，按照约定的时间和地点收集。定时收集是指垃圾收运车辆在指定时间定点收集或巡回收集。</w:t>
      </w:r>
    </w:p>
    <w:p>
      <w:pPr>
        <w:adjustRightInd w:val="0"/>
        <w:snapToGrid w:val="0"/>
        <w:spacing w:line="560" w:lineRule="exact"/>
        <w:ind w:firstLine="640" w:firstLineChars="200"/>
        <w:rPr>
          <w:rFonts w:hint="eastAsia" w:cs="仿宋_GB2312"/>
          <w:color w:val="000000"/>
        </w:rPr>
      </w:pPr>
      <w:r>
        <w:rPr>
          <w:rFonts w:hint="eastAsia" w:cs="仿宋_GB2312"/>
          <w:color w:val="000000"/>
        </w:rPr>
        <w:t>3.上述两种方式的组合模式。</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（三）投放要求</w:t>
      </w:r>
    </w:p>
    <w:p>
      <w:pPr>
        <w:adjustRightInd w:val="0"/>
        <w:snapToGrid w:val="0"/>
        <w:spacing w:line="560" w:lineRule="exact"/>
        <w:ind w:firstLine="640" w:firstLineChars="200"/>
        <w:rPr>
          <w:rFonts w:hint="eastAsia" w:cs="仿宋_GB2312"/>
          <w:color w:val="000000"/>
        </w:rPr>
      </w:pPr>
      <w:r>
        <w:rPr>
          <w:rFonts w:hint="eastAsia" w:cs="仿宋_GB2312"/>
          <w:color w:val="000000"/>
        </w:rPr>
        <w:t>1.厨余垃圾应从产生时就与其他品类垃圾分开，投放前沥干水分。切实提高厨余垃圾分出质量，交付运输时应做到“无玻璃陶瓷、无金属杂物、无塑料橡胶”。有包装物的过期食品应将包装物去除后分类投放。</w:t>
      </w:r>
    </w:p>
    <w:p>
      <w:pPr>
        <w:adjustRightInd w:val="0"/>
        <w:snapToGrid w:val="0"/>
        <w:spacing w:line="560" w:lineRule="exact"/>
        <w:ind w:firstLine="640" w:firstLineChars="200"/>
        <w:rPr>
          <w:rFonts w:hint="eastAsia" w:cs="仿宋_GB2312"/>
          <w:color w:val="000000"/>
        </w:rPr>
      </w:pPr>
      <w:r>
        <w:rPr>
          <w:rFonts w:hint="eastAsia" w:cs="仿宋_GB2312"/>
          <w:color w:val="000000"/>
        </w:rPr>
        <w:t>2.可回收物分类投放时，应尽量保持清洁干燥，避免污染。废纸应保持平整；立体包装物应清空、清洁后压扁</w:t>
      </w:r>
      <w:r>
        <w:rPr>
          <w:rFonts w:hint="eastAsia" w:cs="仿宋_GB2312"/>
          <w:color w:val="000000"/>
          <w:spacing w:val="4"/>
        </w:rPr>
        <w:t>投放；废玻璃制品应轻投轻放，有尖锐边角的应包裹后投放。</w:t>
      </w:r>
    </w:p>
    <w:p>
      <w:pPr>
        <w:adjustRightInd w:val="0"/>
        <w:snapToGrid w:val="0"/>
        <w:spacing w:line="560" w:lineRule="exact"/>
        <w:ind w:firstLine="640" w:firstLineChars="200"/>
        <w:rPr>
          <w:rFonts w:hint="eastAsia" w:cs="仿宋_GB2312"/>
          <w:color w:val="000000"/>
        </w:rPr>
      </w:pPr>
      <w:r>
        <w:rPr>
          <w:rFonts w:hint="eastAsia" w:cs="仿宋_GB2312"/>
          <w:color w:val="000000"/>
        </w:rPr>
        <w:t>3.有害垃圾投放应保证器物完整，避免二次污染。</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（四）收运要求</w:t>
      </w:r>
    </w:p>
    <w:p>
      <w:pPr>
        <w:adjustRightInd w:val="0"/>
        <w:snapToGrid w:val="0"/>
        <w:spacing w:line="560" w:lineRule="exact"/>
        <w:ind w:firstLine="640" w:firstLineChars="200"/>
        <w:rPr>
          <w:rFonts w:hint="eastAsia" w:cs="仿宋_GB2312"/>
          <w:color w:val="000000"/>
        </w:rPr>
      </w:pPr>
      <w:r>
        <w:rPr>
          <w:rFonts w:hint="eastAsia" w:cs="仿宋_GB2312"/>
          <w:color w:val="000000"/>
        </w:rPr>
        <w:t>垃圾分类管理责任人应与有收运资质的单位签订合同，落实排放登记制度有关要求。</w:t>
      </w:r>
    </w:p>
    <w:p>
      <w:pPr>
        <w:adjustRightInd w:val="0"/>
        <w:snapToGrid w:val="0"/>
        <w:spacing w:line="560" w:lineRule="exact"/>
        <w:ind w:firstLine="640" w:firstLineChars="200"/>
        <w:rPr>
          <w:rFonts w:hint="eastAsia" w:cs="仿宋_GB2312"/>
          <w:color w:val="000000"/>
        </w:rPr>
      </w:pPr>
      <w:r>
        <w:rPr>
          <w:rFonts w:hint="eastAsia" w:cs="仿宋_GB2312"/>
          <w:color w:val="000000"/>
        </w:rPr>
        <w:t>1.厨余垃圾收运时，作业人员应对所收运厨余垃圾进行质量认定，并进行称重计量，做到“日产日清”。</w:t>
      </w:r>
    </w:p>
    <w:p>
      <w:pPr>
        <w:adjustRightInd w:val="0"/>
        <w:snapToGrid w:val="0"/>
        <w:spacing w:line="560" w:lineRule="exact"/>
        <w:ind w:firstLine="640" w:firstLineChars="200"/>
        <w:rPr>
          <w:rFonts w:hint="eastAsia" w:cs="仿宋_GB2312"/>
          <w:color w:val="000000"/>
        </w:rPr>
      </w:pPr>
      <w:r>
        <w:rPr>
          <w:rFonts w:hint="eastAsia" w:cs="仿宋_GB2312"/>
          <w:color w:val="000000"/>
        </w:rPr>
        <w:t>2.各居住小区应设置可回收物暂存点，各街道应设置</w:t>
      </w:r>
      <w:r>
        <w:rPr>
          <w:rFonts w:hint="eastAsia" w:cs="仿宋_GB2312"/>
          <w:color w:val="000000"/>
          <w:spacing w:val="-4"/>
        </w:rPr>
        <w:t>可回收物中转点，由清运单位集中运送到相应的分拣中心。</w:t>
      </w:r>
    </w:p>
    <w:p>
      <w:pPr>
        <w:adjustRightInd w:val="0"/>
        <w:snapToGrid w:val="0"/>
        <w:spacing w:line="560" w:lineRule="exact"/>
        <w:ind w:firstLine="640" w:firstLineChars="200"/>
        <w:rPr>
          <w:rFonts w:hint="eastAsia" w:cs="仿宋_GB2312"/>
          <w:color w:val="000000"/>
        </w:rPr>
      </w:pPr>
      <w:r>
        <w:rPr>
          <w:rFonts w:hint="eastAsia" w:cs="仿宋_GB2312"/>
          <w:color w:val="000000"/>
        </w:rPr>
        <w:t>3.各街道应设置有害垃圾暂存点，将有害垃圾交由具备危废运输处理资质的机构进行收运处置，根据有害垃圾的品种和产生数量，合理约定收运频次。</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 xml:space="preserve">（五）大类分流 </w:t>
      </w:r>
    </w:p>
    <w:p>
      <w:pPr>
        <w:adjustRightInd w:val="0"/>
        <w:snapToGrid w:val="0"/>
        <w:spacing w:line="560" w:lineRule="exact"/>
        <w:ind w:firstLine="640" w:firstLineChars="200"/>
        <w:rPr>
          <w:rFonts w:hint="eastAsia" w:cs="仿宋_GB2312"/>
          <w:color w:val="000000"/>
        </w:rPr>
      </w:pPr>
      <w:r>
        <w:rPr>
          <w:rFonts w:hint="eastAsia" w:cs="仿宋_GB2312"/>
          <w:color w:val="000000"/>
        </w:rPr>
        <w:t>1.街道（乡镇）、社区应设置废旧家具等大件垃圾投放暂存点，设定专门区域或围挡并明示。具备条件的街道（乡镇）可作简单拆解处理或资源化就地处理。各区至少设置一处集中拆解处置中心。</w:t>
      </w:r>
    </w:p>
    <w:p>
      <w:pPr>
        <w:adjustRightInd w:val="0"/>
        <w:snapToGrid w:val="0"/>
        <w:spacing w:line="560" w:lineRule="exact"/>
        <w:ind w:firstLine="640" w:firstLineChars="200"/>
        <w:rPr>
          <w:rFonts w:hint="eastAsia" w:cs="仿宋_GB2312"/>
          <w:color w:val="000000"/>
        </w:rPr>
      </w:pPr>
      <w:r>
        <w:rPr>
          <w:rFonts w:hint="eastAsia" w:cs="仿宋_GB2312"/>
          <w:color w:val="000000"/>
        </w:rPr>
        <w:t>2.居住小区应设置装修垃圾投放暂存点或暂存设备。暂存点</w:t>
      </w:r>
      <w:r>
        <w:rPr>
          <w:rFonts w:hint="eastAsia" w:cs="仿宋_GB2312"/>
        </w:rPr>
        <w:t>内装修垃圾要</w:t>
      </w:r>
      <w:r>
        <w:rPr>
          <w:rFonts w:hint="eastAsia" w:cs="仿宋_GB2312"/>
          <w:color w:val="000000"/>
        </w:rPr>
        <w:t>袋装并码放整齐，设置专门隔离区域或围挡，有标识牌说明责任人、暂存时间段等信息。应委托有资质的建筑垃圾运输企业及时清运。</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三、实施步骤</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（一）示范片区选取原则</w:t>
      </w:r>
    </w:p>
    <w:p>
      <w:pPr>
        <w:adjustRightInd w:val="0"/>
        <w:snapToGrid w:val="0"/>
        <w:spacing w:line="560" w:lineRule="exact"/>
        <w:ind w:firstLine="640" w:firstLineChars="200"/>
        <w:rPr>
          <w:rFonts w:hint="eastAsia" w:cs="仿宋_GB2312"/>
          <w:color w:val="000000"/>
        </w:rPr>
      </w:pPr>
      <w:r>
        <w:rPr>
          <w:rFonts w:hint="eastAsia" w:cs="仿宋_GB2312"/>
          <w:color w:val="000000"/>
        </w:rPr>
        <w:t>示范片区的选取应采用区级申请和市级核准相结合的方式。示范片区创建应在物业管理齐全、条件完善、基础设施健全的小区先行开展，先易后难，逐步推开。</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（二）实施步骤</w:t>
      </w:r>
    </w:p>
    <w:p>
      <w:pPr>
        <w:adjustRightInd w:val="0"/>
        <w:snapToGrid w:val="0"/>
        <w:spacing w:line="560" w:lineRule="exact"/>
        <w:ind w:firstLine="640" w:firstLineChars="200"/>
        <w:rPr>
          <w:rFonts w:hint="eastAsia" w:cs="仿宋_GB2312"/>
          <w:color w:val="000000"/>
        </w:rPr>
      </w:pPr>
      <w:r>
        <w:rPr>
          <w:rFonts w:hint="eastAsia" w:cs="仿宋_GB2312"/>
          <w:color w:val="000000"/>
        </w:rPr>
        <w:t>1.启动准备</w:t>
      </w:r>
    </w:p>
    <w:p>
      <w:pPr>
        <w:adjustRightInd w:val="0"/>
        <w:snapToGrid w:val="0"/>
        <w:spacing w:line="560" w:lineRule="exact"/>
        <w:ind w:firstLine="640" w:firstLineChars="200"/>
        <w:rPr>
          <w:rFonts w:hint="eastAsia" w:cs="仿宋_GB2312"/>
          <w:color w:val="000000"/>
        </w:rPr>
      </w:pPr>
      <w:r>
        <w:rPr>
          <w:rFonts w:hint="eastAsia" w:cs="仿宋_GB2312"/>
          <w:color w:val="000000"/>
        </w:rPr>
        <w:t>（1）社区党组织牵头，组织物业、业委会、社会组织、志愿者和社区党员等，成立工作小组，实施居住小区垃圾分类工作。</w:t>
      </w:r>
    </w:p>
    <w:p>
      <w:pPr>
        <w:adjustRightInd w:val="0"/>
        <w:snapToGrid w:val="0"/>
        <w:spacing w:line="560" w:lineRule="exact"/>
        <w:ind w:firstLine="640" w:firstLineChars="200"/>
        <w:rPr>
          <w:rFonts w:hint="eastAsia" w:cs="仿宋_GB2312"/>
          <w:color w:val="000000"/>
        </w:rPr>
      </w:pPr>
      <w:r>
        <w:rPr>
          <w:rFonts w:hint="eastAsia" w:cs="仿宋_GB2312"/>
          <w:color w:val="000000"/>
        </w:rPr>
        <w:t>（2）开展基础调研。通过实地勘察、问卷调查、专业咨询等多种方式开展小区基础情况调研，掌握小区垃圾投放点设置、各类垃圾日均产生量、收运方式、保洁员及志愿者配置等现状情况，了解居民开展垃圾分类的意愿，研究选取垃圾分类投放模式。</w:t>
      </w:r>
    </w:p>
    <w:p>
      <w:pPr>
        <w:adjustRightInd w:val="0"/>
        <w:snapToGrid w:val="0"/>
        <w:spacing w:line="560" w:lineRule="exact"/>
        <w:ind w:firstLine="640" w:firstLineChars="200"/>
        <w:rPr>
          <w:rFonts w:hint="eastAsia" w:cs="仿宋_GB2312"/>
          <w:color w:val="000000"/>
        </w:rPr>
      </w:pPr>
      <w:r>
        <w:rPr>
          <w:rFonts w:hint="eastAsia" w:cs="仿宋_GB2312"/>
          <w:color w:val="000000"/>
        </w:rPr>
        <w:t>（3）确定实施方案。根据调研情况，制定垃圾分类实施方案。开展居民意见征询工作，做好方案的公示和宣传。实施方案应包括，分类设施设备配置（分类桶站点位设置、垃圾房改造、分类驿站建设、分类收运设备配置等），与收运服务对接，管理责任分工（社区党组织、居委会、业委会、物业等），指导人员配置（分类志愿者、监督员、保洁员等），各项任务时间节点等相关内容。</w:t>
      </w:r>
    </w:p>
    <w:p>
      <w:pPr>
        <w:adjustRightInd w:val="0"/>
        <w:snapToGrid w:val="0"/>
        <w:spacing w:line="560" w:lineRule="exact"/>
        <w:ind w:firstLine="640" w:firstLineChars="200"/>
        <w:rPr>
          <w:rFonts w:hint="eastAsia" w:cs="仿宋_GB2312"/>
          <w:color w:val="000000"/>
        </w:rPr>
      </w:pPr>
      <w:r>
        <w:rPr>
          <w:rFonts w:hint="eastAsia" w:cs="仿宋_GB2312"/>
          <w:color w:val="000000"/>
        </w:rPr>
        <w:t>（4）落实宣传培训。开展物业管理人员、志愿者、监督员、保洁员等具体推进人员的培训工作。培训内容应包括本市生活垃圾分类基本知识、分类收运操作规范、与居民的沟通等。</w:t>
      </w:r>
    </w:p>
    <w:p>
      <w:pPr>
        <w:adjustRightInd w:val="0"/>
        <w:snapToGrid w:val="0"/>
        <w:spacing w:line="560" w:lineRule="exact"/>
        <w:ind w:firstLine="640" w:firstLineChars="200"/>
        <w:rPr>
          <w:rFonts w:hint="eastAsia" w:cs="仿宋_GB2312"/>
          <w:color w:val="000000"/>
        </w:rPr>
      </w:pPr>
      <w:r>
        <w:rPr>
          <w:rFonts w:hint="eastAsia" w:cs="仿宋_GB2312"/>
          <w:color w:val="000000"/>
        </w:rPr>
        <w:t>2.全面实施</w:t>
      </w:r>
    </w:p>
    <w:p>
      <w:pPr>
        <w:adjustRightInd w:val="0"/>
        <w:snapToGrid w:val="0"/>
        <w:spacing w:line="560" w:lineRule="exact"/>
        <w:ind w:firstLine="640" w:firstLineChars="200"/>
        <w:rPr>
          <w:rFonts w:hint="eastAsia" w:cs="仿宋_GB2312"/>
          <w:color w:val="000000"/>
        </w:rPr>
      </w:pPr>
      <w:r>
        <w:rPr>
          <w:rFonts w:hint="eastAsia" w:cs="仿宋_GB2312"/>
          <w:color w:val="000000"/>
        </w:rPr>
        <w:t>（1）配置分类设备。在社区党组织领导下，工作小组敦促相关责任部门、人员实施点位配置、改造；管理责任人按照实施方案配置符合本市分类标准及标识标志规范的分类收集容器、站点及分类收运设备等。</w:t>
      </w:r>
    </w:p>
    <w:p>
      <w:pPr>
        <w:adjustRightInd w:val="0"/>
        <w:snapToGrid w:val="0"/>
        <w:spacing w:line="560" w:lineRule="exact"/>
        <w:ind w:firstLine="640" w:firstLineChars="200"/>
        <w:rPr>
          <w:rFonts w:hint="eastAsia" w:cs="仿宋_GB2312"/>
          <w:color w:val="000000"/>
        </w:rPr>
      </w:pPr>
      <w:r>
        <w:rPr>
          <w:rFonts w:hint="eastAsia" w:cs="仿宋_GB2312"/>
          <w:color w:val="000000"/>
        </w:rPr>
        <w:t>（2）广泛宣传告知。开展垃圾分类宣传、告知工作，</w:t>
      </w:r>
      <w:r>
        <w:rPr>
          <w:rFonts w:hint="eastAsia" w:cs="仿宋_GB2312"/>
          <w:color w:val="000000"/>
          <w:spacing w:val="-8"/>
        </w:rPr>
        <w:t>落实上门入户宣传，内容至少包括生活垃圾分类知识、分类</w:t>
      </w:r>
      <w:r>
        <w:rPr>
          <w:rFonts w:hint="eastAsia" w:cs="仿宋_GB2312"/>
          <w:color w:val="000000"/>
        </w:rPr>
        <w:t>方法及投放要求，并保证宣传的有效性；利用公共宣传栏、</w:t>
      </w:r>
      <w:r>
        <w:rPr>
          <w:rFonts w:hint="eastAsia" w:cs="仿宋_GB2312"/>
          <w:color w:val="000000"/>
          <w:spacing w:val="-8"/>
        </w:rPr>
        <w:t>电子显示屏宣传垃圾分类相关内容；定期开展垃圾分类专题</w:t>
      </w:r>
      <w:r>
        <w:rPr>
          <w:rFonts w:hint="eastAsia" w:cs="仿宋_GB2312"/>
          <w:color w:val="000000"/>
        </w:rPr>
        <w:t>宣传活动，将垃圾分类宣传融入小区开展的各类活动中。</w:t>
      </w:r>
    </w:p>
    <w:p>
      <w:pPr>
        <w:adjustRightInd w:val="0"/>
        <w:snapToGrid w:val="0"/>
        <w:spacing w:line="560" w:lineRule="exact"/>
        <w:ind w:firstLine="640" w:firstLineChars="200"/>
        <w:rPr>
          <w:rFonts w:hint="eastAsia" w:cs="仿宋_GB2312"/>
          <w:color w:val="000000"/>
        </w:rPr>
      </w:pPr>
      <w:r>
        <w:rPr>
          <w:rFonts w:hint="eastAsia" w:cs="仿宋_GB2312"/>
          <w:color w:val="000000"/>
        </w:rPr>
        <w:t>（3）落实值守指导。推广垃圾分类“四看”工作经验，确保垃圾分类全面实施效果。看楼，在楼门设立垃圾分类公示板；看门，开展一对一入户宣传；看桶，分类桶站设置专人值守；看人，对不分类的重点人员进行督促引导。</w:t>
      </w:r>
    </w:p>
    <w:p>
      <w:pPr>
        <w:adjustRightInd w:val="0"/>
        <w:snapToGrid w:val="0"/>
        <w:spacing w:line="560" w:lineRule="exact"/>
        <w:ind w:firstLine="640" w:firstLineChars="200"/>
        <w:rPr>
          <w:rFonts w:hint="eastAsia" w:cs="仿宋_GB2312"/>
          <w:color w:val="000000"/>
        </w:rPr>
      </w:pPr>
      <w:r>
        <w:rPr>
          <w:rFonts w:hint="eastAsia" w:cs="仿宋_GB2312"/>
          <w:color w:val="000000"/>
        </w:rPr>
        <w:t>3.形成机制</w:t>
      </w:r>
    </w:p>
    <w:p>
      <w:pPr>
        <w:adjustRightInd w:val="0"/>
        <w:snapToGrid w:val="0"/>
        <w:spacing w:line="560" w:lineRule="exact"/>
        <w:ind w:firstLine="640" w:firstLineChars="200"/>
        <w:rPr>
          <w:rFonts w:hint="eastAsia" w:cs="仿宋_GB2312"/>
          <w:color w:val="000000"/>
        </w:rPr>
      </w:pPr>
      <w:r>
        <w:rPr>
          <w:rFonts w:hint="eastAsia" w:cs="仿宋_GB2312"/>
          <w:color w:val="000000"/>
        </w:rPr>
        <w:t>（1）转变值守巡查机制。工作小组可根据分类推进成效，逐步减少志愿者值守、监督员巡查等监督手段的时长或频次，最终实现居民的自觉分类投放。</w:t>
      </w:r>
    </w:p>
    <w:p>
      <w:pPr>
        <w:adjustRightInd w:val="0"/>
        <w:snapToGrid w:val="0"/>
        <w:spacing w:line="560" w:lineRule="exact"/>
        <w:ind w:firstLine="640" w:firstLineChars="200"/>
        <w:rPr>
          <w:rFonts w:hint="eastAsia" w:cs="仿宋_GB2312"/>
          <w:color w:val="000000"/>
        </w:rPr>
      </w:pPr>
      <w:r>
        <w:rPr>
          <w:rFonts w:hint="eastAsia" w:cs="仿宋_GB2312"/>
          <w:color w:val="000000"/>
        </w:rPr>
        <w:t>（2）建立长效机制。社区党组织通过表彰先进、社区红黑榜等公示方式，增强居民垃圾分类积极性，巩固居民分类投放习惯。</w:t>
      </w:r>
    </w:p>
    <w:p>
      <w:pPr>
        <w:adjustRightInd w:val="0"/>
        <w:snapToGrid w:val="0"/>
        <w:spacing w:line="560" w:lineRule="exact"/>
        <w:ind w:firstLine="640" w:firstLineChars="200"/>
        <w:rPr>
          <w:rFonts w:hint="eastAsia" w:cs="仿宋_GB2312"/>
          <w:color w:val="000000"/>
        </w:rPr>
      </w:pPr>
      <w:r>
        <w:rPr>
          <w:rFonts w:hint="eastAsia" w:cs="仿宋_GB2312"/>
          <w:color w:val="000000"/>
        </w:rPr>
        <w:t>（3）定期检查机制。工作小组定期开展自查和巡查，根据检查结果，适时改进硬件配置和管理方式，切实提升小区垃圾分类实效。</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四、工作要求</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（一）落实管理责任。</w:t>
      </w:r>
      <w:r>
        <w:rPr>
          <w:rFonts w:hint="eastAsia" w:cs="仿宋_GB2312"/>
          <w:color w:val="000000"/>
        </w:rPr>
        <w:t>按照《北京市生活垃圾管理条例》规定，严格落实生活垃圾分类管理责任人的相关责任，建章立制落实相关管理责任。</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（二）推动工作落实。</w:t>
      </w:r>
      <w:r>
        <w:rPr>
          <w:rFonts w:hint="eastAsia" w:cs="仿宋_GB2312"/>
          <w:color w:val="000000"/>
        </w:rPr>
        <w:t>街道（乡镇）、社区要健全垃圾分类组织，明确经费保障渠道，制定工作措施，确保垃圾分类工作有效推进。</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（三）加强日常考核。</w:t>
      </w:r>
      <w:r>
        <w:rPr>
          <w:rFonts w:hint="eastAsia" w:cs="仿宋_GB2312"/>
          <w:color w:val="000000"/>
        </w:rPr>
        <w:t>街道（乡镇）、社区要建立内部垃圾分类考核制度，对垃圾分类不到位的责任人要视情给予批评教育、公示通报等。</w:t>
      </w:r>
    </w:p>
    <w:p>
      <w:pPr>
        <w:spacing w:line="560" w:lineRule="exact"/>
        <w:jc w:val="center"/>
        <w:rPr>
          <w:rFonts w:hint="eastAsia" w:eastAsia="方正小标宋简体" w:cs="方正小标宋简体"/>
          <w:sz w:val="44"/>
          <w:szCs w:val="44"/>
        </w:rPr>
      </w:pPr>
      <w:r>
        <w:rPr>
          <w:rFonts w:hint="eastAsia" w:cs="仿宋_GB2312"/>
          <w:color w:val="000000"/>
        </w:rPr>
        <w:br w:type="page"/>
      </w:r>
      <w:r>
        <w:rPr>
          <w:rFonts w:hint="eastAsia" w:eastAsia="方正小标宋简体" w:cs="方正小标宋简体"/>
          <w:sz w:val="44"/>
          <w:szCs w:val="44"/>
        </w:rPr>
        <w:t>北京市垃圾分类收集运输处理实施办法</w:t>
      </w:r>
    </w:p>
    <w:p>
      <w:pPr>
        <w:spacing w:line="560" w:lineRule="exact"/>
        <w:jc w:val="center"/>
        <w:rPr>
          <w:rFonts w:hint="eastAsia" w:eastAsia="楷体_GB2312" w:cs="方正小标宋_GBK"/>
          <w:sz w:val="36"/>
          <w:szCs w:val="36"/>
        </w:rPr>
      </w:pPr>
      <w:r>
        <w:rPr>
          <w:rFonts w:hint="eastAsia" w:eastAsia="楷体_GB2312" w:cs="方正小标宋_GBK"/>
          <w:sz w:val="36"/>
          <w:szCs w:val="36"/>
        </w:rPr>
        <w:t>（暂行）</w:t>
      </w:r>
    </w:p>
    <w:p>
      <w:pPr>
        <w:adjustRightInd w:val="0"/>
        <w:snapToGrid w:val="0"/>
        <w:spacing w:line="560" w:lineRule="exact"/>
        <w:ind w:firstLine="720" w:firstLineChars="200"/>
        <w:rPr>
          <w:rFonts w:cs="仿宋_GB2312"/>
          <w:color w:val="000000"/>
          <w:sz w:val="36"/>
          <w:szCs w:val="36"/>
        </w:rPr>
      </w:pPr>
    </w:p>
    <w:p>
      <w:pPr>
        <w:adjustRightInd w:val="0"/>
        <w:snapToGrid w:val="0"/>
        <w:spacing w:line="560" w:lineRule="exact"/>
        <w:ind w:firstLine="608" w:firstLineChars="200"/>
        <w:rPr>
          <w:rFonts w:hint="eastAsia" w:cs="仿宋_GB2312"/>
          <w:color w:val="000000"/>
        </w:rPr>
      </w:pPr>
      <w:r>
        <w:rPr>
          <w:rFonts w:hint="eastAsia" w:cs="仿宋_GB2312"/>
          <w:color w:val="000000"/>
          <w:spacing w:val="-8"/>
        </w:rPr>
        <w:t>依据《北京市生活垃圾管理条例》《国务院办公厅关于转发国家发展改革委住房城乡建设部生活垃圾分类制度实施方案的通知</w:t>
      </w:r>
      <w:r>
        <w:rPr>
          <w:rFonts w:hint="eastAsia" w:cs="仿宋_GB2312"/>
          <w:color w:val="000000"/>
        </w:rPr>
        <w:t>》（国办发〔2017〕26号）《北京市人民政府办公厅关于加快推进生活垃圾</w:t>
      </w:r>
      <w:r>
        <w:rPr>
          <w:rFonts w:hint="eastAsia" w:cs="仿宋_GB2312"/>
          <w:color w:val="000000"/>
          <w:spacing w:val="-8"/>
        </w:rPr>
        <w:t>分类工作的意见》（京政办发〔2017〕44号）</w:t>
      </w:r>
      <w:r>
        <w:rPr>
          <w:rFonts w:hint="eastAsia" w:cs="仿宋_GB2312"/>
          <w:color w:val="000000"/>
        </w:rPr>
        <w:t>等有关法规文件，制定本办法。</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一、工作目标</w:t>
      </w:r>
    </w:p>
    <w:p>
      <w:pPr>
        <w:adjustRightInd w:val="0"/>
        <w:snapToGrid w:val="0"/>
        <w:spacing w:line="560" w:lineRule="exact"/>
        <w:ind w:firstLine="640" w:firstLineChars="200"/>
        <w:rPr>
          <w:rFonts w:hint="eastAsia" w:cs="仿宋_GB2312"/>
          <w:color w:val="000000"/>
        </w:rPr>
      </w:pPr>
      <w:r>
        <w:rPr>
          <w:rFonts w:hint="eastAsia" w:cs="仿宋_GB2312"/>
          <w:color w:val="000000"/>
        </w:rPr>
        <w:t>通过统一垃圾分类收集、运输、处理设备设施标准和管理要求，规范垃圾分类收集、运输、处理的作业流程，落实垃圾分类收集、运输、处理从业企业及相关事业单位责任，实现“队伍专业化、流程标准化、管理精细化”，不断提高科学管理水平，不断满足人民群众对生活环境的新需求。</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二、垃圾收集运输处理责任主体</w:t>
      </w:r>
    </w:p>
    <w:p>
      <w:pPr>
        <w:adjustRightInd w:val="0"/>
        <w:snapToGrid w:val="0"/>
        <w:spacing w:line="560" w:lineRule="exact"/>
        <w:ind w:firstLine="640" w:firstLineChars="200"/>
        <w:rPr>
          <w:rFonts w:hint="eastAsia" w:cs="仿宋_GB2312"/>
          <w:color w:val="000000"/>
        </w:rPr>
      </w:pPr>
      <w:r>
        <w:rPr>
          <w:rFonts w:hint="eastAsia" w:cs="仿宋_GB2312"/>
          <w:color w:val="000000"/>
        </w:rPr>
        <w:t>各区城市管理委负责统筹建立本辖区生活垃圾收集、运输体系，负责辖区生活垃圾处理设施监督管理。市城市管理委负责统筹全市生活垃圾物流调配，对各区生活垃圾收集、运输和处理进行督促指导和检查考核。</w:t>
      </w:r>
    </w:p>
    <w:p>
      <w:pPr>
        <w:adjustRightInd w:val="0"/>
        <w:snapToGrid w:val="0"/>
        <w:spacing w:line="560" w:lineRule="exact"/>
        <w:ind w:firstLine="640" w:firstLineChars="200"/>
        <w:rPr>
          <w:rFonts w:hint="eastAsia" w:cs="仿宋_GB2312"/>
          <w:color w:val="000000"/>
        </w:rPr>
      </w:pPr>
      <w:r>
        <w:rPr>
          <w:rFonts w:hint="eastAsia" w:cs="仿宋_GB2312"/>
          <w:color w:val="000000"/>
        </w:rPr>
        <w:t>垃圾收集环节是指垃圾投放点到垃圾楼或暂存点的过程。实行物业管理的，由物业管理单位负责；单位自管的，由自管单位负责；不能确定垃圾分类管理责任人的，由所在地街道（乡镇）确定责任人。责任主体可自行收集，也可委托区环卫中心或有资质的企业收集。</w:t>
      </w:r>
    </w:p>
    <w:p>
      <w:pPr>
        <w:adjustRightInd w:val="0"/>
        <w:snapToGrid w:val="0"/>
        <w:spacing w:line="560" w:lineRule="exact"/>
        <w:ind w:firstLine="640" w:firstLineChars="200"/>
        <w:rPr>
          <w:rFonts w:hint="eastAsia" w:cs="仿宋_GB2312"/>
          <w:color w:val="000000"/>
        </w:rPr>
      </w:pPr>
      <w:r>
        <w:rPr>
          <w:rFonts w:hint="eastAsia" w:cs="仿宋_GB2312"/>
          <w:color w:val="000000"/>
        </w:rPr>
        <w:t>垃圾运输环节一般有两种模式，一是中转运输模式，是指从垃圾楼或暂存点到转运站或终端处理设施；二是直收直运模式，是指从垃圾投放点直接到转运站或终端处理设施。垃圾运输环节由区城市管理部门负责，委托区环卫中心或有资质的企业进行运输。</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三、垃圾分类收集运输管理要求</w:t>
      </w:r>
    </w:p>
    <w:p>
      <w:pPr>
        <w:adjustRightInd w:val="0"/>
        <w:snapToGrid w:val="0"/>
        <w:spacing w:line="560" w:lineRule="exact"/>
        <w:ind w:firstLine="640" w:firstLineChars="200"/>
        <w:rPr>
          <w:rFonts w:hint="eastAsia" w:cs="仿宋_GB2312"/>
          <w:color w:val="000000"/>
        </w:rPr>
      </w:pPr>
      <w:r>
        <w:rPr>
          <w:rFonts w:hint="eastAsia" w:cs="仿宋_GB2312"/>
          <w:color w:val="000000"/>
        </w:rPr>
        <w:t>产生垃圾的单位和收运单位应按照北京市垃圾分类“四分类”标准，对厨余垃圾、可回收物、</w:t>
      </w:r>
      <w:r>
        <w:rPr>
          <w:rFonts w:hint="eastAsia" w:cs="仿宋_GB2312"/>
          <w:color w:val="000000"/>
          <w:spacing w:val="4"/>
        </w:rPr>
        <w:t>有害垃圾和</w:t>
      </w:r>
      <w:r>
        <w:rPr>
          <w:rFonts w:hint="eastAsia" w:cs="仿宋_GB2312"/>
          <w:color w:val="000000"/>
        </w:rPr>
        <w:t>其他</w:t>
      </w:r>
      <w:r>
        <w:rPr>
          <w:rFonts w:hint="eastAsia" w:cs="仿宋_GB2312"/>
          <w:color w:val="000000"/>
          <w:spacing w:val="4"/>
        </w:rPr>
        <w:t>垃圾等品类垃圾实施分类收集、分类运输，严</w:t>
      </w:r>
      <w:r>
        <w:rPr>
          <w:rFonts w:hint="eastAsia" w:cs="仿宋_GB2312"/>
          <w:color w:val="000000"/>
        </w:rPr>
        <w:t>禁“混装混运”。</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（一）厨余垃圾</w:t>
      </w:r>
    </w:p>
    <w:p>
      <w:pPr>
        <w:adjustRightInd w:val="0"/>
        <w:snapToGrid w:val="0"/>
        <w:spacing w:line="560" w:lineRule="exact"/>
        <w:ind w:firstLine="640" w:firstLineChars="200"/>
        <w:rPr>
          <w:rFonts w:hint="eastAsia" w:cs="仿宋_GB2312"/>
          <w:color w:val="000000"/>
        </w:rPr>
      </w:pPr>
      <w:r>
        <w:rPr>
          <w:rFonts w:hint="eastAsia" w:cs="仿宋_GB2312"/>
          <w:color w:val="000000"/>
        </w:rPr>
        <w:t>1.家庭产生的厨余垃圾。厨余垃圾收集运输应根据居住小区地理条件和投放模式选用直收直运或“桶换桶”的模式。居住小区内部道路具备专业垃圾运输车辆通行条件的，可由运输单位从居住小区投放桶站直接收集厨余垃圾，或接收居民定时定点投放，并运输到大型中转站或生化处理厂处理。采用“桶换桶”模式的，由收集单位使用小型垃圾收集车将空的厨余垃圾桶运放至垃圾投放点原位，同时将已经投放厨余垃圾的桶运送至区城市管理部门指定的垃圾楼或厨余垃圾桶暂存点，再由运输单位采用专用车辆运输到生化处理厂处理。</w:t>
      </w:r>
    </w:p>
    <w:p>
      <w:pPr>
        <w:adjustRightInd w:val="0"/>
        <w:snapToGrid w:val="0"/>
        <w:spacing w:line="560" w:lineRule="exact"/>
        <w:ind w:firstLine="640" w:firstLineChars="200"/>
        <w:rPr>
          <w:rFonts w:hint="eastAsia" w:cs="仿宋_GB2312"/>
          <w:color w:val="000000"/>
        </w:rPr>
      </w:pPr>
      <w:r>
        <w:rPr>
          <w:rFonts w:hint="eastAsia" w:cs="仿宋_GB2312"/>
          <w:color w:val="000000"/>
        </w:rPr>
        <w:t>街道（乡镇）应按照布局合理、接驳方便、环境友好的原则设置厨余垃圾暂存点。厨余垃圾暂存点可设置在垃圾楼，也可设置在其他区域。厨余垃圾和其他垃圾应分区收集、专人管理，不得相互倒桶。</w:t>
      </w:r>
    </w:p>
    <w:p>
      <w:pPr>
        <w:adjustRightInd w:val="0"/>
        <w:snapToGrid w:val="0"/>
        <w:spacing w:line="560" w:lineRule="exact"/>
        <w:ind w:firstLine="640" w:firstLineChars="200"/>
        <w:rPr>
          <w:rFonts w:hint="eastAsia" w:cs="仿宋_GB2312"/>
          <w:color w:val="000000"/>
        </w:rPr>
      </w:pPr>
      <w:r>
        <w:rPr>
          <w:rFonts w:hint="eastAsia" w:cs="仿宋_GB2312"/>
          <w:color w:val="000000"/>
        </w:rPr>
        <w:t>2.餐饮服务单位产生的厨余垃圾。区城市管理部门统筹管理辖区厨余垃圾收运体系，餐饮服务单位应委托区环卫中心或取得资质的收运企业，采用厨余垃圾运输车辆将厨余垃圾运输到指定的生化处理厂。收运人员应对所收运厨余垃圾的质量、重量等信息进行确认，对分类质量不合格的厨余垃圾，应要求餐饮服务单位重新进行分类，并计入城市管理部门信息系统，对拒不整改的应向城管执法部门报告。</w:t>
      </w:r>
    </w:p>
    <w:p>
      <w:pPr>
        <w:adjustRightInd w:val="0"/>
        <w:snapToGrid w:val="0"/>
        <w:spacing w:line="560" w:lineRule="exact"/>
        <w:ind w:firstLine="640" w:firstLineChars="200"/>
        <w:rPr>
          <w:rFonts w:hint="eastAsia" w:cs="仿宋_GB2312"/>
          <w:color w:val="000000"/>
        </w:rPr>
      </w:pPr>
      <w:r>
        <w:rPr>
          <w:rFonts w:hint="eastAsia" w:cs="仿宋_GB2312"/>
          <w:color w:val="000000"/>
        </w:rPr>
        <w:t>3.其他单位产生的厨余垃圾。新建大型蔬菜果品批发市场、农贸市场、物流配送中心，建设单位应当按照规划、标准同步配置废弃蔬菜、果品就地处理设施。已建成的大型蔬菜果品批发市场、农贸市场、物流配送中心未配置废弃蔬菜、果品就地处理设施的，建设单位或者经营管理单位应当补建；不具备补建条件的，应委托具备资质的垃圾运输企业清运厨余垃圾，按规定缴纳垃圾清运和处理费用。</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（二）可回收物</w:t>
      </w:r>
    </w:p>
    <w:p>
      <w:pPr>
        <w:adjustRightInd w:val="0"/>
        <w:snapToGrid w:val="0"/>
        <w:spacing w:line="560" w:lineRule="exact"/>
        <w:ind w:firstLine="640" w:firstLineChars="200"/>
        <w:rPr>
          <w:rFonts w:hint="eastAsia" w:cs="仿宋_GB2312"/>
          <w:color w:val="000000"/>
        </w:rPr>
      </w:pPr>
      <w:r>
        <w:rPr>
          <w:rFonts w:hint="eastAsia" w:cs="仿宋_GB2312"/>
          <w:color w:val="000000"/>
        </w:rPr>
        <w:t>每个居住小区至少应设置一处可回收物收集点。各街道应设置可回收物中转点，各区应设置区域分拣中心，构建可回收物收运体系。</w:t>
      </w:r>
    </w:p>
    <w:p>
      <w:pPr>
        <w:adjustRightInd w:val="0"/>
        <w:snapToGrid w:val="0"/>
        <w:spacing w:line="560" w:lineRule="exact"/>
        <w:ind w:firstLine="640" w:firstLineChars="200"/>
        <w:rPr>
          <w:rFonts w:hint="eastAsia" w:cs="仿宋_GB2312"/>
          <w:color w:val="000000"/>
        </w:rPr>
      </w:pPr>
      <w:r>
        <w:rPr>
          <w:rFonts w:hint="eastAsia" w:cs="仿宋_GB2312"/>
          <w:color w:val="000000"/>
        </w:rPr>
        <w:t>社会单位可在出入通道楼层廊道等公共区域，因地制宜设置可回收物收集容器。单位集中设置废旧报纸、纸张等可回收物存储点。公共场所应设置可回收物收集容器。</w:t>
      </w:r>
    </w:p>
    <w:p>
      <w:pPr>
        <w:adjustRightInd w:val="0"/>
        <w:snapToGrid w:val="0"/>
        <w:spacing w:line="560" w:lineRule="exact"/>
        <w:ind w:firstLine="640" w:firstLineChars="200"/>
        <w:rPr>
          <w:rFonts w:hint="eastAsia" w:cs="仿宋_GB2312"/>
          <w:color w:val="000000"/>
        </w:rPr>
      </w:pPr>
      <w:r>
        <w:rPr>
          <w:rFonts w:hint="eastAsia" w:cs="仿宋_GB2312"/>
          <w:color w:val="000000"/>
        </w:rPr>
        <w:t>可采取自行交投、预约上门的方式回收，然后由再生</w:t>
      </w:r>
      <w:r>
        <w:rPr>
          <w:rFonts w:hint="eastAsia" w:cs="仿宋_GB2312"/>
          <w:color w:val="000000"/>
          <w:spacing w:val="6"/>
        </w:rPr>
        <w:t>资源回收企业采用专用车辆收集运输到区域分拣中</w:t>
      </w:r>
      <w:r>
        <w:rPr>
          <w:rFonts w:hint="eastAsia" w:cs="仿宋_GB2312"/>
          <w:color w:val="000000"/>
        </w:rPr>
        <w:t>心进行分拣、打包处理。</w:t>
      </w:r>
    </w:p>
    <w:p>
      <w:pPr>
        <w:adjustRightInd w:val="0"/>
        <w:snapToGrid w:val="0"/>
        <w:spacing w:line="560" w:lineRule="exact"/>
        <w:ind w:firstLine="640" w:firstLineChars="200"/>
        <w:rPr>
          <w:rFonts w:hint="eastAsia" w:cs="仿宋_GB2312"/>
          <w:color w:val="000000"/>
        </w:rPr>
      </w:pPr>
      <w:r>
        <w:rPr>
          <w:rFonts w:hint="eastAsia" w:cs="仿宋_GB2312"/>
          <w:color w:val="000000"/>
        </w:rPr>
        <w:t>可回收物中转点应满足公安、消防、环保相关要求。区域性分拣中心应满足绿色再生资源分拣中心建设管理的有关</w:t>
      </w:r>
      <w:r>
        <w:rPr>
          <w:rFonts w:hint="eastAsia" w:cs="仿宋_GB2312"/>
          <w:color w:val="000000"/>
          <w:spacing w:val="4"/>
        </w:rPr>
        <w:t>规定，原则上应具备分选、分拣、压缩打包、称重计量、数</w:t>
      </w:r>
      <w:r>
        <w:rPr>
          <w:rFonts w:hint="eastAsia" w:cs="仿宋_GB2312"/>
          <w:color w:val="000000"/>
        </w:rPr>
        <w:t>据上传等功能。在再生资源分拣中心建设完成前，各区应按照公安、消防、环保等方面要求，规范管理废品回收场所，满足可回收物回收的总体需求。</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（三）有害垃圾</w:t>
      </w:r>
    </w:p>
    <w:p>
      <w:pPr>
        <w:adjustRightInd w:val="0"/>
        <w:snapToGrid w:val="0"/>
        <w:spacing w:line="560" w:lineRule="exact"/>
        <w:ind w:firstLine="664" w:firstLineChars="200"/>
        <w:rPr>
          <w:rFonts w:hint="eastAsia" w:cs="仿宋_GB2312"/>
          <w:color w:val="000000"/>
        </w:rPr>
      </w:pPr>
      <w:r>
        <w:rPr>
          <w:rFonts w:hint="eastAsia" w:cs="仿宋_GB2312"/>
          <w:color w:val="000000"/>
          <w:spacing w:val="6"/>
        </w:rPr>
        <w:t>每个居住小区至少设立一个有害垃圾专门场所或容器，</w:t>
      </w:r>
      <w:r>
        <w:rPr>
          <w:rFonts w:hint="eastAsia" w:cs="仿宋_GB2312"/>
          <w:color w:val="000000"/>
        </w:rPr>
        <w:t>街道（乡镇）和社会单位应集中设置有害垃圾暂存点，不同品种的有害垃圾要进行分类收集暂存，并在醒目位置设置有害垃圾标志。</w:t>
      </w:r>
    </w:p>
    <w:p>
      <w:pPr>
        <w:adjustRightInd w:val="0"/>
        <w:snapToGrid w:val="0"/>
        <w:spacing w:line="560" w:lineRule="exact"/>
        <w:ind w:firstLine="640" w:firstLineChars="200"/>
        <w:rPr>
          <w:rFonts w:hint="eastAsia" w:cs="仿宋_GB2312"/>
          <w:color w:val="000000"/>
        </w:rPr>
      </w:pPr>
      <w:r>
        <w:rPr>
          <w:rFonts w:hint="eastAsia" w:cs="仿宋_GB2312"/>
          <w:color w:val="000000"/>
        </w:rPr>
        <w:t>收集的有害垃圾应交由生态环境部门认定的具有危废</w:t>
      </w:r>
      <w:r>
        <w:rPr>
          <w:rFonts w:hint="eastAsia" w:cs="仿宋_GB2312"/>
          <w:color w:val="000000"/>
          <w:spacing w:val="4"/>
        </w:rPr>
        <w:t>运输处理资质的机构处理，根据有害垃圾的品种和产生数</w:t>
      </w:r>
      <w:r>
        <w:rPr>
          <w:rFonts w:hint="eastAsia" w:cs="仿宋_GB2312"/>
          <w:color w:val="000000"/>
        </w:rPr>
        <w:t>量，合理约定收运频次。</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（四）其他垃圾</w:t>
      </w:r>
    </w:p>
    <w:p>
      <w:pPr>
        <w:adjustRightInd w:val="0"/>
        <w:snapToGrid w:val="0"/>
        <w:spacing w:line="560" w:lineRule="exact"/>
        <w:ind w:firstLine="640" w:firstLineChars="200"/>
        <w:rPr>
          <w:rFonts w:hint="eastAsia" w:cs="仿宋_GB2312"/>
          <w:color w:val="000000"/>
        </w:rPr>
      </w:pPr>
      <w:r>
        <w:rPr>
          <w:rFonts w:hint="eastAsia" w:cs="仿宋_GB2312"/>
          <w:color w:val="000000"/>
        </w:rPr>
        <w:t>居住小区其他垃圾容器的配置根据垃圾收集方式、频次，按照《环境卫生设施设置标准》（CJJ-27）合理设置，应满足投放高峰期需求。社会单位及公共区域应因地制宜设置。其他垃圾收集应避免过程中的二次污染，逐步推广采用“桶换桶”模式。</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（五）大件垃圾</w:t>
      </w:r>
    </w:p>
    <w:p>
      <w:pPr>
        <w:adjustRightInd w:val="0"/>
        <w:snapToGrid w:val="0"/>
        <w:spacing w:line="560" w:lineRule="exact"/>
        <w:ind w:firstLine="640" w:firstLineChars="200"/>
        <w:rPr>
          <w:rFonts w:hint="eastAsia" w:cs="仿宋_GB2312"/>
          <w:color w:val="000000"/>
        </w:rPr>
      </w:pPr>
      <w:r>
        <w:rPr>
          <w:rFonts w:hint="eastAsia" w:cs="仿宋_GB2312"/>
          <w:color w:val="000000"/>
        </w:rPr>
        <w:t>街道（乡镇）、社区应设置大件垃圾暂存点，可采取自行交投、预约上门的方式回收，然后由专业企业收集运输到集中拆解处置中心进行处理。具备条件的街道（乡镇）可作简单拆解处理或资源化就地处理。各区应至少设置一处集中拆解处置中心。</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（六）装修垃圾</w:t>
      </w:r>
    </w:p>
    <w:p>
      <w:pPr>
        <w:adjustRightInd w:val="0"/>
        <w:snapToGrid w:val="0"/>
        <w:spacing w:line="560" w:lineRule="exact"/>
        <w:ind w:firstLine="640" w:firstLineChars="200"/>
        <w:rPr>
          <w:rFonts w:hint="eastAsia" w:cs="仿宋_GB2312"/>
          <w:color w:val="000000"/>
        </w:rPr>
      </w:pPr>
      <w:r>
        <w:rPr>
          <w:rFonts w:hint="eastAsia" w:cs="仿宋_GB2312"/>
          <w:color w:val="000000"/>
        </w:rPr>
        <w:t>居住小区或社会单位应设置装修垃圾投放暂存点或暂存设备。应委托有资质的建筑垃圾运输企业，将装修垃圾及时清运到指定的装修垃圾分拣场所或建筑垃圾资源化处置厂处理。</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四、收运车辆标准和要求</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（一）</w:t>
      </w:r>
      <w:r>
        <w:rPr>
          <w:rFonts w:hint="eastAsia" w:cs="仿宋_GB2312"/>
          <w:color w:val="000000"/>
        </w:rPr>
        <w:t>小型收集车，是指从垃圾投放点至垃圾楼或暂存点的收集车辆。应选用规范的小型新能源平板车或小型厢式货车，逐步淘汰敞口三轮车等非专业车辆。各责任主体应根据实际情况制定车辆更新计划，在车型和数量上满足垃圾分类收集需求。</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（二）</w:t>
      </w:r>
      <w:r>
        <w:rPr>
          <w:rFonts w:hint="eastAsia" w:cs="仿宋_GB2312"/>
          <w:color w:val="000000"/>
        </w:rPr>
        <w:t>厨余垃圾运输车辆，应满足北京市地方标准《环卫车辆功能要求第2部分：餐厨垃圾运输车辆》（DB11/T1390.3）技术要求。</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（三）</w:t>
      </w:r>
      <w:r>
        <w:rPr>
          <w:rFonts w:hint="eastAsia" w:cs="仿宋_GB2312"/>
          <w:color w:val="000000"/>
        </w:rPr>
        <w:t>生活垃圾运输车辆，应满足《环卫车辆功能要求第2部分：生活垃圾运输车辆》（DB11/T1390.1）技术要求。</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（四）</w:t>
      </w:r>
      <w:r>
        <w:rPr>
          <w:rFonts w:hint="eastAsia" w:cs="仿宋_GB2312"/>
          <w:color w:val="000000"/>
        </w:rPr>
        <w:t>有害垃圾运输车辆应满足《危险废物收集贮存运输技术规范》（HJ2025）标准要求。</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（五）</w:t>
      </w:r>
      <w:r>
        <w:rPr>
          <w:rFonts w:hint="eastAsia" w:cs="仿宋_GB2312"/>
          <w:color w:val="000000"/>
        </w:rPr>
        <w:t>装修垃圾运输车辆应满足北京市地方标准《建筑垃圾运输车辆标识、监控和密闭技术要求》（DB11/T1077）。</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（六）</w:t>
      </w:r>
      <w:r>
        <w:rPr>
          <w:rFonts w:hint="eastAsia" w:cs="仿宋_GB2312"/>
          <w:color w:val="000000"/>
        </w:rPr>
        <w:t>各品类垃圾收集运输车辆应统一车型、涂装和标志标识，公示单位名称和电话，易于群众识别监督。运输过程应保持密闭、车容整洁，无遗洒滴漏。垃圾运输车辆可用于垃圾分类公益宣传。</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（七）</w:t>
      </w:r>
      <w:r>
        <w:rPr>
          <w:rFonts w:hint="eastAsia" w:cs="仿宋_GB2312"/>
          <w:color w:val="000000"/>
        </w:rPr>
        <w:t>各类运输车辆应加装北斗/GPS导航和身份识别芯片，实现行驶轨迹监控。采用桶车对接方式的，可加装车载称重计量系统，并安装具有质量判定功能的软件系统。车载称重计量和质量判定信息应实时上传至市级全流程精细化管理系统平台。</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五、收运单位资质管理</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（一）</w:t>
      </w:r>
      <w:r>
        <w:rPr>
          <w:rFonts w:hint="eastAsia" w:cs="仿宋_GB2312"/>
          <w:color w:val="000000"/>
        </w:rPr>
        <w:t>从事生活垃圾收集、运输服务的企业应当取得城市管理部门《从事生活垃圾经营性清扫、收集、运输服务审批》。从事生活垃圾经营性处理服务的企业，应当取得城市管理部门核发的《从事生活垃圾（含粪便）经营性处理服务审批》。各区应建立从事生活垃圾收集运输企业台账和动态更新机制。</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（二）</w:t>
      </w:r>
      <w:r>
        <w:rPr>
          <w:rFonts w:hint="eastAsia" w:cs="仿宋_GB2312"/>
          <w:color w:val="000000"/>
        </w:rPr>
        <w:t>生活垃圾产生单位应与生活垃圾收集、运输服务企业签订生活垃圾收集运输服务合同。</w:t>
      </w:r>
    </w:p>
    <w:p>
      <w:pPr>
        <w:adjustRightInd w:val="0"/>
        <w:snapToGrid w:val="0"/>
        <w:spacing w:line="560" w:lineRule="exact"/>
        <w:ind w:firstLine="640" w:firstLineChars="200"/>
        <w:rPr>
          <w:rFonts w:hint="eastAsia" w:cs="仿宋_GB2312"/>
          <w:color w:val="000000"/>
        </w:rPr>
      </w:pPr>
      <w:r>
        <w:rPr>
          <w:rFonts w:hint="eastAsia" w:eastAsia="楷体_GB2312" w:cs="楷体_GB2312"/>
          <w:color w:val="000000"/>
        </w:rPr>
        <w:t>（三）</w:t>
      </w:r>
      <w:r>
        <w:rPr>
          <w:rFonts w:hint="eastAsia" w:cs="仿宋_GB2312"/>
          <w:color w:val="000000"/>
        </w:rPr>
        <w:t>鼓励生活垃圾专业化、规模化运输，打造“绿色车队”服务品牌。收运单位向社会公开服务范围、负责人、所属车辆、服务承诺等信息，主动接受社会监督，逐步实施生活垃圾公交化分类收运模式。</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六、监督管理</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（一）加强垃圾分类全流程精细化管理</w:t>
      </w:r>
    </w:p>
    <w:p>
      <w:pPr>
        <w:adjustRightInd w:val="0"/>
        <w:snapToGrid w:val="0"/>
        <w:spacing w:line="560" w:lineRule="exact"/>
        <w:ind w:firstLine="640" w:firstLineChars="200"/>
        <w:rPr>
          <w:rFonts w:hint="eastAsia" w:cs="仿宋_GB2312"/>
          <w:color w:val="000000"/>
        </w:rPr>
      </w:pPr>
      <w:r>
        <w:rPr>
          <w:rFonts w:hint="eastAsia" w:cs="仿宋_GB2312"/>
          <w:color w:val="000000"/>
        </w:rPr>
        <w:t>1.建立责任主体身份识别和信用管理机制，将垃圾分类收集、运输和处理的各类责任主体规范运行情况记入信用信息数据库。采用身份识别技术的垃圾桶，电子标签设置需满足全流程精细化管理系统建设标准要求。厨余垃圾桶应加装身份识别芯片。</w:t>
      </w:r>
    </w:p>
    <w:p>
      <w:pPr>
        <w:adjustRightInd w:val="0"/>
        <w:snapToGrid w:val="0"/>
        <w:spacing w:line="560" w:lineRule="exact"/>
        <w:ind w:firstLine="640" w:firstLineChars="200"/>
        <w:rPr>
          <w:rFonts w:hint="eastAsia" w:cs="仿宋_GB2312"/>
          <w:color w:val="000000"/>
        </w:rPr>
      </w:pPr>
      <w:r>
        <w:rPr>
          <w:rFonts w:hint="eastAsia" w:cs="仿宋_GB2312"/>
          <w:color w:val="000000"/>
        </w:rPr>
        <w:t>2.在生活垃圾投放、收集、运输、处理等各交接垃圾</w:t>
      </w:r>
      <w:r>
        <w:rPr>
          <w:rFonts w:hint="eastAsia" w:cs="仿宋_GB2312"/>
          <w:color w:val="000000"/>
          <w:spacing w:val="4"/>
        </w:rPr>
        <w:t>节点设置交易场景，责任人交投与垃圾楼、垃圾运输车驳</w:t>
      </w:r>
      <w:r>
        <w:rPr>
          <w:rFonts w:hint="eastAsia" w:cs="仿宋_GB2312"/>
          <w:color w:val="000000"/>
        </w:rPr>
        <w:t>接环节，垃圾运输车与转运站、处理厂驳接环节，双方</w:t>
      </w:r>
      <w:r>
        <w:rPr>
          <w:rFonts w:hint="eastAsia" w:cs="仿宋_GB2312"/>
          <w:color w:val="000000"/>
          <w:spacing w:val="4"/>
        </w:rPr>
        <w:t>对各品类垃圾的来源、重量和收运去向等进行确认，并引</w:t>
      </w:r>
      <w:r>
        <w:rPr>
          <w:rFonts w:hint="eastAsia" w:cs="仿宋_GB2312"/>
          <w:color w:val="000000"/>
        </w:rPr>
        <w:t>入厨余垃圾质量判定，可回收物要记录具体回收品类和重量。</w:t>
      </w:r>
    </w:p>
    <w:p>
      <w:pPr>
        <w:adjustRightInd w:val="0"/>
        <w:snapToGrid w:val="0"/>
        <w:spacing w:line="560" w:lineRule="exact"/>
        <w:ind w:firstLine="640" w:firstLineChars="200"/>
        <w:rPr>
          <w:rFonts w:hint="eastAsia" w:cs="仿宋_GB2312"/>
          <w:color w:val="000000"/>
        </w:rPr>
      </w:pPr>
      <w:r>
        <w:rPr>
          <w:rFonts w:hint="eastAsia" w:cs="仿宋_GB2312"/>
          <w:color w:val="000000"/>
        </w:rPr>
        <w:t>3.在终端处理设施进行车牌识别、自动称重计量系统升级改造，实现对所有进入终端处理设施运输车辆的精确管控。</w:t>
      </w:r>
    </w:p>
    <w:p>
      <w:pPr>
        <w:adjustRightInd w:val="0"/>
        <w:snapToGrid w:val="0"/>
        <w:spacing w:line="560" w:lineRule="exact"/>
        <w:ind w:firstLine="640" w:firstLineChars="200"/>
        <w:rPr>
          <w:rFonts w:hint="eastAsia" w:cs="仿宋_GB2312"/>
          <w:color w:val="000000"/>
        </w:rPr>
      </w:pPr>
      <w:r>
        <w:rPr>
          <w:rFonts w:hint="eastAsia" w:cs="仿宋_GB2312"/>
          <w:color w:val="000000"/>
        </w:rPr>
        <w:t>4.建设生活垃圾全流程精细化管理系统。对垃圾分类投放、收集、运输前端各节点、各品类垃圾源数据信息进行实时收集和监控，信息数据实时传到市级系统平台。对全流程的数据进行比对分析，实现闭环管理，对异常数据进行报警提示。对各区、街道（乡镇）、社区各品类垃圾的清运和处理情况进行实时数据统计。</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（二）加强日常管理</w:t>
      </w:r>
    </w:p>
    <w:p>
      <w:pPr>
        <w:adjustRightInd w:val="0"/>
        <w:snapToGrid w:val="0"/>
        <w:spacing w:line="560" w:lineRule="exact"/>
        <w:ind w:firstLine="640" w:firstLineChars="200"/>
        <w:rPr>
          <w:rFonts w:hint="eastAsia" w:cs="仿宋_GB2312"/>
          <w:color w:val="000000"/>
        </w:rPr>
      </w:pPr>
      <w:r>
        <w:rPr>
          <w:rFonts w:hint="eastAsia" w:cs="仿宋_GB2312"/>
          <w:color w:val="000000"/>
        </w:rPr>
        <w:t>加强垃圾分类日常运行的分级管控，落实属地监管责任，对收运处理服务企业进行检查考评，督促收运处理单位履行主体责任。各类收集设备设施应保持干净整洁，不满冒，无遗洒，分类垃圾收集容器应定期清洗、擦拭干净。在明显位置公示管理责任人、服务区域、运输单位、运输路线及时间等信息，接受社会监督。</w:t>
      </w:r>
    </w:p>
    <w:p>
      <w:pPr>
        <w:adjustRightInd w:val="0"/>
        <w:snapToGrid w:val="0"/>
        <w:spacing w:line="560" w:lineRule="exact"/>
        <w:ind w:firstLine="640" w:firstLineChars="200"/>
        <w:rPr>
          <w:rFonts w:hint="eastAsia" w:cs="仿宋_GB2312"/>
          <w:color w:val="000000"/>
        </w:rPr>
      </w:pPr>
      <w:r>
        <w:rPr>
          <w:rFonts w:hint="eastAsia" w:cs="仿宋_GB2312"/>
          <w:color w:val="000000"/>
        </w:rPr>
        <w:t>各区应建设具备垃圾分类收集转运功能的密闭式清洁站。按照密闭式清洁站建设标准，有计划实施简易垃圾楼、箱、地撮站等收集设施改造。在条件适合的区，开展密闭式清洁站二次分拣功能性提升。</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（三）建立倒逼机制</w:t>
      </w:r>
    </w:p>
    <w:p>
      <w:pPr>
        <w:adjustRightInd w:val="0"/>
        <w:snapToGrid w:val="0"/>
        <w:spacing w:line="560" w:lineRule="exact"/>
        <w:ind w:firstLine="640" w:firstLineChars="200"/>
        <w:rPr>
          <w:rFonts w:hint="eastAsia" w:cs="仿宋_GB2312"/>
          <w:color w:val="000000"/>
        </w:rPr>
      </w:pPr>
      <w:r>
        <w:rPr>
          <w:rFonts w:hint="eastAsia" w:cs="仿宋_GB2312"/>
          <w:color w:val="000000"/>
        </w:rPr>
        <w:t>强化垃圾分类质量控制管理，逐步建立利益传导倒逼机制。对垃圾分类收集、运输、处理过程中存在的“先分后混”、车辆不洁、“滴洒漏”等行为加大执法检查和处罚力度。通过建立倒逼机制规范环卫作业行为，促进习惯养成，逐步提高环卫科学管理水平。</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（四）建立信息公开机制</w:t>
      </w:r>
    </w:p>
    <w:p>
      <w:pPr>
        <w:adjustRightInd w:val="0"/>
        <w:snapToGrid w:val="0"/>
        <w:spacing w:line="560" w:lineRule="exact"/>
        <w:ind w:firstLine="640" w:firstLineChars="200"/>
        <w:rPr>
          <w:rFonts w:hint="eastAsia" w:cs="仿宋_GB2312"/>
          <w:color w:val="000000"/>
        </w:rPr>
      </w:pPr>
      <w:r>
        <w:rPr>
          <w:rFonts w:hint="eastAsia" w:cs="仿宋_GB2312"/>
          <w:color w:val="000000"/>
        </w:rPr>
        <w:t>充分发挥社会监督的作用，公示垃圾分类收集、运输、处理企业的相关信息，公示垃圾分类、混装混运的监督电话，开通微信举报渠道，鼓励社区居民、新闻媒体参与分类收集、分类收运的监督工作，增强生活垃圾产生、收运、处理单位及从业者遵纪守法意识、环境意识、监督意识，形成社会共治的良好氛围。</w:t>
      </w:r>
    </w:p>
    <w:p>
      <w:pPr>
        <w:spacing w:line="560" w:lineRule="exact"/>
        <w:jc w:val="center"/>
        <w:rPr>
          <w:rFonts w:hint="eastAsia" w:eastAsia="方正小标宋简体" w:cs="方正小标宋简体"/>
          <w:sz w:val="44"/>
          <w:szCs w:val="44"/>
        </w:rPr>
      </w:pPr>
      <w:r>
        <w:rPr>
          <w:rFonts w:hint="eastAsia" w:cs="仿宋_GB2312"/>
          <w:color w:val="000000"/>
        </w:rPr>
        <w:br w:type="page"/>
      </w:r>
      <w:r>
        <w:rPr>
          <w:rFonts w:hint="eastAsia" w:eastAsia="方正小标宋简体" w:cs="方正小标宋简体"/>
          <w:sz w:val="44"/>
          <w:szCs w:val="44"/>
        </w:rPr>
        <w:t>北京市生活垃圾减量实施办法</w:t>
      </w:r>
    </w:p>
    <w:p>
      <w:pPr>
        <w:spacing w:line="560" w:lineRule="exact"/>
        <w:jc w:val="center"/>
        <w:rPr>
          <w:rFonts w:hint="eastAsia" w:eastAsia="楷体_GB2312" w:cs="方正小标宋_GBK"/>
          <w:sz w:val="36"/>
          <w:szCs w:val="36"/>
        </w:rPr>
      </w:pPr>
      <w:r>
        <w:rPr>
          <w:rFonts w:hint="eastAsia" w:eastAsia="楷体_GB2312" w:cs="方正小标宋_GBK"/>
          <w:sz w:val="36"/>
          <w:szCs w:val="36"/>
        </w:rPr>
        <w:t>（暂行）</w:t>
      </w:r>
    </w:p>
    <w:p>
      <w:pPr>
        <w:adjustRightInd w:val="0"/>
        <w:snapToGrid w:val="0"/>
        <w:spacing w:line="560" w:lineRule="exact"/>
        <w:ind w:firstLine="720" w:firstLineChars="200"/>
        <w:rPr>
          <w:rFonts w:cs="仿宋_GB2312"/>
          <w:color w:val="000000"/>
          <w:sz w:val="36"/>
          <w:szCs w:val="36"/>
        </w:rPr>
      </w:pPr>
    </w:p>
    <w:p>
      <w:pPr>
        <w:adjustRightInd w:val="0"/>
        <w:snapToGrid w:val="0"/>
        <w:spacing w:line="560" w:lineRule="exact"/>
        <w:ind w:firstLine="640" w:firstLineChars="200"/>
        <w:rPr>
          <w:rFonts w:hint="eastAsia" w:cs="仿宋_GB2312"/>
          <w:color w:val="000000"/>
        </w:rPr>
      </w:pPr>
      <w:r>
        <w:rPr>
          <w:rFonts w:hint="eastAsia" w:cs="仿宋_GB2312"/>
          <w:color w:val="000000"/>
        </w:rPr>
        <w:t>为加快推进本市生活垃圾分类工作，切实提高垃圾减量化、资源化、无害化水平，创造优良的人居环境，根据</w:t>
      </w:r>
      <w:r>
        <w:rPr>
          <w:rFonts w:hint="eastAsia" w:cs="仿宋_GB2312"/>
          <w:color w:val="000000"/>
          <w:spacing w:val="-8"/>
        </w:rPr>
        <w:t>《北京市生活垃圾管理条例》《国务院办公厅关于转发国家发展改革委住房城乡建设部生活垃圾分类制度实施方案的通知</w:t>
      </w:r>
      <w:r>
        <w:rPr>
          <w:rFonts w:hint="eastAsia" w:cs="仿宋_GB2312"/>
          <w:color w:val="000000"/>
        </w:rPr>
        <w:t>》（国办发〔2017〕26号）《北京市人民政府办公厅关于加快推进生活垃圾</w:t>
      </w:r>
      <w:r>
        <w:rPr>
          <w:rFonts w:hint="eastAsia" w:cs="仿宋_GB2312"/>
          <w:color w:val="000000"/>
          <w:spacing w:val="-8"/>
        </w:rPr>
        <w:t>分类工作的意见》（京政办发〔2017〕44号）《北京市垃圾分类</w:t>
      </w:r>
      <w:r>
        <w:rPr>
          <w:rFonts w:hint="eastAsia" w:cs="仿宋_GB2312"/>
          <w:color w:val="000000"/>
        </w:rPr>
        <w:t>治理行动计划（2017—2020年）》及有关法律法规和政策标准，制定本办法。</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一、工作目标</w:t>
      </w:r>
    </w:p>
    <w:p>
      <w:pPr>
        <w:adjustRightInd w:val="0"/>
        <w:snapToGrid w:val="0"/>
        <w:spacing w:line="560" w:lineRule="exact"/>
        <w:ind w:firstLine="640" w:firstLineChars="200"/>
        <w:rPr>
          <w:rFonts w:hint="eastAsia" w:cs="仿宋_GB2312"/>
          <w:color w:val="FF0000"/>
        </w:rPr>
      </w:pPr>
      <w:r>
        <w:rPr>
          <w:rFonts w:hint="eastAsia" w:cs="仿宋_GB2312"/>
          <w:color w:val="FF0000"/>
        </w:rPr>
        <w:t>进入垃圾焚烧和填埋处理设施的生活垃圾处理量增速逐步放缓，2019年控制在8%左右，2020年控制在4%左右。</w:t>
      </w:r>
    </w:p>
    <w:p>
      <w:pPr>
        <w:adjustRightInd w:val="0"/>
        <w:snapToGrid w:val="0"/>
        <w:spacing w:line="560" w:lineRule="exact"/>
        <w:ind w:firstLine="640" w:firstLineChars="200"/>
        <w:rPr>
          <w:rFonts w:hint="eastAsia" w:cs="仿宋_GB2312"/>
          <w:color w:val="000000"/>
        </w:rPr>
      </w:pPr>
      <w:r>
        <w:rPr>
          <w:rFonts w:hint="eastAsia" w:cs="仿宋_GB2312"/>
          <w:color w:val="000000"/>
        </w:rPr>
        <w:t>市城市管理委结合各区人口、垃圾处理结构和上年度垃圾清运量等综合因素，下达各区生活垃圾源头总量年度控制指标。各区要发挥能动性，落实主体责任，完成垃圾分类减量指标任务。</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二、减量措施</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（一）源头减量</w:t>
      </w:r>
    </w:p>
    <w:p>
      <w:pPr>
        <w:adjustRightInd w:val="0"/>
        <w:snapToGrid w:val="0"/>
        <w:spacing w:line="560" w:lineRule="exact"/>
        <w:ind w:firstLine="640" w:firstLineChars="200"/>
        <w:rPr>
          <w:rFonts w:hint="eastAsia" w:cs="仿宋_GB2312"/>
          <w:color w:val="000000"/>
        </w:rPr>
      </w:pPr>
      <w:r>
        <w:rPr>
          <w:rFonts w:hint="eastAsia" w:cs="仿宋_GB2312"/>
          <w:color w:val="000000"/>
        </w:rPr>
        <w:t>促进单位和个人在日常工作生活中，采取绿色低碳生活方式，厉行节约、减少浪费，采购和使用有利于减少垃圾产生的物品，提倡重复使用，最大化减少废物产生量。实现源头减量的主要措施包括限制过度包装、限制一次性用品使用、开展旧货交易、实施“光盘行动”、推行净菜半净菜上市等。</w:t>
      </w:r>
    </w:p>
    <w:p>
      <w:pPr>
        <w:adjustRightInd w:val="0"/>
        <w:snapToGrid w:val="0"/>
        <w:spacing w:line="560" w:lineRule="exact"/>
        <w:ind w:firstLine="640" w:firstLineChars="200"/>
        <w:rPr>
          <w:rFonts w:hint="eastAsia" w:cs="仿宋_GB2312"/>
          <w:color w:val="000000"/>
        </w:rPr>
      </w:pPr>
      <w:r>
        <w:rPr>
          <w:rFonts w:hint="eastAsia" w:cs="仿宋_GB2312"/>
          <w:color w:val="000000"/>
        </w:rPr>
        <w:t>1.限制过度包装，提倡简约包装。禁止在本市生产、销售超薄塑料袋，超市、商场、集贸市场等商品零售场所严格执行国务院《关于限制生产销售使用塑料购物袋的通知》的决定，不得使用超薄塑料袋，不得免费提供塑料袋。</w:t>
      </w:r>
    </w:p>
    <w:p>
      <w:pPr>
        <w:adjustRightInd w:val="0"/>
        <w:snapToGrid w:val="0"/>
        <w:spacing w:line="560" w:lineRule="exact"/>
        <w:ind w:firstLine="640" w:firstLineChars="200"/>
        <w:rPr>
          <w:rFonts w:hint="eastAsia" w:cs="仿宋_GB2312"/>
          <w:color w:val="000000"/>
        </w:rPr>
      </w:pPr>
      <w:r>
        <w:rPr>
          <w:rFonts w:hint="eastAsia" w:cs="仿宋_GB2312"/>
          <w:color w:val="000000"/>
        </w:rPr>
        <w:t>2.电子商务经营者在本市开展经营活动，应当提供多种规格、可循环使用包装袋等绿色包装选项，并运用计价优惠等机制，引导消费者使用环保包装。经营快递业务的企业在本市开展经营活动，应当使用电子运单和可降解、可重复利用的环保包装材料，减少包装材料的过度使用和包装性废物的产生，鼓励寄件人使用可循环使用的环保包装。</w:t>
      </w:r>
    </w:p>
    <w:p>
      <w:pPr>
        <w:adjustRightInd w:val="0"/>
        <w:snapToGrid w:val="0"/>
        <w:spacing w:line="560" w:lineRule="exact"/>
        <w:ind w:firstLine="640" w:firstLineChars="200"/>
        <w:rPr>
          <w:rFonts w:hint="eastAsia" w:cs="仿宋_GB2312"/>
          <w:color w:val="000000"/>
        </w:rPr>
      </w:pPr>
      <w:r>
        <w:rPr>
          <w:rFonts w:hint="eastAsia" w:cs="仿宋_GB2312"/>
          <w:color w:val="000000"/>
        </w:rPr>
        <w:t>3.党政机关、事业单位应当在符合保密规定的前提下推行无纸化办公，提高再生纸的使用比例，不使用一次性杯具。餐饮经营者、餐饮配送服务提供者和旅馆经营单位不得主动向消费者提供一次性筷子、叉子、勺子、洗漱用品等，并应当设置醒目提示标识。</w:t>
      </w:r>
    </w:p>
    <w:p>
      <w:pPr>
        <w:adjustRightInd w:val="0"/>
        <w:snapToGrid w:val="0"/>
        <w:spacing w:line="560" w:lineRule="exact"/>
        <w:ind w:firstLine="640" w:firstLineChars="200"/>
        <w:rPr>
          <w:rFonts w:hint="eastAsia" w:cs="仿宋_GB2312"/>
          <w:color w:val="000000"/>
        </w:rPr>
      </w:pPr>
      <w:r>
        <w:rPr>
          <w:rFonts w:hint="eastAsia" w:cs="仿宋_GB2312"/>
          <w:color w:val="000000"/>
        </w:rPr>
        <w:t>4.鼓励建立二手用品调剂平台，开办旧货商店（集市）、跳蚤市场，通过线上、线下旧货交易方式，促进闲置物品的再利用。</w:t>
      </w:r>
    </w:p>
    <w:p>
      <w:pPr>
        <w:adjustRightInd w:val="0"/>
        <w:snapToGrid w:val="0"/>
        <w:spacing w:line="560" w:lineRule="exact"/>
        <w:ind w:firstLine="656" w:firstLineChars="200"/>
        <w:rPr>
          <w:rFonts w:hint="eastAsia" w:cs="仿宋_GB2312"/>
          <w:color w:val="000000"/>
        </w:rPr>
      </w:pPr>
      <w:r>
        <w:rPr>
          <w:rFonts w:hint="eastAsia" w:cs="仿宋_GB2312"/>
          <w:color w:val="000000"/>
          <w:spacing w:val="4"/>
        </w:rPr>
        <w:t>5.餐饮企业应自觉履行社会责任，在餐厅醒目位置摆</w:t>
      </w:r>
      <w:r>
        <w:rPr>
          <w:rFonts w:hint="eastAsia" w:cs="仿宋_GB2312"/>
          <w:color w:val="000000"/>
        </w:rPr>
        <w:t>放或张贴节约标识，引导消费者适量点餐、厉行节俭，实施“光盘行动”，促进厨余垃圾源头减量。</w:t>
      </w:r>
    </w:p>
    <w:p>
      <w:pPr>
        <w:adjustRightInd w:val="0"/>
        <w:snapToGrid w:val="0"/>
        <w:spacing w:line="560" w:lineRule="exact"/>
        <w:ind w:firstLine="640" w:firstLineChars="200"/>
        <w:rPr>
          <w:rFonts w:hint="eastAsia" w:cs="仿宋_GB2312"/>
          <w:color w:val="000000"/>
        </w:rPr>
      </w:pPr>
      <w:r>
        <w:rPr>
          <w:rFonts w:hint="eastAsia" w:cs="仿宋_GB2312"/>
          <w:color w:val="000000"/>
        </w:rPr>
        <w:t>6.加强对果蔬批发市场、农贸市场和超市的管理，推行净菜半净菜上市，采用相对集中或就地资源化方式处理果蔬垃圾。</w:t>
      </w:r>
    </w:p>
    <w:p>
      <w:pPr>
        <w:adjustRightInd w:val="0"/>
        <w:snapToGrid w:val="0"/>
        <w:spacing w:line="560" w:lineRule="exact"/>
        <w:ind w:firstLine="640" w:firstLineChars="200"/>
        <w:rPr>
          <w:rFonts w:hint="eastAsia" w:cs="仿宋_GB2312"/>
          <w:color w:val="000000"/>
        </w:rPr>
      </w:pPr>
      <w:r>
        <w:rPr>
          <w:rFonts w:hint="eastAsia" w:cs="仿宋_GB2312"/>
          <w:color w:val="000000"/>
        </w:rPr>
        <w:t>7.倡导绿色生产生活方式，发动全社会的每个单位、每个家庭、每位市民，厉行节约、减少废弃、减少浪费、重复利用、参与垃圾分类与资源回收。</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（二）分类减量</w:t>
      </w:r>
    </w:p>
    <w:p>
      <w:pPr>
        <w:adjustRightInd w:val="0"/>
        <w:snapToGrid w:val="0"/>
        <w:spacing w:line="560" w:lineRule="exact"/>
        <w:ind w:firstLine="640" w:firstLineChars="200"/>
        <w:rPr>
          <w:rFonts w:hint="eastAsia" w:cs="仿宋_GB2312"/>
          <w:color w:val="000000"/>
        </w:rPr>
      </w:pPr>
      <w:r>
        <w:rPr>
          <w:rFonts w:hint="eastAsia" w:cs="仿宋_GB2312"/>
          <w:color w:val="000000"/>
        </w:rPr>
        <w:t>推动居民自主分类，重点提高厨余垃圾、可回收物的分出质量，提升后端资源化处理效果，逐步减少进入焚烧和填埋处理设施的生活垃圾量。</w:t>
      </w:r>
    </w:p>
    <w:p>
      <w:pPr>
        <w:adjustRightInd w:val="0"/>
        <w:snapToGrid w:val="0"/>
        <w:spacing w:line="560" w:lineRule="exact"/>
        <w:ind w:firstLine="640" w:firstLineChars="200"/>
        <w:rPr>
          <w:rFonts w:hint="eastAsia" w:cs="仿宋_GB2312"/>
          <w:color w:val="000000"/>
        </w:rPr>
      </w:pPr>
      <w:r>
        <w:rPr>
          <w:rFonts w:hint="eastAsia" w:cs="仿宋_GB2312"/>
          <w:color w:val="000000"/>
        </w:rPr>
        <w:t>1.</w:t>
      </w:r>
      <w:r>
        <w:rPr>
          <w:rFonts w:hint="eastAsia" w:cs="仿宋_GB2312"/>
        </w:rPr>
        <w:t>家庭</w:t>
      </w:r>
      <w:r>
        <w:rPr>
          <w:rFonts w:hint="eastAsia" w:cs="仿宋_GB2312"/>
          <w:color w:val="000000"/>
        </w:rPr>
        <w:t>厨余垃圾减量。探索推广厨余垃圾就地处理技术，有条件的居住区、家庭可以安装符合标准的厨余垃圾处理装置，促进农村地区实现厨余垃圾和农业废弃物协同资源化处置。</w:t>
      </w:r>
    </w:p>
    <w:p>
      <w:pPr>
        <w:adjustRightInd w:val="0"/>
        <w:snapToGrid w:val="0"/>
        <w:spacing w:line="560" w:lineRule="exact"/>
        <w:ind w:firstLine="640" w:firstLineChars="200"/>
        <w:rPr>
          <w:rFonts w:hint="eastAsia" w:cs="仿宋_GB2312"/>
          <w:color w:val="000000"/>
        </w:rPr>
      </w:pPr>
      <w:r>
        <w:rPr>
          <w:rFonts w:hint="eastAsia" w:cs="仿宋_GB2312"/>
          <w:color w:val="000000"/>
        </w:rPr>
        <w:t>2.餐饮服务单位厨余垃圾减量。餐饮服务单位应当按照环境影响评价要求设置油水分离设备，通过采用控水、控杂措施减少厨余垃圾清运量。1000人以上用餐规模的大型餐饮企业、食堂和中央厨房宜安装厨余垃圾就地处理设备。已经安装厨余垃圾就地处理设备的企事业单位应保障设备正常运行，建立统计计量系统，未腐熟的堆肥原料应送往后端资源化处理设施处置。</w:t>
      </w:r>
    </w:p>
    <w:p>
      <w:pPr>
        <w:adjustRightInd w:val="0"/>
        <w:snapToGrid w:val="0"/>
        <w:spacing w:line="560" w:lineRule="exact"/>
        <w:ind w:firstLine="640" w:firstLineChars="200"/>
        <w:rPr>
          <w:rFonts w:hint="eastAsia" w:cs="仿宋_GB2312"/>
          <w:color w:val="000000"/>
        </w:rPr>
      </w:pPr>
      <w:r>
        <w:rPr>
          <w:rFonts w:hint="eastAsia" w:cs="仿宋_GB2312"/>
          <w:color w:val="000000"/>
        </w:rPr>
        <w:t>3.可回收物应收尽收。建立可回收物社区交投点和街道（乡镇）中转站，畅通可回收物的交投转运和资源化利用渠道，最大限度方便市民交售。鼓励采用“互联网＋回收”、垃圾有偿收购等方式，扩大可回收物收购范围，将玻璃、利乐包装、外包装盒、塑料玩具、废织物、废旧电子产品等具有循环利用价值的物品纳入回收体系。</w:t>
      </w:r>
    </w:p>
    <w:p>
      <w:pPr>
        <w:adjustRightInd w:val="0"/>
        <w:snapToGrid w:val="0"/>
        <w:spacing w:line="560" w:lineRule="exact"/>
        <w:ind w:firstLine="640" w:firstLineChars="200"/>
        <w:rPr>
          <w:rFonts w:hint="eastAsia" w:cs="仿宋_GB2312"/>
          <w:color w:val="000000"/>
        </w:rPr>
      </w:pPr>
      <w:r>
        <w:rPr>
          <w:rFonts w:hint="eastAsia" w:cs="仿宋_GB2312"/>
          <w:color w:val="000000"/>
        </w:rPr>
        <w:t>4.大类分流。规范装修垃圾管理，严禁混入生活垃圾。鼓励废旧家具优先进入旧货交易体系，需要处置的应在街道（乡镇）设置中转站，具备条件的可采用资源化就地处理。各区至少设置一处集中拆解处置中心。</w:t>
      </w:r>
    </w:p>
    <w:p>
      <w:pPr>
        <w:adjustRightInd w:val="0"/>
        <w:snapToGrid w:val="0"/>
        <w:spacing w:line="560" w:lineRule="exact"/>
        <w:ind w:firstLine="640" w:firstLineChars="200"/>
        <w:rPr>
          <w:rFonts w:hint="eastAsia" w:eastAsia="楷体_GB2312" w:cs="仿宋_GB2312"/>
          <w:color w:val="000000"/>
        </w:rPr>
      </w:pPr>
      <w:r>
        <w:rPr>
          <w:rFonts w:hint="eastAsia" w:eastAsia="楷体_GB2312" w:cs="仿宋_GB2312"/>
          <w:color w:val="000000"/>
        </w:rPr>
        <w:t>（三）过程减量</w:t>
      </w:r>
    </w:p>
    <w:p>
      <w:pPr>
        <w:adjustRightInd w:val="0"/>
        <w:snapToGrid w:val="0"/>
        <w:spacing w:line="560" w:lineRule="exact"/>
        <w:ind w:firstLine="640" w:firstLineChars="200"/>
        <w:rPr>
          <w:rFonts w:hint="eastAsia" w:cs="仿宋_GB2312"/>
          <w:color w:val="000000"/>
        </w:rPr>
      </w:pPr>
      <w:r>
        <w:rPr>
          <w:rFonts w:hint="eastAsia" w:cs="仿宋_GB2312"/>
          <w:color w:val="000000"/>
        </w:rPr>
        <w:t>在生活垃圾产生后进行源头分拣，以及在收集暂存转运过程中，主要对其中可回收利用的部分进行机械分选或精分选，进一步减少进入终端处理设施的其他垃圾量。</w:t>
      </w:r>
    </w:p>
    <w:p>
      <w:pPr>
        <w:adjustRightInd w:val="0"/>
        <w:snapToGrid w:val="0"/>
        <w:spacing w:line="560" w:lineRule="exact"/>
        <w:ind w:firstLine="640" w:firstLineChars="200"/>
        <w:rPr>
          <w:rFonts w:hint="eastAsia" w:cs="仿宋_GB2312"/>
          <w:color w:val="000000"/>
        </w:rPr>
      </w:pPr>
      <w:r>
        <w:rPr>
          <w:rFonts w:hint="eastAsia" w:cs="仿宋_GB2312"/>
          <w:color w:val="000000"/>
        </w:rPr>
        <w:t>1.鼓励有场地条件的写字楼、商厦，对从公共区域收集的其他垃圾进行源头分拣，分出其中的可回收物，减少其他垃圾清运量。</w:t>
      </w:r>
    </w:p>
    <w:p>
      <w:pPr>
        <w:adjustRightInd w:val="0"/>
        <w:snapToGrid w:val="0"/>
        <w:spacing w:line="560" w:lineRule="exact"/>
        <w:ind w:firstLine="640" w:firstLineChars="200"/>
        <w:rPr>
          <w:rFonts w:hint="eastAsia" w:cs="仿宋_GB2312"/>
          <w:color w:val="000000"/>
        </w:rPr>
      </w:pPr>
      <w:r>
        <w:rPr>
          <w:rFonts w:hint="eastAsia" w:cs="仿宋_GB2312"/>
          <w:color w:val="000000"/>
        </w:rPr>
        <w:t>2.探索垃圾楼机械分选。在城乡结合部，流动人口集中，短期内难以达到垃圾分类效果的地区，可通过采用垃圾楼机械分选的方式，增加可回收物和可堆肥垃圾的分出量，减少其他垃圾清运量。</w:t>
      </w:r>
    </w:p>
    <w:p>
      <w:pPr>
        <w:adjustRightInd w:val="0"/>
        <w:snapToGrid w:val="0"/>
        <w:spacing w:line="560" w:lineRule="exact"/>
        <w:ind w:firstLine="640" w:firstLineChars="200"/>
        <w:rPr>
          <w:rFonts w:hint="eastAsia" w:cs="仿宋_GB2312"/>
          <w:color w:val="000000"/>
        </w:rPr>
      </w:pPr>
      <w:r>
        <w:rPr>
          <w:rFonts w:hint="eastAsia" w:cs="仿宋_GB2312"/>
          <w:color w:val="000000"/>
        </w:rPr>
        <w:t>3.转运站分选。在垃圾转运站内，采用滚筒筛选、磁力分选、风力分选等粗分选以及光电分选等精分选工艺，对已实施分类片区的其他垃圾进行机械分选，最大限度分出其中的金属、塑料、纸张等可回收物。</w:t>
      </w:r>
    </w:p>
    <w:p>
      <w:pPr>
        <w:adjustRightInd w:val="0"/>
        <w:snapToGrid w:val="0"/>
        <w:spacing w:line="560" w:lineRule="exact"/>
        <w:ind w:firstLine="640" w:firstLineChars="200"/>
        <w:rPr>
          <w:rFonts w:hint="eastAsia" w:eastAsia="黑体" w:cs="仿宋_GB2312"/>
          <w:color w:val="000000"/>
        </w:rPr>
      </w:pPr>
      <w:r>
        <w:rPr>
          <w:rFonts w:hint="eastAsia" w:eastAsia="黑体" w:cs="仿宋_GB2312"/>
          <w:color w:val="000000"/>
        </w:rPr>
        <w:t>三、工作要求</w:t>
      </w:r>
    </w:p>
    <w:p>
      <w:pPr>
        <w:adjustRightInd w:val="0"/>
        <w:snapToGrid w:val="0"/>
        <w:spacing w:line="560" w:lineRule="exact"/>
        <w:ind w:firstLine="640" w:firstLineChars="200"/>
        <w:rPr>
          <w:rFonts w:hint="eastAsia" w:cs="仿宋_GB2312"/>
          <w:color w:val="000000"/>
        </w:rPr>
      </w:pPr>
      <w:r>
        <w:rPr>
          <w:rFonts w:hint="eastAsia" w:eastAsia="楷体_GB2312" w:cs="仿宋_GB2312"/>
          <w:color w:val="000000"/>
        </w:rPr>
        <w:t>（一）加强部门协同。</w:t>
      </w:r>
      <w:r>
        <w:rPr>
          <w:rFonts w:hint="eastAsia" w:cs="仿宋_GB2312"/>
          <w:color w:val="000000"/>
        </w:rPr>
        <w:t>发挥市生活垃圾分类推进联席会议制度作用，强化垃圾减量工作的统筹协调，建立部门联动机制，形成部门合力。围绕垃圾减量目标，落实各部门和属地责任，细化任务分工，加强督促检查和考核评价，确保实现生活垃圾年度处理量控制指标。</w:t>
      </w:r>
    </w:p>
    <w:p>
      <w:pPr>
        <w:adjustRightInd w:val="0"/>
        <w:snapToGrid w:val="0"/>
        <w:spacing w:line="560" w:lineRule="exact"/>
        <w:ind w:firstLine="640" w:firstLineChars="200"/>
        <w:rPr>
          <w:rFonts w:hint="eastAsia" w:cs="仿宋_GB2312"/>
          <w:color w:val="000000"/>
        </w:rPr>
      </w:pPr>
      <w:r>
        <w:rPr>
          <w:rFonts w:hint="eastAsia" w:eastAsia="楷体_GB2312" w:cs="仿宋_GB2312"/>
          <w:color w:val="000000"/>
        </w:rPr>
        <w:t>（二）加强政策协同。</w:t>
      </w:r>
      <w:r>
        <w:rPr>
          <w:rFonts w:hint="eastAsia" w:cs="仿宋_GB2312"/>
          <w:color w:val="000000"/>
        </w:rPr>
        <w:t>整合各行业部门激励政策，进一步聚焦到促进垃圾减量上，提升政策实施的综合效果，让实现垃圾减量的单位和个人能够真正得到实惠，激发社会单位参与的积极性。</w:t>
      </w:r>
    </w:p>
    <w:p>
      <w:pPr>
        <w:adjustRightInd w:val="0"/>
        <w:snapToGrid w:val="0"/>
        <w:spacing w:line="560" w:lineRule="exact"/>
        <w:ind w:firstLine="640" w:firstLineChars="200"/>
        <w:rPr>
          <w:rFonts w:hint="eastAsia" w:cs="仿宋_GB2312"/>
          <w:color w:val="000000"/>
          <w:sz w:val="36"/>
          <w:szCs w:val="36"/>
        </w:rPr>
      </w:pPr>
      <w:r>
        <w:rPr>
          <w:rFonts w:hint="eastAsia" w:eastAsia="楷体_GB2312" w:cs="仿宋_GB2312"/>
          <w:color w:val="000000"/>
          <w:kern w:val="0"/>
        </w:rPr>
        <w:t>（三）加强社会协同。</w:t>
      </w:r>
      <w:r>
        <w:rPr>
          <w:rFonts w:hint="eastAsia" w:cs="仿宋_GB2312"/>
          <w:color w:val="000000"/>
          <w:kern w:val="0"/>
        </w:rPr>
        <w:t>发挥各行业协会、社会组织的作用，形成有利于垃圾减量的行业规范和标准体系，使垃圾减量成为行业管理的基本要求。加强宣传引导，树立先进典型，使垃圾减量成为社会的新风尚。</w:t>
      </w:r>
    </w:p>
    <w:p>
      <w:pPr>
        <w:adjustRightInd w:val="0"/>
        <w:snapToGrid w:val="0"/>
        <w:spacing w:line="560" w:lineRule="exact"/>
        <w:ind w:firstLine="640" w:firstLineChars="200"/>
        <w:rPr>
          <w:rFonts w:hint="eastAsia" w:cs="仿宋_GB2312"/>
          <w:color w:val="000000"/>
        </w:rPr>
      </w:pPr>
    </w:p>
    <w:p>
      <w:pPr>
        <w:pStyle w:val="2"/>
        <w:rPr>
          <w:rFonts w:hint="eastAsia" w:cs="仿宋_GB2312"/>
          <w:color w:val="000000"/>
          <w:spacing w:val="-11"/>
        </w:rPr>
      </w:pPr>
      <w:bookmarkStart w:id="0" w:name="_GoBack"/>
      <w:bookmarkEnd w:id="0"/>
    </w:p>
    <w:p>
      <w:pPr>
        <w:pStyle w:val="2"/>
        <w:rPr>
          <w:rFonts w:hint="eastAsia" w:cs="仿宋_GB2312"/>
          <w:color w:val="000000"/>
          <w:spacing w:val="-11"/>
        </w:rPr>
      </w:pPr>
    </w:p>
    <w:p>
      <w:pPr>
        <w:pStyle w:val="2"/>
        <w:rPr>
          <w:rFonts w:hint="eastAsia" w:cs="仿宋_GB2312"/>
          <w:color w:val="000000"/>
          <w:spacing w:val="-11"/>
        </w:rPr>
      </w:pPr>
    </w:p>
    <w:p>
      <w:pPr>
        <w:pStyle w:val="2"/>
        <w:tabs>
          <w:tab w:val="left" w:pos="1630"/>
        </w:tabs>
        <w:adjustRightInd w:val="0"/>
        <w:snapToGrid w:val="0"/>
        <w:spacing w:after="0"/>
        <w:rPr>
          <w:rFonts w:hint="eastAsia"/>
          <w:color w:val="000000"/>
        </w:rPr>
      </w:pPr>
    </w:p>
    <w:sectPr>
      <w:headerReference r:id="rId4" w:type="first"/>
      <w:footerReference r:id="rId5" w:type="default"/>
      <w:headerReference r:id="rId3" w:type="even"/>
      <w:footerReference r:id="rId6" w:type="even"/>
      <w:pgSz w:w="11906" w:h="16838"/>
      <w:pgMar w:top="2098" w:right="1531" w:bottom="1247" w:left="1531" w:header="851" w:footer="119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ordWrap w:val="0"/>
      <w:jc w:val="right"/>
      <w:rPr>
        <w:rFonts w:hint="eastAsia"/>
        <w:sz w:val="28"/>
      </w:rPr>
    </w:pPr>
    <w:r>
      <w:rPr>
        <w:rStyle w:val="28"/>
        <w:sz w:val="28"/>
      </w:rPr>
      <w:t>—</w:t>
    </w:r>
    <w:r>
      <w:rPr>
        <w:rStyle w:val="28"/>
        <w:rFonts w:hint="eastAsia"/>
        <w:sz w:val="28"/>
      </w:rPr>
      <w:t xml:space="preserve"> </w:t>
    </w:r>
    <w:r>
      <w:rPr>
        <w:sz w:val="28"/>
      </w:rPr>
      <w:fldChar w:fldCharType="begin"/>
    </w:r>
    <w:r>
      <w:rPr>
        <w:rStyle w:val="28"/>
        <w:sz w:val="28"/>
      </w:rPr>
      <w:instrText xml:space="preserve">PAGE  </w:instrText>
    </w:r>
    <w:r>
      <w:rPr>
        <w:sz w:val="28"/>
      </w:rPr>
      <w:fldChar w:fldCharType="separate"/>
    </w:r>
    <w:r>
      <w:rPr>
        <w:rStyle w:val="28"/>
        <w:sz w:val="28"/>
      </w:rPr>
      <w:t>3</w:t>
    </w:r>
    <w:r>
      <w:rPr>
        <w:sz w:val="28"/>
      </w:rPr>
      <w:fldChar w:fldCharType="end"/>
    </w:r>
    <w:r>
      <w:rPr>
        <w:rStyle w:val="28"/>
        <w:rFonts w:hint="eastAsia"/>
        <w:sz w:val="28"/>
      </w:rPr>
      <w:t xml:space="preserve"> </w:t>
    </w:r>
    <w:r>
      <w:rPr>
        <w:rStyle w:val="28"/>
        <w:sz w:val="28"/>
      </w:rPr>
      <w:t>—</w:t>
    </w:r>
    <w:r>
      <w:rPr>
        <w:rStyle w:val="28"/>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280" w:firstLineChars="100"/>
      <w:jc w:val="both"/>
      <w:rPr>
        <w:rFonts w:hint="eastAsia"/>
        <w:sz w:val="28"/>
      </w:rPr>
    </w:pPr>
    <w:r>
      <w:rPr>
        <w:rStyle w:val="28"/>
        <w:sz w:val="28"/>
      </w:rPr>
      <w:t>—</w:t>
    </w:r>
    <w:r>
      <w:rPr>
        <w:rStyle w:val="28"/>
        <w:rFonts w:hint="eastAsia"/>
        <w:sz w:val="28"/>
      </w:rPr>
      <w:t xml:space="preserve"> </w:t>
    </w:r>
    <w:r>
      <w:rPr>
        <w:sz w:val="28"/>
      </w:rPr>
      <w:fldChar w:fldCharType="begin"/>
    </w:r>
    <w:r>
      <w:rPr>
        <w:rStyle w:val="28"/>
        <w:sz w:val="28"/>
      </w:rPr>
      <w:instrText xml:space="preserve">PAGE  </w:instrText>
    </w:r>
    <w:r>
      <w:rPr>
        <w:sz w:val="28"/>
      </w:rPr>
      <w:fldChar w:fldCharType="separate"/>
    </w:r>
    <w:r>
      <w:rPr>
        <w:rStyle w:val="28"/>
        <w:sz w:val="28"/>
      </w:rPr>
      <w:t>2</w:t>
    </w:r>
    <w:r>
      <w:rPr>
        <w:sz w:val="28"/>
      </w:rPr>
      <w:fldChar w:fldCharType="end"/>
    </w:r>
    <w:r>
      <w:rPr>
        <w:rStyle w:val="28"/>
        <w:rFonts w:hint="eastAsia"/>
        <w:sz w:val="28"/>
      </w:rPr>
      <w:t xml:space="preserve"> </w:t>
    </w:r>
    <w:r>
      <w:rPr>
        <w:rStyle w:val="28"/>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30"/>
    <w:rsid w:val="000008EF"/>
    <w:rsid w:val="000010DA"/>
    <w:rsid w:val="000034B0"/>
    <w:rsid w:val="00003CE3"/>
    <w:rsid w:val="00003F62"/>
    <w:rsid w:val="00005661"/>
    <w:rsid w:val="000078D4"/>
    <w:rsid w:val="0001079D"/>
    <w:rsid w:val="00011817"/>
    <w:rsid w:val="00015524"/>
    <w:rsid w:val="0002189A"/>
    <w:rsid w:val="0002277C"/>
    <w:rsid w:val="0002283A"/>
    <w:rsid w:val="00022874"/>
    <w:rsid w:val="00024D6E"/>
    <w:rsid w:val="00024F77"/>
    <w:rsid w:val="00025603"/>
    <w:rsid w:val="00026871"/>
    <w:rsid w:val="000302C5"/>
    <w:rsid w:val="00031DCD"/>
    <w:rsid w:val="00035A26"/>
    <w:rsid w:val="00035CF1"/>
    <w:rsid w:val="00035D44"/>
    <w:rsid w:val="00036240"/>
    <w:rsid w:val="0003708B"/>
    <w:rsid w:val="00040D0C"/>
    <w:rsid w:val="00041062"/>
    <w:rsid w:val="000431C4"/>
    <w:rsid w:val="00043431"/>
    <w:rsid w:val="000438F2"/>
    <w:rsid w:val="00044E3C"/>
    <w:rsid w:val="000450E6"/>
    <w:rsid w:val="00046B39"/>
    <w:rsid w:val="00046E77"/>
    <w:rsid w:val="00053CAA"/>
    <w:rsid w:val="000619E3"/>
    <w:rsid w:val="00062241"/>
    <w:rsid w:val="000642CA"/>
    <w:rsid w:val="00064896"/>
    <w:rsid w:val="000673AF"/>
    <w:rsid w:val="00074F80"/>
    <w:rsid w:val="00076250"/>
    <w:rsid w:val="00077AC7"/>
    <w:rsid w:val="000801F9"/>
    <w:rsid w:val="00080BF1"/>
    <w:rsid w:val="0008367F"/>
    <w:rsid w:val="000841F3"/>
    <w:rsid w:val="0008424B"/>
    <w:rsid w:val="000846AB"/>
    <w:rsid w:val="0008547B"/>
    <w:rsid w:val="00094870"/>
    <w:rsid w:val="00096287"/>
    <w:rsid w:val="000968F3"/>
    <w:rsid w:val="00096B7D"/>
    <w:rsid w:val="00096B84"/>
    <w:rsid w:val="000A0F75"/>
    <w:rsid w:val="000A1648"/>
    <w:rsid w:val="000A17B0"/>
    <w:rsid w:val="000A2585"/>
    <w:rsid w:val="000A3605"/>
    <w:rsid w:val="000A39D3"/>
    <w:rsid w:val="000A566F"/>
    <w:rsid w:val="000A6EC0"/>
    <w:rsid w:val="000A7049"/>
    <w:rsid w:val="000B063F"/>
    <w:rsid w:val="000B2C99"/>
    <w:rsid w:val="000B4793"/>
    <w:rsid w:val="000B4F4E"/>
    <w:rsid w:val="000B667B"/>
    <w:rsid w:val="000B7046"/>
    <w:rsid w:val="000B7D0D"/>
    <w:rsid w:val="000B7F55"/>
    <w:rsid w:val="000C00FF"/>
    <w:rsid w:val="000C0409"/>
    <w:rsid w:val="000C1DD1"/>
    <w:rsid w:val="000C4B4F"/>
    <w:rsid w:val="000C6243"/>
    <w:rsid w:val="000C6741"/>
    <w:rsid w:val="000C7D6A"/>
    <w:rsid w:val="000D0D37"/>
    <w:rsid w:val="000D32D7"/>
    <w:rsid w:val="000D3F03"/>
    <w:rsid w:val="000D40D6"/>
    <w:rsid w:val="000D7028"/>
    <w:rsid w:val="000D7640"/>
    <w:rsid w:val="000D7B38"/>
    <w:rsid w:val="000E18E5"/>
    <w:rsid w:val="000E1F66"/>
    <w:rsid w:val="000E351F"/>
    <w:rsid w:val="000E4697"/>
    <w:rsid w:val="000E57AA"/>
    <w:rsid w:val="000E64F6"/>
    <w:rsid w:val="000E6CC4"/>
    <w:rsid w:val="000F1414"/>
    <w:rsid w:val="000F1AD4"/>
    <w:rsid w:val="000F4B52"/>
    <w:rsid w:val="000F571B"/>
    <w:rsid w:val="000F794B"/>
    <w:rsid w:val="000F7E52"/>
    <w:rsid w:val="00104ED2"/>
    <w:rsid w:val="00107348"/>
    <w:rsid w:val="001076E2"/>
    <w:rsid w:val="00110E2F"/>
    <w:rsid w:val="00111A9D"/>
    <w:rsid w:val="00114064"/>
    <w:rsid w:val="001148D3"/>
    <w:rsid w:val="00114EB3"/>
    <w:rsid w:val="0011601E"/>
    <w:rsid w:val="001164F5"/>
    <w:rsid w:val="001171C6"/>
    <w:rsid w:val="0012073B"/>
    <w:rsid w:val="00120D51"/>
    <w:rsid w:val="00124569"/>
    <w:rsid w:val="00124AE5"/>
    <w:rsid w:val="00125CE3"/>
    <w:rsid w:val="0012652F"/>
    <w:rsid w:val="00126D15"/>
    <w:rsid w:val="001307EC"/>
    <w:rsid w:val="00132B0F"/>
    <w:rsid w:val="0013378E"/>
    <w:rsid w:val="00136586"/>
    <w:rsid w:val="001368A0"/>
    <w:rsid w:val="0014029E"/>
    <w:rsid w:val="00141CC6"/>
    <w:rsid w:val="00143D4A"/>
    <w:rsid w:val="0014652F"/>
    <w:rsid w:val="00146DE8"/>
    <w:rsid w:val="0014769F"/>
    <w:rsid w:val="00147F74"/>
    <w:rsid w:val="00151837"/>
    <w:rsid w:val="0015205B"/>
    <w:rsid w:val="001524B0"/>
    <w:rsid w:val="0015300B"/>
    <w:rsid w:val="00153493"/>
    <w:rsid w:val="001536D0"/>
    <w:rsid w:val="00154085"/>
    <w:rsid w:val="00154E03"/>
    <w:rsid w:val="00155870"/>
    <w:rsid w:val="00155E6E"/>
    <w:rsid w:val="00156006"/>
    <w:rsid w:val="001565EF"/>
    <w:rsid w:val="00161284"/>
    <w:rsid w:val="00161329"/>
    <w:rsid w:val="00161851"/>
    <w:rsid w:val="001623F1"/>
    <w:rsid w:val="00162EB8"/>
    <w:rsid w:val="00163778"/>
    <w:rsid w:val="00163F0A"/>
    <w:rsid w:val="00165D2F"/>
    <w:rsid w:val="0016610C"/>
    <w:rsid w:val="001667B1"/>
    <w:rsid w:val="00166A95"/>
    <w:rsid w:val="001674AB"/>
    <w:rsid w:val="001700EE"/>
    <w:rsid w:val="00172009"/>
    <w:rsid w:val="00172D66"/>
    <w:rsid w:val="0017522D"/>
    <w:rsid w:val="001753F3"/>
    <w:rsid w:val="00175CB1"/>
    <w:rsid w:val="001822E8"/>
    <w:rsid w:val="00182368"/>
    <w:rsid w:val="00182DBE"/>
    <w:rsid w:val="001839FC"/>
    <w:rsid w:val="00184214"/>
    <w:rsid w:val="001848CE"/>
    <w:rsid w:val="00186609"/>
    <w:rsid w:val="00191A30"/>
    <w:rsid w:val="00192774"/>
    <w:rsid w:val="00193FEE"/>
    <w:rsid w:val="00194AC8"/>
    <w:rsid w:val="00194BFC"/>
    <w:rsid w:val="0019550A"/>
    <w:rsid w:val="001955D4"/>
    <w:rsid w:val="00196CEC"/>
    <w:rsid w:val="00197EA4"/>
    <w:rsid w:val="001A0714"/>
    <w:rsid w:val="001A0715"/>
    <w:rsid w:val="001A5BF1"/>
    <w:rsid w:val="001A7B25"/>
    <w:rsid w:val="001B1E44"/>
    <w:rsid w:val="001B2483"/>
    <w:rsid w:val="001B27D0"/>
    <w:rsid w:val="001B5A28"/>
    <w:rsid w:val="001B69D5"/>
    <w:rsid w:val="001B6BB6"/>
    <w:rsid w:val="001B7597"/>
    <w:rsid w:val="001C0510"/>
    <w:rsid w:val="001C0663"/>
    <w:rsid w:val="001C1A71"/>
    <w:rsid w:val="001C3516"/>
    <w:rsid w:val="001C3698"/>
    <w:rsid w:val="001C4570"/>
    <w:rsid w:val="001C5118"/>
    <w:rsid w:val="001C74E0"/>
    <w:rsid w:val="001D0B3B"/>
    <w:rsid w:val="001D1373"/>
    <w:rsid w:val="001D2A7A"/>
    <w:rsid w:val="001D3AF0"/>
    <w:rsid w:val="001D5E8B"/>
    <w:rsid w:val="001D6831"/>
    <w:rsid w:val="001D75B5"/>
    <w:rsid w:val="001E130B"/>
    <w:rsid w:val="001E14C8"/>
    <w:rsid w:val="001E30AC"/>
    <w:rsid w:val="001E3257"/>
    <w:rsid w:val="001E3760"/>
    <w:rsid w:val="001E6420"/>
    <w:rsid w:val="001E751F"/>
    <w:rsid w:val="001E7DD7"/>
    <w:rsid w:val="001F0682"/>
    <w:rsid w:val="001F0F83"/>
    <w:rsid w:val="001F21CA"/>
    <w:rsid w:val="001F5FF6"/>
    <w:rsid w:val="001F6FCC"/>
    <w:rsid w:val="001F73E6"/>
    <w:rsid w:val="00202969"/>
    <w:rsid w:val="0020317E"/>
    <w:rsid w:val="00203845"/>
    <w:rsid w:val="00203EF7"/>
    <w:rsid w:val="002046E8"/>
    <w:rsid w:val="00204D7F"/>
    <w:rsid w:val="00205181"/>
    <w:rsid w:val="002051E6"/>
    <w:rsid w:val="00205A87"/>
    <w:rsid w:val="00207EC4"/>
    <w:rsid w:val="0021046C"/>
    <w:rsid w:val="00212E4A"/>
    <w:rsid w:val="00213025"/>
    <w:rsid w:val="002134F8"/>
    <w:rsid w:val="002136EC"/>
    <w:rsid w:val="00213B5E"/>
    <w:rsid w:val="00213E82"/>
    <w:rsid w:val="00216043"/>
    <w:rsid w:val="00216822"/>
    <w:rsid w:val="00221C8D"/>
    <w:rsid w:val="00224F7D"/>
    <w:rsid w:val="00225601"/>
    <w:rsid w:val="00227D89"/>
    <w:rsid w:val="00230274"/>
    <w:rsid w:val="00230627"/>
    <w:rsid w:val="00233CD9"/>
    <w:rsid w:val="00235655"/>
    <w:rsid w:val="0024054C"/>
    <w:rsid w:val="0024571B"/>
    <w:rsid w:val="002474E8"/>
    <w:rsid w:val="00247D61"/>
    <w:rsid w:val="002508AD"/>
    <w:rsid w:val="002536F0"/>
    <w:rsid w:val="00254C2D"/>
    <w:rsid w:val="00256B9A"/>
    <w:rsid w:val="00256D78"/>
    <w:rsid w:val="00260171"/>
    <w:rsid w:val="00261256"/>
    <w:rsid w:val="002621AE"/>
    <w:rsid w:val="00264F27"/>
    <w:rsid w:val="00265D43"/>
    <w:rsid w:val="00267BF5"/>
    <w:rsid w:val="002730DB"/>
    <w:rsid w:val="002739FE"/>
    <w:rsid w:val="00275539"/>
    <w:rsid w:val="00276149"/>
    <w:rsid w:val="00277405"/>
    <w:rsid w:val="00277E2A"/>
    <w:rsid w:val="002808B2"/>
    <w:rsid w:val="002852ED"/>
    <w:rsid w:val="00285ED0"/>
    <w:rsid w:val="0028625E"/>
    <w:rsid w:val="00286CA9"/>
    <w:rsid w:val="00287377"/>
    <w:rsid w:val="00287A8A"/>
    <w:rsid w:val="00287F20"/>
    <w:rsid w:val="00290180"/>
    <w:rsid w:val="00290BB6"/>
    <w:rsid w:val="0029306D"/>
    <w:rsid w:val="00293612"/>
    <w:rsid w:val="00294CE1"/>
    <w:rsid w:val="002952D8"/>
    <w:rsid w:val="002974C9"/>
    <w:rsid w:val="002A0EBC"/>
    <w:rsid w:val="002A1C32"/>
    <w:rsid w:val="002A390C"/>
    <w:rsid w:val="002A69DF"/>
    <w:rsid w:val="002B08E0"/>
    <w:rsid w:val="002B68C1"/>
    <w:rsid w:val="002C07CC"/>
    <w:rsid w:val="002C1DEE"/>
    <w:rsid w:val="002C2208"/>
    <w:rsid w:val="002C2731"/>
    <w:rsid w:val="002C2801"/>
    <w:rsid w:val="002C2A34"/>
    <w:rsid w:val="002C3D6C"/>
    <w:rsid w:val="002D00D8"/>
    <w:rsid w:val="002D1533"/>
    <w:rsid w:val="002D1739"/>
    <w:rsid w:val="002D1985"/>
    <w:rsid w:val="002D2DE3"/>
    <w:rsid w:val="002D7CF1"/>
    <w:rsid w:val="002D7D2B"/>
    <w:rsid w:val="002E0575"/>
    <w:rsid w:val="002E15E9"/>
    <w:rsid w:val="002E1EC6"/>
    <w:rsid w:val="002E3312"/>
    <w:rsid w:val="002E3938"/>
    <w:rsid w:val="002E429F"/>
    <w:rsid w:val="002E437F"/>
    <w:rsid w:val="002E52B8"/>
    <w:rsid w:val="002E6144"/>
    <w:rsid w:val="002E648F"/>
    <w:rsid w:val="002E6E7B"/>
    <w:rsid w:val="002E7190"/>
    <w:rsid w:val="002F1C9E"/>
    <w:rsid w:val="002F212D"/>
    <w:rsid w:val="002F24AE"/>
    <w:rsid w:val="002F3B8B"/>
    <w:rsid w:val="002F5693"/>
    <w:rsid w:val="002F5814"/>
    <w:rsid w:val="002F7A04"/>
    <w:rsid w:val="00302E07"/>
    <w:rsid w:val="00303680"/>
    <w:rsid w:val="00303DAD"/>
    <w:rsid w:val="003040A4"/>
    <w:rsid w:val="00304CF3"/>
    <w:rsid w:val="00304E68"/>
    <w:rsid w:val="003132A9"/>
    <w:rsid w:val="003142ED"/>
    <w:rsid w:val="003146DB"/>
    <w:rsid w:val="00316343"/>
    <w:rsid w:val="00320087"/>
    <w:rsid w:val="00320EB1"/>
    <w:rsid w:val="00321CD5"/>
    <w:rsid w:val="00322E2E"/>
    <w:rsid w:val="00327B04"/>
    <w:rsid w:val="0033108E"/>
    <w:rsid w:val="003311D8"/>
    <w:rsid w:val="00331B2E"/>
    <w:rsid w:val="0033241A"/>
    <w:rsid w:val="00332A4F"/>
    <w:rsid w:val="00337E4D"/>
    <w:rsid w:val="00340F8E"/>
    <w:rsid w:val="003419B1"/>
    <w:rsid w:val="00343EC8"/>
    <w:rsid w:val="003447B8"/>
    <w:rsid w:val="00345408"/>
    <w:rsid w:val="0034584A"/>
    <w:rsid w:val="00347AA6"/>
    <w:rsid w:val="00347C62"/>
    <w:rsid w:val="00350183"/>
    <w:rsid w:val="003536C6"/>
    <w:rsid w:val="00354A9E"/>
    <w:rsid w:val="00355D78"/>
    <w:rsid w:val="00357054"/>
    <w:rsid w:val="003578DA"/>
    <w:rsid w:val="00357B4C"/>
    <w:rsid w:val="0036106E"/>
    <w:rsid w:val="00362052"/>
    <w:rsid w:val="0036268C"/>
    <w:rsid w:val="00362F67"/>
    <w:rsid w:val="003639BF"/>
    <w:rsid w:val="0036525D"/>
    <w:rsid w:val="003712B5"/>
    <w:rsid w:val="00375BBD"/>
    <w:rsid w:val="00375C12"/>
    <w:rsid w:val="003763B4"/>
    <w:rsid w:val="003768BB"/>
    <w:rsid w:val="0037751B"/>
    <w:rsid w:val="00377B15"/>
    <w:rsid w:val="00381DDD"/>
    <w:rsid w:val="00384259"/>
    <w:rsid w:val="00384330"/>
    <w:rsid w:val="00386F53"/>
    <w:rsid w:val="00387565"/>
    <w:rsid w:val="00387EEE"/>
    <w:rsid w:val="003904F0"/>
    <w:rsid w:val="00392030"/>
    <w:rsid w:val="003922F0"/>
    <w:rsid w:val="0039402B"/>
    <w:rsid w:val="003957AA"/>
    <w:rsid w:val="00395990"/>
    <w:rsid w:val="00395EF2"/>
    <w:rsid w:val="00396554"/>
    <w:rsid w:val="003965C5"/>
    <w:rsid w:val="00396D0F"/>
    <w:rsid w:val="00397B42"/>
    <w:rsid w:val="003A0A78"/>
    <w:rsid w:val="003A1310"/>
    <w:rsid w:val="003A2503"/>
    <w:rsid w:val="003A5258"/>
    <w:rsid w:val="003B163E"/>
    <w:rsid w:val="003B3054"/>
    <w:rsid w:val="003B4861"/>
    <w:rsid w:val="003B5C0E"/>
    <w:rsid w:val="003C04F6"/>
    <w:rsid w:val="003C1127"/>
    <w:rsid w:val="003C1534"/>
    <w:rsid w:val="003C2852"/>
    <w:rsid w:val="003C4170"/>
    <w:rsid w:val="003C5759"/>
    <w:rsid w:val="003C645C"/>
    <w:rsid w:val="003C7361"/>
    <w:rsid w:val="003D185A"/>
    <w:rsid w:val="003D3F86"/>
    <w:rsid w:val="003D415B"/>
    <w:rsid w:val="003D54BC"/>
    <w:rsid w:val="003D5547"/>
    <w:rsid w:val="003D6B57"/>
    <w:rsid w:val="003D7356"/>
    <w:rsid w:val="003D788B"/>
    <w:rsid w:val="003D79D4"/>
    <w:rsid w:val="003E16AE"/>
    <w:rsid w:val="003E2AF8"/>
    <w:rsid w:val="003F0B2D"/>
    <w:rsid w:val="003F21D6"/>
    <w:rsid w:val="003F2876"/>
    <w:rsid w:val="003F3339"/>
    <w:rsid w:val="003F3F1F"/>
    <w:rsid w:val="003F5489"/>
    <w:rsid w:val="003F55BB"/>
    <w:rsid w:val="003F5D49"/>
    <w:rsid w:val="003F60E9"/>
    <w:rsid w:val="00401880"/>
    <w:rsid w:val="004115E9"/>
    <w:rsid w:val="0041392C"/>
    <w:rsid w:val="004139BF"/>
    <w:rsid w:val="00414D2C"/>
    <w:rsid w:val="00415DDB"/>
    <w:rsid w:val="00420DF4"/>
    <w:rsid w:val="00421E8E"/>
    <w:rsid w:val="004243E2"/>
    <w:rsid w:val="00424AA0"/>
    <w:rsid w:val="00424FB9"/>
    <w:rsid w:val="00430FF7"/>
    <w:rsid w:val="004310C9"/>
    <w:rsid w:val="0043224C"/>
    <w:rsid w:val="00433F63"/>
    <w:rsid w:val="00434495"/>
    <w:rsid w:val="00436945"/>
    <w:rsid w:val="00437358"/>
    <w:rsid w:val="00437B7C"/>
    <w:rsid w:val="00437C04"/>
    <w:rsid w:val="004406BB"/>
    <w:rsid w:val="004418B0"/>
    <w:rsid w:val="00441966"/>
    <w:rsid w:val="004435EA"/>
    <w:rsid w:val="00447235"/>
    <w:rsid w:val="00447A2E"/>
    <w:rsid w:val="0045485A"/>
    <w:rsid w:val="0045486D"/>
    <w:rsid w:val="0046040B"/>
    <w:rsid w:val="0046107E"/>
    <w:rsid w:val="00462CA1"/>
    <w:rsid w:val="00464316"/>
    <w:rsid w:val="00464585"/>
    <w:rsid w:val="0046622A"/>
    <w:rsid w:val="00466468"/>
    <w:rsid w:val="004672EA"/>
    <w:rsid w:val="00472772"/>
    <w:rsid w:val="00472DB4"/>
    <w:rsid w:val="00474FD1"/>
    <w:rsid w:val="004756EA"/>
    <w:rsid w:val="004758FB"/>
    <w:rsid w:val="00476619"/>
    <w:rsid w:val="00476A47"/>
    <w:rsid w:val="00477AA2"/>
    <w:rsid w:val="00480638"/>
    <w:rsid w:val="004812D3"/>
    <w:rsid w:val="004826BD"/>
    <w:rsid w:val="0048348C"/>
    <w:rsid w:val="0048425E"/>
    <w:rsid w:val="00485B79"/>
    <w:rsid w:val="0048694A"/>
    <w:rsid w:val="004873C9"/>
    <w:rsid w:val="004906A1"/>
    <w:rsid w:val="00491BAC"/>
    <w:rsid w:val="004920EF"/>
    <w:rsid w:val="00492F4F"/>
    <w:rsid w:val="0049456B"/>
    <w:rsid w:val="00494F69"/>
    <w:rsid w:val="004955CE"/>
    <w:rsid w:val="0049571A"/>
    <w:rsid w:val="004A02E8"/>
    <w:rsid w:val="004A1ED7"/>
    <w:rsid w:val="004A31DA"/>
    <w:rsid w:val="004A6307"/>
    <w:rsid w:val="004B1067"/>
    <w:rsid w:val="004B269A"/>
    <w:rsid w:val="004B3B6C"/>
    <w:rsid w:val="004B7475"/>
    <w:rsid w:val="004C0DE7"/>
    <w:rsid w:val="004C16EA"/>
    <w:rsid w:val="004C498C"/>
    <w:rsid w:val="004C5C7D"/>
    <w:rsid w:val="004C5EE1"/>
    <w:rsid w:val="004C6536"/>
    <w:rsid w:val="004C65DF"/>
    <w:rsid w:val="004D4548"/>
    <w:rsid w:val="004D5142"/>
    <w:rsid w:val="004D6A60"/>
    <w:rsid w:val="004D6BC5"/>
    <w:rsid w:val="004E038B"/>
    <w:rsid w:val="004E1B61"/>
    <w:rsid w:val="004E329A"/>
    <w:rsid w:val="004E3958"/>
    <w:rsid w:val="004E3DE8"/>
    <w:rsid w:val="004E4398"/>
    <w:rsid w:val="004E5084"/>
    <w:rsid w:val="004E7ED5"/>
    <w:rsid w:val="004F4F3D"/>
    <w:rsid w:val="005004FF"/>
    <w:rsid w:val="005030B1"/>
    <w:rsid w:val="00503284"/>
    <w:rsid w:val="00506EAA"/>
    <w:rsid w:val="0050751B"/>
    <w:rsid w:val="005106AC"/>
    <w:rsid w:val="00513033"/>
    <w:rsid w:val="005136C2"/>
    <w:rsid w:val="005142E3"/>
    <w:rsid w:val="00520EB9"/>
    <w:rsid w:val="005244BE"/>
    <w:rsid w:val="00524FD1"/>
    <w:rsid w:val="00526A03"/>
    <w:rsid w:val="00526F1E"/>
    <w:rsid w:val="005304BB"/>
    <w:rsid w:val="00531886"/>
    <w:rsid w:val="00535EF4"/>
    <w:rsid w:val="00536D0A"/>
    <w:rsid w:val="00540A73"/>
    <w:rsid w:val="00540C76"/>
    <w:rsid w:val="00540E51"/>
    <w:rsid w:val="00541759"/>
    <w:rsid w:val="005447E4"/>
    <w:rsid w:val="00545204"/>
    <w:rsid w:val="00545DD0"/>
    <w:rsid w:val="00546E99"/>
    <w:rsid w:val="0054731A"/>
    <w:rsid w:val="00550671"/>
    <w:rsid w:val="00550B54"/>
    <w:rsid w:val="00554C22"/>
    <w:rsid w:val="00556952"/>
    <w:rsid w:val="00556F4F"/>
    <w:rsid w:val="00557738"/>
    <w:rsid w:val="00561216"/>
    <w:rsid w:val="00561BD7"/>
    <w:rsid w:val="00561EFB"/>
    <w:rsid w:val="00562915"/>
    <w:rsid w:val="00562E98"/>
    <w:rsid w:val="00564E0C"/>
    <w:rsid w:val="00565AAE"/>
    <w:rsid w:val="005669A1"/>
    <w:rsid w:val="00567DE8"/>
    <w:rsid w:val="00570B1A"/>
    <w:rsid w:val="00570C0D"/>
    <w:rsid w:val="00571E45"/>
    <w:rsid w:val="005725EB"/>
    <w:rsid w:val="00574A2C"/>
    <w:rsid w:val="00575430"/>
    <w:rsid w:val="005756A2"/>
    <w:rsid w:val="00576562"/>
    <w:rsid w:val="00577087"/>
    <w:rsid w:val="00580EA7"/>
    <w:rsid w:val="00582D47"/>
    <w:rsid w:val="005859E9"/>
    <w:rsid w:val="00585B2B"/>
    <w:rsid w:val="00591BEB"/>
    <w:rsid w:val="0059365B"/>
    <w:rsid w:val="00594299"/>
    <w:rsid w:val="005958AC"/>
    <w:rsid w:val="005967A0"/>
    <w:rsid w:val="0059790A"/>
    <w:rsid w:val="005A13EF"/>
    <w:rsid w:val="005A3B92"/>
    <w:rsid w:val="005A4C51"/>
    <w:rsid w:val="005A53FD"/>
    <w:rsid w:val="005A5A1F"/>
    <w:rsid w:val="005A647A"/>
    <w:rsid w:val="005A669B"/>
    <w:rsid w:val="005A6E5D"/>
    <w:rsid w:val="005A7D19"/>
    <w:rsid w:val="005A7D22"/>
    <w:rsid w:val="005B0690"/>
    <w:rsid w:val="005B1255"/>
    <w:rsid w:val="005B2CE6"/>
    <w:rsid w:val="005B2DF5"/>
    <w:rsid w:val="005B3B24"/>
    <w:rsid w:val="005B4782"/>
    <w:rsid w:val="005B539B"/>
    <w:rsid w:val="005C22E0"/>
    <w:rsid w:val="005C5410"/>
    <w:rsid w:val="005C60F4"/>
    <w:rsid w:val="005C7D70"/>
    <w:rsid w:val="005D4DF1"/>
    <w:rsid w:val="005D5580"/>
    <w:rsid w:val="005D66C1"/>
    <w:rsid w:val="005D6CEA"/>
    <w:rsid w:val="005D7632"/>
    <w:rsid w:val="005E2114"/>
    <w:rsid w:val="005E2BC6"/>
    <w:rsid w:val="005E48E7"/>
    <w:rsid w:val="005E5310"/>
    <w:rsid w:val="005E71AA"/>
    <w:rsid w:val="005F0510"/>
    <w:rsid w:val="005F0C78"/>
    <w:rsid w:val="005F2069"/>
    <w:rsid w:val="005F540D"/>
    <w:rsid w:val="005F67E6"/>
    <w:rsid w:val="00601659"/>
    <w:rsid w:val="00601EB3"/>
    <w:rsid w:val="00602995"/>
    <w:rsid w:val="00603A9C"/>
    <w:rsid w:val="006040E0"/>
    <w:rsid w:val="006044AA"/>
    <w:rsid w:val="00604FD2"/>
    <w:rsid w:val="006077E7"/>
    <w:rsid w:val="0060783A"/>
    <w:rsid w:val="00612198"/>
    <w:rsid w:val="00612D6B"/>
    <w:rsid w:val="00613B92"/>
    <w:rsid w:val="00613F40"/>
    <w:rsid w:val="00614862"/>
    <w:rsid w:val="00622723"/>
    <w:rsid w:val="00624710"/>
    <w:rsid w:val="00625689"/>
    <w:rsid w:val="00630288"/>
    <w:rsid w:val="00631A55"/>
    <w:rsid w:val="00633F9A"/>
    <w:rsid w:val="006370A1"/>
    <w:rsid w:val="006407B0"/>
    <w:rsid w:val="00641386"/>
    <w:rsid w:val="0064153A"/>
    <w:rsid w:val="0064171D"/>
    <w:rsid w:val="00641B89"/>
    <w:rsid w:val="00642847"/>
    <w:rsid w:val="00644C40"/>
    <w:rsid w:val="006456D1"/>
    <w:rsid w:val="00646FB1"/>
    <w:rsid w:val="00647337"/>
    <w:rsid w:val="00650B96"/>
    <w:rsid w:val="006517CE"/>
    <w:rsid w:val="0065330A"/>
    <w:rsid w:val="00654193"/>
    <w:rsid w:val="00655A4A"/>
    <w:rsid w:val="00661078"/>
    <w:rsid w:val="00662845"/>
    <w:rsid w:val="00663CCB"/>
    <w:rsid w:val="006657B8"/>
    <w:rsid w:val="00666281"/>
    <w:rsid w:val="00667DF3"/>
    <w:rsid w:val="00670344"/>
    <w:rsid w:val="00672C40"/>
    <w:rsid w:val="006732BD"/>
    <w:rsid w:val="006737E5"/>
    <w:rsid w:val="00673AE6"/>
    <w:rsid w:val="00674384"/>
    <w:rsid w:val="006808D1"/>
    <w:rsid w:val="00682B25"/>
    <w:rsid w:val="006832B4"/>
    <w:rsid w:val="00685CF9"/>
    <w:rsid w:val="00686952"/>
    <w:rsid w:val="00690BAB"/>
    <w:rsid w:val="00690DB8"/>
    <w:rsid w:val="006916B7"/>
    <w:rsid w:val="006926CF"/>
    <w:rsid w:val="00694021"/>
    <w:rsid w:val="006951F9"/>
    <w:rsid w:val="00695358"/>
    <w:rsid w:val="00697AE4"/>
    <w:rsid w:val="006A16CF"/>
    <w:rsid w:val="006A2487"/>
    <w:rsid w:val="006A45DF"/>
    <w:rsid w:val="006A675F"/>
    <w:rsid w:val="006B07CE"/>
    <w:rsid w:val="006B0FA0"/>
    <w:rsid w:val="006B37ED"/>
    <w:rsid w:val="006B3D9B"/>
    <w:rsid w:val="006B610E"/>
    <w:rsid w:val="006C1364"/>
    <w:rsid w:val="006C1BB9"/>
    <w:rsid w:val="006C1CB2"/>
    <w:rsid w:val="006C2B06"/>
    <w:rsid w:val="006C6786"/>
    <w:rsid w:val="006C6882"/>
    <w:rsid w:val="006C6D8F"/>
    <w:rsid w:val="006D20A4"/>
    <w:rsid w:val="006D2872"/>
    <w:rsid w:val="006D480A"/>
    <w:rsid w:val="006D592B"/>
    <w:rsid w:val="006D5EE0"/>
    <w:rsid w:val="006D6898"/>
    <w:rsid w:val="006D7C38"/>
    <w:rsid w:val="006E028D"/>
    <w:rsid w:val="006E054E"/>
    <w:rsid w:val="006E124C"/>
    <w:rsid w:val="006E13C3"/>
    <w:rsid w:val="006E2C75"/>
    <w:rsid w:val="006E4EC4"/>
    <w:rsid w:val="006E7976"/>
    <w:rsid w:val="006F14D1"/>
    <w:rsid w:val="006F1BBA"/>
    <w:rsid w:val="006F2880"/>
    <w:rsid w:val="006F3547"/>
    <w:rsid w:val="006F46D7"/>
    <w:rsid w:val="006F5126"/>
    <w:rsid w:val="00705242"/>
    <w:rsid w:val="00705756"/>
    <w:rsid w:val="007064A1"/>
    <w:rsid w:val="0070793B"/>
    <w:rsid w:val="00710522"/>
    <w:rsid w:val="00710558"/>
    <w:rsid w:val="00711FEE"/>
    <w:rsid w:val="007124AF"/>
    <w:rsid w:val="00714AB9"/>
    <w:rsid w:val="00714E06"/>
    <w:rsid w:val="0071675A"/>
    <w:rsid w:val="00716BD7"/>
    <w:rsid w:val="00716D37"/>
    <w:rsid w:val="00720894"/>
    <w:rsid w:val="007226A6"/>
    <w:rsid w:val="00722EA1"/>
    <w:rsid w:val="00723CD8"/>
    <w:rsid w:val="00723D04"/>
    <w:rsid w:val="0072694C"/>
    <w:rsid w:val="00726A4B"/>
    <w:rsid w:val="00730CDF"/>
    <w:rsid w:val="007344EF"/>
    <w:rsid w:val="00740464"/>
    <w:rsid w:val="007503F3"/>
    <w:rsid w:val="00751CBF"/>
    <w:rsid w:val="00752871"/>
    <w:rsid w:val="00752939"/>
    <w:rsid w:val="00752A3E"/>
    <w:rsid w:val="00753333"/>
    <w:rsid w:val="00753852"/>
    <w:rsid w:val="00757431"/>
    <w:rsid w:val="0075757F"/>
    <w:rsid w:val="007600EC"/>
    <w:rsid w:val="007602D1"/>
    <w:rsid w:val="00760FEF"/>
    <w:rsid w:val="007615A8"/>
    <w:rsid w:val="007623DE"/>
    <w:rsid w:val="00763C26"/>
    <w:rsid w:val="00764DF3"/>
    <w:rsid w:val="00765009"/>
    <w:rsid w:val="007655D2"/>
    <w:rsid w:val="00765FF0"/>
    <w:rsid w:val="007702B9"/>
    <w:rsid w:val="00771F19"/>
    <w:rsid w:val="00772370"/>
    <w:rsid w:val="00773F03"/>
    <w:rsid w:val="00774463"/>
    <w:rsid w:val="00774CC9"/>
    <w:rsid w:val="00775489"/>
    <w:rsid w:val="00775BFE"/>
    <w:rsid w:val="00775EB7"/>
    <w:rsid w:val="0077612A"/>
    <w:rsid w:val="00777798"/>
    <w:rsid w:val="00777E3F"/>
    <w:rsid w:val="00780CCD"/>
    <w:rsid w:val="00780CEB"/>
    <w:rsid w:val="00780D82"/>
    <w:rsid w:val="00780F16"/>
    <w:rsid w:val="00783804"/>
    <w:rsid w:val="007839E4"/>
    <w:rsid w:val="00784370"/>
    <w:rsid w:val="007846D2"/>
    <w:rsid w:val="00784E34"/>
    <w:rsid w:val="00787139"/>
    <w:rsid w:val="00791CB2"/>
    <w:rsid w:val="00791D24"/>
    <w:rsid w:val="00793410"/>
    <w:rsid w:val="007947FE"/>
    <w:rsid w:val="007950A9"/>
    <w:rsid w:val="00795E59"/>
    <w:rsid w:val="00796328"/>
    <w:rsid w:val="00797049"/>
    <w:rsid w:val="00797057"/>
    <w:rsid w:val="007978CD"/>
    <w:rsid w:val="007A070C"/>
    <w:rsid w:val="007A2B4C"/>
    <w:rsid w:val="007A31A1"/>
    <w:rsid w:val="007A4190"/>
    <w:rsid w:val="007A7414"/>
    <w:rsid w:val="007A7461"/>
    <w:rsid w:val="007B1AA9"/>
    <w:rsid w:val="007B1F9D"/>
    <w:rsid w:val="007B33FD"/>
    <w:rsid w:val="007B3B9D"/>
    <w:rsid w:val="007B3D22"/>
    <w:rsid w:val="007B3DCD"/>
    <w:rsid w:val="007B4755"/>
    <w:rsid w:val="007B4E97"/>
    <w:rsid w:val="007B738A"/>
    <w:rsid w:val="007B75EC"/>
    <w:rsid w:val="007B7F0E"/>
    <w:rsid w:val="007C0A14"/>
    <w:rsid w:val="007C1870"/>
    <w:rsid w:val="007C317E"/>
    <w:rsid w:val="007C448C"/>
    <w:rsid w:val="007C4BDD"/>
    <w:rsid w:val="007C5183"/>
    <w:rsid w:val="007C6168"/>
    <w:rsid w:val="007C6183"/>
    <w:rsid w:val="007C624A"/>
    <w:rsid w:val="007C6BAC"/>
    <w:rsid w:val="007C77AE"/>
    <w:rsid w:val="007D116B"/>
    <w:rsid w:val="007D3753"/>
    <w:rsid w:val="007D6A2F"/>
    <w:rsid w:val="007E2935"/>
    <w:rsid w:val="007E2E1E"/>
    <w:rsid w:val="007E31D2"/>
    <w:rsid w:val="007E3678"/>
    <w:rsid w:val="007E36B1"/>
    <w:rsid w:val="007E3F09"/>
    <w:rsid w:val="007E4627"/>
    <w:rsid w:val="007E468C"/>
    <w:rsid w:val="007E6FFC"/>
    <w:rsid w:val="007E7A7C"/>
    <w:rsid w:val="007E7EF8"/>
    <w:rsid w:val="007F062A"/>
    <w:rsid w:val="007F0978"/>
    <w:rsid w:val="007F1EEA"/>
    <w:rsid w:val="007F21C0"/>
    <w:rsid w:val="007F2957"/>
    <w:rsid w:val="007F320F"/>
    <w:rsid w:val="007F38D0"/>
    <w:rsid w:val="007F444C"/>
    <w:rsid w:val="007F5C12"/>
    <w:rsid w:val="007F6706"/>
    <w:rsid w:val="007F7083"/>
    <w:rsid w:val="007F7092"/>
    <w:rsid w:val="00801DEF"/>
    <w:rsid w:val="008025E5"/>
    <w:rsid w:val="0080265D"/>
    <w:rsid w:val="00803782"/>
    <w:rsid w:val="008057AE"/>
    <w:rsid w:val="00806217"/>
    <w:rsid w:val="00806E52"/>
    <w:rsid w:val="008124E8"/>
    <w:rsid w:val="00814C74"/>
    <w:rsid w:val="0081799E"/>
    <w:rsid w:val="00817DAF"/>
    <w:rsid w:val="00822F41"/>
    <w:rsid w:val="00824F22"/>
    <w:rsid w:val="0082556F"/>
    <w:rsid w:val="00827894"/>
    <w:rsid w:val="00830118"/>
    <w:rsid w:val="0083217C"/>
    <w:rsid w:val="008326C4"/>
    <w:rsid w:val="0084117A"/>
    <w:rsid w:val="00841AF3"/>
    <w:rsid w:val="00843682"/>
    <w:rsid w:val="00843F22"/>
    <w:rsid w:val="0084675E"/>
    <w:rsid w:val="00846B2D"/>
    <w:rsid w:val="00850A14"/>
    <w:rsid w:val="00850BC2"/>
    <w:rsid w:val="00851408"/>
    <w:rsid w:val="008519D9"/>
    <w:rsid w:val="00851F67"/>
    <w:rsid w:val="0085394C"/>
    <w:rsid w:val="0085395A"/>
    <w:rsid w:val="008612E5"/>
    <w:rsid w:val="00862793"/>
    <w:rsid w:val="00863204"/>
    <w:rsid w:val="008658BD"/>
    <w:rsid w:val="00865CC2"/>
    <w:rsid w:val="00867B26"/>
    <w:rsid w:val="008716CA"/>
    <w:rsid w:val="00871AD0"/>
    <w:rsid w:val="00874108"/>
    <w:rsid w:val="00874D20"/>
    <w:rsid w:val="00877478"/>
    <w:rsid w:val="008802D4"/>
    <w:rsid w:val="00880A94"/>
    <w:rsid w:val="00882A1F"/>
    <w:rsid w:val="00882EEB"/>
    <w:rsid w:val="008849CC"/>
    <w:rsid w:val="0088565C"/>
    <w:rsid w:val="008871C4"/>
    <w:rsid w:val="008912C0"/>
    <w:rsid w:val="008922D0"/>
    <w:rsid w:val="0089246C"/>
    <w:rsid w:val="0089479D"/>
    <w:rsid w:val="008947D1"/>
    <w:rsid w:val="00897116"/>
    <w:rsid w:val="008A1CE4"/>
    <w:rsid w:val="008A1EEA"/>
    <w:rsid w:val="008A2BB1"/>
    <w:rsid w:val="008A2BF8"/>
    <w:rsid w:val="008A4FA8"/>
    <w:rsid w:val="008A6ED3"/>
    <w:rsid w:val="008B1336"/>
    <w:rsid w:val="008B18A5"/>
    <w:rsid w:val="008B4794"/>
    <w:rsid w:val="008B4C50"/>
    <w:rsid w:val="008B70CF"/>
    <w:rsid w:val="008B7AFC"/>
    <w:rsid w:val="008C18D1"/>
    <w:rsid w:val="008C261A"/>
    <w:rsid w:val="008C3C56"/>
    <w:rsid w:val="008C5155"/>
    <w:rsid w:val="008C62D0"/>
    <w:rsid w:val="008C69F4"/>
    <w:rsid w:val="008C739C"/>
    <w:rsid w:val="008D0320"/>
    <w:rsid w:val="008D2305"/>
    <w:rsid w:val="008D3BD5"/>
    <w:rsid w:val="008D4331"/>
    <w:rsid w:val="008D50BE"/>
    <w:rsid w:val="008D5C3C"/>
    <w:rsid w:val="008D7654"/>
    <w:rsid w:val="008E19BE"/>
    <w:rsid w:val="008E292A"/>
    <w:rsid w:val="008E457B"/>
    <w:rsid w:val="008E561B"/>
    <w:rsid w:val="008F05F0"/>
    <w:rsid w:val="008F4195"/>
    <w:rsid w:val="008F4C8A"/>
    <w:rsid w:val="008F77DB"/>
    <w:rsid w:val="008F7B79"/>
    <w:rsid w:val="00901822"/>
    <w:rsid w:val="00902A8D"/>
    <w:rsid w:val="00906370"/>
    <w:rsid w:val="009069F1"/>
    <w:rsid w:val="00907516"/>
    <w:rsid w:val="00907D2E"/>
    <w:rsid w:val="00910AB2"/>
    <w:rsid w:val="009114E8"/>
    <w:rsid w:val="00912B94"/>
    <w:rsid w:val="0091525C"/>
    <w:rsid w:val="00915384"/>
    <w:rsid w:val="0092421D"/>
    <w:rsid w:val="009245BE"/>
    <w:rsid w:val="00930581"/>
    <w:rsid w:val="00930BA2"/>
    <w:rsid w:val="00931B82"/>
    <w:rsid w:val="009329A4"/>
    <w:rsid w:val="009339E1"/>
    <w:rsid w:val="00933C26"/>
    <w:rsid w:val="0093588B"/>
    <w:rsid w:val="00935965"/>
    <w:rsid w:val="009371FB"/>
    <w:rsid w:val="009376C9"/>
    <w:rsid w:val="00937F81"/>
    <w:rsid w:val="00940AAF"/>
    <w:rsid w:val="009410B5"/>
    <w:rsid w:val="00942AB1"/>
    <w:rsid w:val="00943ED0"/>
    <w:rsid w:val="00952B4F"/>
    <w:rsid w:val="00953EA1"/>
    <w:rsid w:val="00954856"/>
    <w:rsid w:val="00955BD0"/>
    <w:rsid w:val="0095628D"/>
    <w:rsid w:val="00956FA0"/>
    <w:rsid w:val="00957333"/>
    <w:rsid w:val="0095779E"/>
    <w:rsid w:val="00957F10"/>
    <w:rsid w:val="00961944"/>
    <w:rsid w:val="00962565"/>
    <w:rsid w:val="0096334D"/>
    <w:rsid w:val="009658F5"/>
    <w:rsid w:val="00966903"/>
    <w:rsid w:val="00966BC1"/>
    <w:rsid w:val="00966F79"/>
    <w:rsid w:val="0096754B"/>
    <w:rsid w:val="00971360"/>
    <w:rsid w:val="0097154D"/>
    <w:rsid w:val="009715AF"/>
    <w:rsid w:val="00974555"/>
    <w:rsid w:val="00975ADB"/>
    <w:rsid w:val="00977114"/>
    <w:rsid w:val="00977E9B"/>
    <w:rsid w:val="009808E2"/>
    <w:rsid w:val="00980C7C"/>
    <w:rsid w:val="009816B6"/>
    <w:rsid w:val="00981E99"/>
    <w:rsid w:val="00982C8B"/>
    <w:rsid w:val="0098382C"/>
    <w:rsid w:val="009848EF"/>
    <w:rsid w:val="0099059D"/>
    <w:rsid w:val="0099297F"/>
    <w:rsid w:val="00992C1F"/>
    <w:rsid w:val="00992D28"/>
    <w:rsid w:val="009937E0"/>
    <w:rsid w:val="00994826"/>
    <w:rsid w:val="00995E25"/>
    <w:rsid w:val="009961F7"/>
    <w:rsid w:val="00996D33"/>
    <w:rsid w:val="009A0788"/>
    <w:rsid w:val="009A22BF"/>
    <w:rsid w:val="009A405D"/>
    <w:rsid w:val="009A432F"/>
    <w:rsid w:val="009A4AD8"/>
    <w:rsid w:val="009B043F"/>
    <w:rsid w:val="009B2479"/>
    <w:rsid w:val="009B5FFE"/>
    <w:rsid w:val="009B78E3"/>
    <w:rsid w:val="009B7B21"/>
    <w:rsid w:val="009C05BD"/>
    <w:rsid w:val="009C10B7"/>
    <w:rsid w:val="009C1EAD"/>
    <w:rsid w:val="009C2A73"/>
    <w:rsid w:val="009C372F"/>
    <w:rsid w:val="009C4B9A"/>
    <w:rsid w:val="009C694E"/>
    <w:rsid w:val="009C7F60"/>
    <w:rsid w:val="009D26E8"/>
    <w:rsid w:val="009D292C"/>
    <w:rsid w:val="009D4643"/>
    <w:rsid w:val="009D5FBA"/>
    <w:rsid w:val="009D6F33"/>
    <w:rsid w:val="009E176C"/>
    <w:rsid w:val="009E21EA"/>
    <w:rsid w:val="009E5641"/>
    <w:rsid w:val="009E5F21"/>
    <w:rsid w:val="009E63E5"/>
    <w:rsid w:val="009F0DC3"/>
    <w:rsid w:val="009F1997"/>
    <w:rsid w:val="009F1D61"/>
    <w:rsid w:val="009F5683"/>
    <w:rsid w:val="009F593A"/>
    <w:rsid w:val="009F7DBF"/>
    <w:rsid w:val="00A00F4A"/>
    <w:rsid w:val="00A011AE"/>
    <w:rsid w:val="00A04A00"/>
    <w:rsid w:val="00A117A7"/>
    <w:rsid w:val="00A14E4D"/>
    <w:rsid w:val="00A165E0"/>
    <w:rsid w:val="00A2130D"/>
    <w:rsid w:val="00A21D4F"/>
    <w:rsid w:val="00A234CA"/>
    <w:rsid w:val="00A309CF"/>
    <w:rsid w:val="00A30EE2"/>
    <w:rsid w:val="00A3378E"/>
    <w:rsid w:val="00A337E9"/>
    <w:rsid w:val="00A34562"/>
    <w:rsid w:val="00A37E17"/>
    <w:rsid w:val="00A41B78"/>
    <w:rsid w:val="00A42EFE"/>
    <w:rsid w:val="00A43654"/>
    <w:rsid w:val="00A44631"/>
    <w:rsid w:val="00A45FE6"/>
    <w:rsid w:val="00A470FA"/>
    <w:rsid w:val="00A47D7D"/>
    <w:rsid w:val="00A50754"/>
    <w:rsid w:val="00A517F7"/>
    <w:rsid w:val="00A52511"/>
    <w:rsid w:val="00A540FE"/>
    <w:rsid w:val="00A554A2"/>
    <w:rsid w:val="00A55996"/>
    <w:rsid w:val="00A60686"/>
    <w:rsid w:val="00A63EFE"/>
    <w:rsid w:val="00A649E9"/>
    <w:rsid w:val="00A652AE"/>
    <w:rsid w:val="00A662CB"/>
    <w:rsid w:val="00A71AC9"/>
    <w:rsid w:val="00A732C7"/>
    <w:rsid w:val="00A744AC"/>
    <w:rsid w:val="00A74848"/>
    <w:rsid w:val="00A763CD"/>
    <w:rsid w:val="00A76D35"/>
    <w:rsid w:val="00A77E3A"/>
    <w:rsid w:val="00A81333"/>
    <w:rsid w:val="00A818EF"/>
    <w:rsid w:val="00A81B0B"/>
    <w:rsid w:val="00A82319"/>
    <w:rsid w:val="00A82B93"/>
    <w:rsid w:val="00A83AEB"/>
    <w:rsid w:val="00A854E6"/>
    <w:rsid w:val="00A90AD8"/>
    <w:rsid w:val="00A92F3D"/>
    <w:rsid w:val="00A935EF"/>
    <w:rsid w:val="00A9444B"/>
    <w:rsid w:val="00A969BB"/>
    <w:rsid w:val="00A96ACA"/>
    <w:rsid w:val="00A97C8B"/>
    <w:rsid w:val="00AA0533"/>
    <w:rsid w:val="00AA084F"/>
    <w:rsid w:val="00AA1D96"/>
    <w:rsid w:val="00AA2F3D"/>
    <w:rsid w:val="00AA3B43"/>
    <w:rsid w:val="00AA3CF6"/>
    <w:rsid w:val="00AA3D48"/>
    <w:rsid w:val="00AA6609"/>
    <w:rsid w:val="00AA6BCB"/>
    <w:rsid w:val="00AB05CA"/>
    <w:rsid w:val="00AB177F"/>
    <w:rsid w:val="00AB3A0E"/>
    <w:rsid w:val="00AB471E"/>
    <w:rsid w:val="00AB5FDE"/>
    <w:rsid w:val="00AB6374"/>
    <w:rsid w:val="00AB66A0"/>
    <w:rsid w:val="00AB776F"/>
    <w:rsid w:val="00AC09E9"/>
    <w:rsid w:val="00AC2027"/>
    <w:rsid w:val="00AC20FE"/>
    <w:rsid w:val="00AC489B"/>
    <w:rsid w:val="00AC4B21"/>
    <w:rsid w:val="00AC6380"/>
    <w:rsid w:val="00AD0961"/>
    <w:rsid w:val="00AD0988"/>
    <w:rsid w:val="00AD1B4A"/>
    <w:rsid w:val="00AD3AF8"/>
    <w:rsid w:val="00AD5A56"/>
    <w:rsid w:val="00AD61A2"/>
    <w:rsid w:val="00AD621C"/>
    <w:rsid w:val="00AD715D"/>
    <w:rsid w:val="00AD73E9"/>
    <w:rsid w:val="00AE01D2"/>
    <w:rsid w:val="00AE3846"/>
    <w:rsid w:val="00AE4ACE"/>
    <w:rsid w:val="00AE6510"/>
    <w:rsid w:val="00AF011B"/>
    <w:rsid w:val="00AF018A"/>
    <w:rsid w:val="00AF04BD"/>
    <w:rsid w:val="00AF2354"/>
    <w:rsid w:val="00AF40B3"/>
    <w:rsid w:val="00AF4EFE"/>
    <w:rsid w:val="00AF690D"/>
    <w:rsid w:val="00B0143A"/>
    <w:rsid w:val="00B01474"/>
    <w:rsid w:val="00B015DA"/>
    <w:rsid w:val="00B0259A"/>
    <w:rsid w:val="00B04186"/>
    <w:rsid w:val="00B04697"/>
    <w:rsid w:val="00B04BBF"/>
    <w:rsid w:val="00B05585"/>
    <w:rsid w:val="00B055C9"/>
    <w:rsid w:val="00B05F5B"/>
    <w:rsid w:val="00B10113"/>
    <w:rsid w:val="00B12057"/>
    <w:rsid w:val="00B13175"/>
    <w:rsid w:val="00B13FE1"/>
    <w:rsid w:val="00B1687D"/>
    <w:rsid w:val="00B21F92"/>
    <w:rsid w:val="00B2417D"/>
    <w:rsid w:val="00B321E3"/>
    <w:rsid w:val="00B32AB4"/>
    <w:rsid w:val="00B3525B"/>
    <w:rsid w:val="00B37316"/>
    <w:rsid w:val="00B4067D"/>
    <w:rsid w:val="00B40BD5"/>
    <w:rsid w:val="00B40DB8"/>
    <w:rsid w:val="00B424C7"/>
    <w:rsid w:val="00B4338A"/>
    <w:rsid w:val="00B441B8"/>
    <w:rsid w:val="00B46E65"/>
    <w:rsid w:val="00B47329"/>
    <w:rsid w:val="00B4734D"/>
    <w:rsid w:val="00B51622"/>
    <w:rsid w:val="00B51DBE"/>
    <w:rsid w:val="00B53447"/>
    <w:rsid w:val="00B53546"/>
    <w:rsid w:val="00B538C4"/>
    <w:rsid w:val="00B56469"/>
    <w:rsid w:val="00B56795"/>
    <w:rsid w:val="00B56F26"/>
    <w:rsid w:val="00B57AE7"/>
    <w:rsid w:val="00B606C0"/>
    <w:rsid w:val="00B6105E"/>
    <w:rsid w:val="00B6220D"/>
    <w:rsid w:val="00B62EC3"/>
    <w:rsid w:val="00B67568"/>
    <w:rsid w:val="00B7024D"/>
    <w:rsid w:val="00B7058A"/>
    <w:rsid w:val="00B74238"/>
    <w:rsid w:val="00B80F0E"/>
    <w:rsid w:val="00B83233"/>
    <w:rsid w:val="00B83CAE"/>
    <w:rsid w:val="00B83CCB"/>
    <w:rsid w:val="00B84418"/>
    <w:rsid w:val="00B8477E"/>
    <w:rsid w:val="00B84823"/>
    <w:rsid w:val="00B84C2D"/>
    <w:rsid w:val="00B84C81"/>
    <w:rsid w:val="00B85351"/>
    <w:rsid w:val="00B8685C"/>
    <w:rsid w:val="00B90D59"/>
    <w:rsid w:val="00B910A2"/>
    <w:rsid w:val="00B92248"/>
    <w:rsid w:val="00B93C51"/>
    <w:rsid w:val="00B94771"/>
    <w:rsid w:val="00B96F85"/>
    <w:rsid w:val="00B97D88"/>
    <w:rsid w:val="00BA0C32"/>
    <w:rsid w:val="00BA3A1F"/>
    <w:rsid w:val="00BA597F"/>
    <w:rsid w:val="00BA68D3"/>
    <w:rsid w:val="00BA7F6D"/>
    <w:rsid w:val="00BB2334"/>
    <w:rsid w:val="00BB2393"/>
    <w:rsid w:val="00BB312C"/>
    <w:rsid w:val="00BB3A0B"/>
    <w:rsid w:val="00BB4F64"/>
    <w:rsid w:val="00BC248D"/>
    <w:rsid w:val="00BC28F8"/>
    <w:rsid w:val="00BC4C33"/>
    <w:rsid w:val="00BC60E6"/>
    <w:rsid w:val="00BC75EF"/>
    <w:rsid w:val="00BD1937"/>
    <w:rsid w:val="00BD351F"/>
    <w:rsid w:val="00BD35B8"/>
    <w:rsid w:val="00BD5390"/>
    <w:rsid w:val="00BD5870"/>
    <w:rsid w:val="00BD7326"/>
    <w:rsid w:val="00BE0538"/>
    <w:rsid w:val="00BE1110"/>
    <w:rsid w:val="00BE2BF3"/>
    <w:rsid w:val="00BE2E5B"/>
    <w:rsid w:val="00BF1536"/>
    <w:rsid w:val="00BF186A"/>
    <w:rsid w:val="00BF2348"/>
    <w:rsid w:val="00BF4CE6"/>
    <w:rsid w:val="00C0002F"/>
    <w:rsid w:val="00C002C3"/>
    <w:rsid w:val="00C03580"/>
    <w:rsid w:val="00C06F8F"/>
    <w:rsid w:val="00C10180"/>
    <w:rsid w:val="00C12914"/>
    <w:rsid w:val="00C13227"/>
    <w:rsid w:val="00C14686"/>
    <w:rsid w:val="00C15FBD"/>
    <w:rsid w:val="00C169B0"/>
    <w:rsid w:val="00C16BB3"/>
    <w:rsid w:val="00C20C13"/>
    <w:rsid w:val="00C2164F"/>
    <w:rsid w:val="00C229F7"/>
    <w:rsid w:val="00C23B18"/>
    <w:rsid w:val="00C24AC5"/>
    <w:rsid w:val="00C24FC2"/>
    <w:rsid w:val="00C26CC7"/>
    <w:rsid w:val="00C3055D"/>
    <w:rsid w:val="00C330FC"/>
    <w:rsid w:val="00C340EC"/>
    <w:rsid w:val="00C350D4"/>
    <w:rsid w:val="00C417F4"/>
    <w:rsid w:val="00C424DF"/>
    <w:rsid w:val="00C42D5D"/>
    <w:rsid w:val="00C4434C"/>
    <w:rsid w:val="00C4478D"/>
    <w:rsid w:val="00C45AFC"/>
    <w:rsid w:val="00C46D28"/>
    <w:rsid w:val="00C50461"/>
    <w:rsid w:val="00C506B0"/>
    <w:rsid w:val="00C50EB4"/>
    <w:rsid w:val="00C5100D"/>
    <w:rsid w:val="00C5216D"/>
    <w:rsid w:val="00C52570"/>
    <w:rsid w:val="00C528E8"/>
    <w:rsid w:val="00C5380E"/>
    <w:rsid w:val="00C545BE"/>
    <w:rsid w:val="00C56EAB"/>
    <w:rsid w:val="00C57464"/>
    <w:rsid w:val="00C6386A"/>
    <w:rsid w:val="00C63948"/>
    <w:rsid w:val="00C63AD9"/>
    <w:rsid w:val="00C64462"/>
    <w:rsid w:val="00C70256"/>
    <w:rsid w:val="00C722AD"/>
    <w:rsid w:val="00C724F9"/>
    <w:rsid w:val="00C75BB1"/>
    <w:rsid w:val="00C76266"/>
    <w:rsid w:val="00C82AD2"/>
    <w:rsid w:val="00C83FB8"/>
    <w:rsid w:val="00C84418"/>
    <w:rsid w:val="00C8504D"/>
    <w:rsid w:val="00C87144"/>
    <w:rsid w:val="00C9050A"/>
    <w:rsid w:val="00C90C84"/>
    <w:rsid w:val="00C93386"/>
    <w:rsid w:val="00C97AF2"/>
    <w:rsid w:val="00CA11FD"/>
    <w:rsid w:val="00CA16BB"/>
    <w:rsid w:val="00CA33B9"/>
    <w:rsid w:val="00CA53B2"/>
    <w:rsid w:val="00CA57AB"/>
    <w:rsid w:val="00CA67B5"/>
    <w:rsid w:val="00CB0216"/>
    <w:rsid w:val="00CB150E"/>
    <w:rsid w:val="00CB24A5"/>
    <w:rsid w:val="00CB3A50"/>
    <w:rsid w:val="00CB3E5F"/>
    <w:rsid w:val="00CB4E61"/>
    <w:rsid w:val="00CB4F8A"/>
    <w:rsid w:val="00CB6640"/>
    <w:rsid w:val="00CB6D1E"/>
    <w:rsid w:val="00CC0541"/>
    <w:rsid w:val="00CC2919"/>
    <w:rsid w:val="00CC3317"/>
    <w:rsid w:val="00CC3813"/>
    <w:rsid w:val="00CC4877"/>
    <w:rsid w:val="00CD0574"/>
    <w:rsid w:val="00CD0AE5"/>
    <w:rsid w:val="00CD24CA"/>
    <w:rsid w:val="00CD3362"/>
    <w:rsid w:val="00CD7266"/>
    <w:rsid w:val="00CE0039"/>
    <w:rsid w:val="00CE296B"/>
    <w:rsid w:val="00CE39AD"/>
    <w:rsid w:val="00CE42AE"/>
    <w:rsid w:val="00CE53AF"/>
    <w:rsid w:val="00CE5625"/>
    <w:rsid w:val="00CE7D84"/>
    <w:rsid w:val="00CF030C"/>
    <w:rsid w:val="00CF0383"/>
    <w:rsid w:val="00CF03CD"/>
    <w:rsid w:val="00CF0699"/>
    <w:rsid w:val="00CF1424"/>
    <w:rsid w:val="00CF2DE0"/>
    <w:rsid w:val="00CF45AA"/>
    <w:rsid w:val="00CF4B11"/>
    <w:rsid w:val="00CF51D1"/>
    <w:rsid w:val="00CF520C"/>
    <w:rsid w:val="00CF5C82"/>
    <w:rsid w:val="00D00709"/>
    <w:rsid w:val="00D01DB7"/>
    <w:rsid w:val="00D01F20"/>
    <w:rsid w:val="00D02705"/>
    <w:rsid w:val="00D0291E"/>
    <w:rsid w:val="00D029F8"/>
    <w:rsid w:val="00D0302C"/>
    <w:rsid w:val="00D039BD"/>
    <w:rsid w:val="00D05D6B"/>
    <w:rsid w:val="00D06586"/>
    <w:rsid w:val="00D07024"/>
    <w:rsid w:val="00D075AC"/>
    <w:rsid w:val="00D1009D"/>
    <w:rsid w:val="00D1397E"/>
    <w:rsid w:val="00D13B74"/>
    <w:rsid w:val="00D16C22"/>
    <w:rsid w:val="00D20132"/>
    <w:rsid w:val="00D21AA0"/>
    <w:rsid w:val="00D21F97"/>
    <w:rsid w:val="00D2314F"/>
    <w:rsid w:val="00D24FED"/>
    <w:rsid w:val="00D27DC8"/>
    <w:rsid w:val="00D306D6"/>
    <w:rsid w:val="00D31492"/>
    <w:rsid w:val="00D3304B"/>
    <w:rsid w:val="00D34535"/>
    <w:rsid w:val="00D34D6C"/>
    <w:rsid w:val="00D3603A"/>
    <w:rsid w:val="00D369A8"/>
    <w:rsid w:val="00D40BC8"/>
    <w:rsid w:val="00D40DC7"/>
    <w:rsid w:val="00D40E9A"/>
    <w:rsid w:val="00D4130B"/>
    <w:rsid w:val="00D434EE"/>
    <w:rsid w:val="00D45C8B"/>
    <w:rsid w:val="00D45E57"/>
    <w:rsid w:val="00D46975"/>
    <w:rsid w:val="00D472CA"/>
    <w:rsid w:val="00D47AD9"/>
    <w:rsid w:val="00D51EC7"/>
    <w:rsid w:val="00D554D4"/>
    <w:rsid w:val="00D558E6"/>
    <w:rsid w:val="00D56F06"/>
    <w:rsid w:val="00D574FD"/>
    <w:rsid w:val="00D60630"/>
    <w:rsid w:val="00D60EF8"/>
    <w:rsid w:val="00D62CED"/>
    <w:rsid w:val="00D657A1"/>
    <w:rsid w:val="00D66C27"/>
    <w:rsid w:val="00D66E85"/>
    <w:rsid w:val="00D6758F"/>
    <w:rsid w:val="00D719EB"/>
    <w:rsid w:val="00D73FD1"/>
    <w:rsid w:val="00D74947"/>
    <w:rsid w:val="00D74A32"/>
    <w:rsid w:val="00D756C5"/>
    <w:rsid w:val="00D7718E"/>
    <w:rsid w:val="00D80A24"/>
    <w:rsid w:val="00D81316"/>
    <w:rsid w:val="00D82870"/>
    <w:rsid w:val="00D82B79"/>
    <w:rsid w:val="00D83987"/>
    <w:rsid w:val="00D86B4B"/>
    <w:rsid w:val="00D9172D"/>
    <w:rsid w:val="00D91AF5"/>
    <w:rsid w:val="00D92358"/>
    <w:rsid w:val="00D9252A"/>
    <w:rsid w:val="00D93051"/>
    <w:rsid w:val="00D9623F"/>
    <w:rsid w:val="00D972F7"/>
    <w:rsid w:val="00DA0F0F"/>
    <w:rsid w:val="00DA2603"/>
    <w:rsid w:val="00DA3545"/>
    <w:rsid w:val="00DA405F"/>
    <w:rsid w:val="00DA6DDF"/>
    <w:rsid w:val="00DB0454"/>
    <w:rsid w:val="00DB2230"/>
    <w:rsid w:val="00DB44F8"/>
    <w:rsid w:val="00DB5517"/>
    <w:rsid w:val="00DB57B4"/>
    <w:rsid w:val="00DB5A2D"/>
    <w:rsid w:val="00DB66F0"/>
    <w:rsid w:val="00DB7943"/>
    <w:rsid w:val="00DC368B"/>
    <w:rsid w:val="00DC7A1A"/>
    <w:rsid w:val="00DD0DE0"/>
    <w:rsid w:val="00DD1023"/>
    <w:rsid w:val="00DD19A7"/>
    <w:rsid w:val="00DD27B7"/>
    <w:rsid w:val="00DD32A5"/>
    <w:rsid w:val="00DD4D70"/>
    <w:rsid w:val="00DD6AE3"/>
    <w:rsid w:val="00DD71AE"/>
    <w:rsid w:val="00DD78C6"/>
    <w:rsid w:val="00DD7C2A"/>
    <w:rsid w:val="00DE0347"/>
    <w:rsid w:val="00DE1556"/>
    <w:rsid w:val="00DE2C69"/>
    <w:rsid w:val="00DE38D5"/>
    <w:rsid w:val="00DE4DDE"/>
    <w:rsid w:val="00DE6AAC"/>
    <w:rsid w:val="00DE6DD6"/>
    <w:rsid w:val="00DE7DFF"/>
    <w:rsid w:val="00DF0339"/>
    <w:rsid w:val="00DF0DD1"/>
    <w:rsid w:val="00DF11DA"/>
    <w:rsid w:val="00DF2F37"/>
    <w:rsid w:val="00DF4518"/>
    <w:rsid w:val="00E00953"/>
    <w:rsid w:val="00E0096E"/>
    <w:rsid w:val="00E0436F"/>
    <w:rsid w:val="00E04889"/>
    <w:rsid w:val="00E05464"/>
    <w:rsid w:val="00E06175"/>
    <w:rsid w:val="00E0640C"/>
    <w:rsid w:val="00E108CD"/>
    <w:rsid w:val="00E1426C"/>
    <w:rsid w:val="00E14D3E"/>
    <w:rsid w:val="00E14FE5"/>
    <w:rsid w:val="00E2033F"/>
    <w:rsid w:val="00E20A7D"/>
    <w:rsid w:val="00E21750"/>
    <w:rsid w:val="00E21AB5"/>
    <w:rsid w:val="00E2280E"/>
    <w:rsid w:val="00E2377D"/>
    <w:rsid w:val="00E24820"/>
    <w:rsid w:val="00E2789B"/>
    <w:rsid w:val="00E318B9"/>
    <w:rsid w:val="00E3597F"/>
    <w:rsid w:val="00E35D53"/>
    <w:rsid w:val="00E41476"/>
    <w:rsid w:val="00E4188F"/>
    <w:rsid w:val="00E4227F"/>
    <w:rsid w:val="00E4268B"/>
    <w:rsid w:val="00E42FF5"/>
    <w:rsid w:val="00E462E3"/>
    <w:rsid w:val="00E5009E"/>
    <w:rsid w:val="00E504FB"/>
    <w:rsid w:val="00E50BDA"/>
    <w:rsid w:val="00E51BEC"/>
    <w:rsid w:val="00E53B49"/>
    <w:rsid w:val="00E54EF7"/>
    <w:rsid w:val="00E566D9"/>
    <w:rsid w:val="00E57F0B"/>
    <w:rsid w:val="00E60A9F"/>
    <w:rsid w:val="00E62AEF"/>
    <w:rsid w:val="00E62E57"/>
    <w:rsid w:val="00E66168"/>
    <w:rsid w:val="00E663AA"/>
    <w:rsid w:val="00E67174"/>
    <w:rsid w:val="00E748DD"/>
    <w:rsid w:val="00E75A97"/>
    <w:rsid w:val="00E769A1"/>
    <w:rsid w:val="00E76AEB"/>
    <w:rsid w:val="00E77EBF"/>
    <w:rsid w:val="00E800B6"/>
    <w:rsid w:val="00E8166E"/>
    <w:rsid w:val="00E81EC5"/>
    <w:rsid w:val="00E83804"/>
    <w:rsid w:val="00E83DBA"/>
    <w:rsid w:val="00E856C8"/>
    <w:rsid w:val="00E85AD0"/>
    <w:rsid w:val="00E864BB"/>
    <w:rsid w:val="00E86784"/>
    <w:rsid w:val="00E873A3"/>
    <w:rsid w:val="00E90252"/>
    <w:rsid w:val="00E90465"/>
    <w:rsid w:val="00E90E1A"/>
    <w:rsid w:val="00E91B3A"/>
    <w:rsid w:val="00E92397"/>
    <w:rsid w:val="00E93363"/>
    <w:rsid w:val="00E9346D"/>
    <w:rsid w:val="00E944BD"/>
    <w:rsid w:val="00E971E7"/>
    <w:rsid w:val="00E973EB"/>
    <w:rsid w:val="00EA1DF6"/>
    <w:rsid w:val="00EA5D13"/>
    <w:rsid w:val="00EA7A1E"/>
    <w:rsid w:val="00EA7C39"/>
    <w:rsid w:val="00EB43F3"/>
    <w:rsid w:val="00EB5186"/>
    <w:rsid w:val="00EB5362"/>
    <w:rsid w:val="00EB651C"/>
    <w:rsid w:val="00EC250E"/>
    <w:rsid w:val="00EC39B6"/>
    <w:rsid w:val="00EC3A90"/>
    <w:rsid w:val="00EC606C"/>
    <w:rsid w:val="00EC7D72"/>
    <w:rsid w:val="00ED02BA"/>
    <w:rsid w:val="00ED2BEC"/>
    <w:rsid w:val="00ED336F"/>
    <w:rsid w:val="00ED3506"/>
    <w:rsid w:val="00ED594F"/>
    <w:rsid w:val="00ED7D3F"/>
    <w:rsid w:val="00ED7FE6"/>
    <w:rsid w:val="00EE1146"/>
    <w:rsid w:val="00EE17C5"/>
    <w:rsid w:val="00EE1948"/>
    <w:rsid w:val="00EE1D91"/>
    <w:rsid w:val="00EE3490"/>
    <w:rsid w:val="00EE627D"/>
    <w:rsid w:val="00EF0649"/>
    <w:rsid w:val="00EF1667"/>
    <w:rsid w:val="00EF2121"/>
    <w:rsid w:val="00EF4CF5"/>
    <w:rsid w:val="00EF4E42"/>
    <w:rsid w:val="00EF6888"/>
    <w:rsid w:val="00EF6C56"/>
    <w:rsid w:val="00F009BB"/>
    <w:rsid w:val="00F0631F"/>
    <w:rsid w:val="00F072FF"/>
    <w:rsid w:val="00F10051"/>
    <w:rsid w:val="00F11303"/>
    <w:rsid w:val="00F1397C"/>
    <w:rsid w:val="00F13B0F"/>
    <w:rsid w:val="00F148BB"/>
    <w:rsid w:val="00F1660B"/>
    <w:rsid w:val="00F20439"/>
    <w:rsid w:val="00F20AE4"/>
    <w:rsid w:val="00F2146B"/>
    <w:rsid w:val="00F21F95"/>
    <w:rsid w:val="00F2268B"/>
    <w:rsid w:val="00F23BF5"/>
    <w:rsid w:val="00F245CF"/>
    <w:rsid w:val="00F266FB"/>
    <w:rsid w:val="00F26F29"/>
    <w:rsid w:val="00F3086B"/>
    <w:rsid w:val="00F32008"/>
    <w:rsid w:val="00F33F20"/>
    <w:rsid w:val="00F3418D"/>
    <w:rsid w:val="00F35757"/>
    <w:rsid w:val="00F3638F"/>
    <w:rsid w:val="00F3711F"/>
    <w:rsid w:val="00F40F5A"/>
    <w:rsid w:val="00F4111B"/>
    <w:rsid w:val="00F42C9A"/>
    <w:rsid w:val="00F43C3C"/>
    <w:rsid w:val="00F44261"/>
    <w:rsid w:val="00F44FAE"/>
    <w:rsid w:val="00F46F6F"/>
    <w:rsid w:val="00F479FB"/>
    <w:rsid w:val="00F51B9D"/>
    <w:rsid w:val="00F548B1"/>
    <w:rsid w:val="00F55764"/>
    <w:rsid w:val="00F55A1E"/>
    <w:rsid w:val="00F5635E"/>
    <w:rsid w:val="00F567A7"/>
    <w:rsid w:val="00F567CF"/>
    <w:rsid w:val="00F640C2"/>
    <w:rsid w:val="00F64554"/>
    <w:rsid w:val="00F678BB"/>
    <w:rsid w:val="00F71502"/>
    <w:rsid w:val="00F7215B"/>
    <w:rsid w:val="00F816DF"/>
    <w:rsid w:val="00F823F3"/>
    <w:rsid w:val="00F825B3"/>
    <w:rsid w:val="00F87927"/>
    <w:rsid w:val="00F915B2"/>
    <w:rsid w:val="00F92CB8"/>
    <w:rsid w:val="00F933F2"/>
    <w:rsid w:val="00F94792"/>
    <w:rsid w:val="00F9486C"/>
    <w:rsid w:val="00F95E36"/>
    <w:rsid w:val="00F95EEB"/>
    <w:rsid w:val="00F964CB"/>
    <w:rsid w:val="00F970CD"/>
    <w:rsid w:val="00F97536"/>
    <w:rsid w:val="00FA3F71"/>
    <w:rsid w:val="00FA3F9D"/>
    <w:rsid w:val="00FA4363"/>
    <w:rsid w:val="00FA46E1"/>
    <w:rsid w:val="00FA5CCC"/>
    <w:rsid w:val="00FA5ED6"/>
    <w:rsid w:val="00FB001B"/>
    <w:rsid w:val="00FB5575"/>
    <w:rsid w:val="00FB6D9D"/>
    <w:rsid w:val="00FB7058"/>
    <w:rsid w:val="00FB75B0"/>
    <w:rsid w:val="00FB77E8"/>
    <w:rsid w:val="00FC01FF"/>
    <w:rsid w:val="00FC1B38"/>
    <w:rsid w:val="00FC30FE"/>
    <w:rsid w:val="00FC4958"/>
    <w:rsid w:val="00FC76CC"/>
    <w:rsid w:val="00FD0812"/>
    <w:rsid w:val="00FD08EE"/>
    <w:rsid w:val="00FD32EA"/>
    <w:rsid w:val="00FD3404"/>
    <w:rsid w:val="00FD4AE9"/>
    <w:rsid w:val="00FD6F57"/>
    <w:rsid w:val="00FD763E"/>
    <w:rsid w:val="00FD7C14"/>
    <w:rsid w:val="00FE048B"/>
    <w:rsid w:val="00FE06F0"/>
    <w:rsid w:val="00FE0D98"/>
    <w:rsid w:val="00FE1F93"/>
    <w:rsid w:val="00FE2034"/>
    <w:rsid w:val="00FE2618"/>
    <w:rsid w:val="00FE2930"/>
    <w:rsid w:val="00FE2AE3"/>
    <w:rsid w:val="00FE2F6F"/>
    <w:rsid w:val="00FE3187"/>
    <w:rsid w:val="00FE33E9"/>
    <w:rsid w:val="00FF4CFF"/>
    <w:rsid w:val="00FF5953"/>
    <w:rsid w:val="014F3EE2"/>
    <w:rsid w:val="1C9F1255"/>
    <w:rsid w:val="293975AB"/>
    <w:rsid w:val="2C861284"/>
    <w:rsid w:val="3B052742"/>
    <w:rsid w:val="3D8671D3"/>
    <w:rsid w:val="5D942E43"/>
    <w:rsid w:val="5E072423"/>
    <w:rsid w:val="68F40781"/>
    <w:rsid w:val="69B22BFB"/>
    <w:rsid w:val="6FB63067"/>
    <w:rsid w:val="71CF00F2"/>
    <w:rsid w:val="72AB7384"/>
    <w:rsid w:val="7D0505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paragraph" w:styleId="3">
    <w:name w:val="heading 1"/>
    <w:basedOn w:val="1"/>
    <w:next w:val="1"/>
    <w:link w:val="131"/>
    <w:qFormat/>
    <w:uiPriority w:val="0"/>
    <w:pPr>
      <w:jc w:val="left"/>
      <w:outlineLvl w:val="0"/>
    </w:pPr>
    <w:rPr>
      <w:rFonts w:ascii="黑体" w:eastAsia="黑体"/>
      <w:bCs/>
    </w:rPr>
  </w:style>
  <w:style w:type="paragraph" w:styleId="4">
    <w:name w:val="heading 2"/>
    <w:basedOn w:val="1"/>
    <w:next w:val="1"/>
    <w:link w:val="118"/>
    <w:qFormat/>
    <w:uiPriority w:val="0"/>
    <w:pPr>
      <w:outlineLvl w:val="1"/>
    </w:pPr>
    <w:rPr>
      <w:b/>
      <w:bCs/>
    </w:rPr>
  </w:style>
  <w:style w:type="paragraph" w:styleId="5">
    <w:name w:val="heading 3"/>
    <w:basedOn w:val="1"/>
    <w:next w:val="1"/>
    <w:link w:val="138"/>
    <w:qFormat/>
    <w:uiPriority w:val="0"/>
    <w:pPr>
      <w:adjustRightInd w:val="0"/>
      <w:snapToGrid w:val="0"/>
      <w:spacing w:line="336" w:lineRule="auto"/>
      <w:ind w:firstLine="200" w:firstLineChars="200"/>
      <w:outlineLvl w:val="2"/>
    </w:pPr>
    <w:rPr>
      <w:rFonts w:eastAsia="楷体_GB2312"/>
      <w:bCs/>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26">
    <w:name w:val="Default Paragraph Font"/>
    <w:qFormat/>
    <w:uiPriority w:val="0"/>
  </w:style>
  <w:style w:type="table" w:default="1" w:styleId="3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link w:val="137"/>
    <w:qFormat/>
    <w:uiPriority w:val="0"/>
    <w:pPr>
      <w:spacing w:after="120" w:afterLines="0"/>
    </w:pPr>
  </w:style>
  <w:style w:type="paragraph" w:styleId="7">
    <w:name w:val="annotation subject"/>
    <w:basedOn w:val="8"/>
    <w:next w:val="8"/>
    <w:link w:val="124"/>
    <w:qFormat/>
    <w:uiPriority w:val="0"/>
    <w:rPr>
      <w:rFonts w:ascii="宋体" w:hAnsi="宋体" w:eastAsia="仿宋_GB2312"/>
      <w:b/>
      <w:bCs/>
      <w:snapToGrid w:val="0"/>
      <w:kern w:val="32"/>
      <w:sz w:val="32"/>
      <w:szCs w:val="32"/>
    </w:rPr>
  </w:style>
  <w:style w:type="paragraph" w:styleId="8">
    <w:name w:val="annotation text"/>
    <w:basedOn w:val="1"/>
    <w:link w:val="135"/>
    <w:qFormat/>
    <w:uiPriority w:val="0"/>
    <w:pPr>
      <w:jc w:val="left"/>
    </w:pPr>
    <w:rPr>
      <w:rFonts w:ascii="Times New Roman" w:hAnsi="Times New Roman" w:eastAsia="宋体"/>
      <w:snapToGrid/>
      <w:kern w:val="2"/>
      <w:sz w:val="21"/>
      <w:szCs w:val="20"/>
    </w:rPr>
  </w:style>
  <w:style w:type="paragraph" w:styleId="9">
    <w:name w:val="Normal Indent"/>
    <w:basedOn w:val="1"/>
    <w:qFormat/>
    <w:uiPriority w:val="0"/>
    <w:pPr>
      <w:ind w:firstLine="420" w:firstLineChars="200"/>
    </w:pPr>
  </w:style>
  <w:style w:type="paragraph" w:styleId="10">
    <w:name w:val="Document Map"/>
    <w:basedOn w:val="1"/>
    <w:link w:val="149"/>
    <w:qFormat/>
    <w:uiPriority w:val="0"/>
    <w:pPr>
      <w:shd w:val="clear" w:color="auto" w:fill="000080"/>
    </w:pPr>
  </w:style>
  <w:style w:type="paragraph" w:styleId="11">
    <w:name w:val="Body Text Indent"/>
    <w:basedOn w:val="1"/>
    <w:link w:val="140"/>
    <w:qFormat/>
    <w:uiPriority w:val="0"/>
    <w:pPr>
      <w:ind w:left="570" w:hanging="30"/>
    </w:pPr>
    <w:rPr>
      <w:rFonts w:ascii="Times New Roman" w:hAnsi="Times New Roman" w:eastAsia="宋体"/>
      <w:snapToGrid/>
      <w:kern w:val="2"/>
      <w:sz w:val="28"/>
      <w:szCs w:val="20"/>
    </w:rPr>
  </w:style>
  <w:style w:type="paragraph" w:styleId="12">
    <w:name w:val="Block Text"/>
    <w:basedOn w:val="1"/>
    <w:qFormat/>
    <w:uiPriority w:val="0"/>
    <w:pPr>
      <w:ind w:left="-718" w:leftChars="-342" w:right="-512" w:rightChars="-244"/>
      <w:jc w:val="center"/>
    </w:pPr>
    <w:rPr>
      <w:rFonts w:ascii="仿宋_GB2312"/>
      <w:snapToGrid/>
      <w:kern w:val="2"/>
      <w:sz w:val="44"/>
    </w:rPr>
  </w:style>
  <w:style w:type="paragraph" w:styleId="13">
    <w:name w:val="Plain Text"/>
    <w:basedOn w:val="1"/>
    <w:link w:val="115"/>
    <w:qFormat/>
    <w:uiPriority w:val="0"/>
    <w:rPr>
      <w:rFonts w:hAnsi="Courier New" w:eastAsia="宋体" w:cs="Courier New"/>
      <w:snapToGrid/>
      <w:kern w:val="2"/>
      <w:sz w:val="21"/>
      <w:szCs w:val="21"/>
    </w:rPr>
  </w:style>
  <w:style w:type="paragraph" w:styleId="14">
    <w:name w:val="Date"/>
    <w:basedOn w:val="1"/>
    <w:next w:val="1"/>
    <w:link w:val="151"/>
    <w:qFormat/>
    <w:uiPriority w:val="0"/>
    <w:pPr>
      <w:ind w:left="100" w:leftChars="2500"/>
    </w:pPr>
  </w:style>
  <w:style w:type="paragraph" w:styleId="15">
    <w:name w:val="Body Text Indent 2"/>
    <w:basedOn w:val="1"/>
    <w:link w:val="126"/>
    <w:qFormat/>
    <w:uiPriority w:val="0"/>
    <w:pPr>
      <w:spacing w:after="120" w:afterLines="0" w:line="480" w:lineRule="auto"/>
      <w:ind w:left="420" w:leftChars="200"/>
    </w:pPr>
    <w:rPr>
      <w:rFonts w:ascii="Times New Roman" w:hAnsi="Times New Roman"/>
      <w:snapToGrid/>
      <w:kern w:val="2"/>
      <w:szCs w:val="24"/>
    </w:rPr>
  </w:style>
  <w:style w:type="paragraph" w:styleId="16">
    <w:name w:val="Balloon Text"/>
    <w:basedOn w:val="1"/>
    <w:link w:val="144"/>
    <w:qFormat/>
    <w:uiPriority w:val="0"/>
    <w:rPr>
      <w:sz w:val="18"/>
      <w:szCs w:val="18"/>
    </w:rPr>
  </w:style>
  <w:style w:type="paragraph" w:styleId="17">
    <w:name w:val="footer"/>
    <w:basedOn w:val="1"/>
    <w:link w:val="120"/>
    <w:qFormat/>
    <w:uiPriority w:val="0"/>
    <w:pPr>
      <w:tabs>
        <w:tab w:val="center" w:pos="4153"/>
        <w:tab w:val="right" w:pos="8306"/>
      </w:tabs>
      <w:snapToGrid w:val="0"/>
      <w:jc w:val="left"/>
    </w:pPr>
    <w:rPr>
      <w:sz w:val="18"/>
      <w:szCs w:val="18"/>
    </w:rPr>
  </w:style>
  <w:style w:type="paragraph" w:styleId="18">
    <w:name w:val="envelope return"/>
    <w:basedOn w:val="1"/>
    <w:qFormat/>
    <w:uiPriority w:val="0"/>
    <w:pPr>
      <w:widowControl/>
      <w:jc w:val="left"/>
    </w:pPr>
    <w:rPr>
      <w:rFonts w:ascii="Garamond" w:hAnsi="Garamond" w:eastAsia="宋体"/>
      <w:snapToGrid/>
      <w:kern w:val="0"/>
      <w:sz w:val="24"/>
      <w:szCs w:val="20"/>
      <w:lang w:val="fr-CH" w:eastAsia="en-US"/>
    </w:rPr>
  </w:style>
  <w:style w:type="paragraph" w:styleId="19">
    <w:name w:val="header"/>
    <w:basedOn w:val="1"/>
    <w:link w:val="127"/>
    <w:qFormat/>
    <w:uiPriority w:val="0"/>
    <w:pPr>
      <w:pBdr>
        <w:bottom w:val="single" w:color="auto" w:sz="6" w:space="1"/>
      </w:pBdr>
      <w:tabs>
        <w:tab w:val="center" w:pos="4153"/>
        <w:tab w:val="right" w:pos="8306"/>
      </w:tabs>
      <w:snapToGrid w:val="0"/>
      <w:jc w:val="center"/>
    </w:pPr>
    <w:rPr>
      <w:sz w:val="18"/>
      <w:szCs w:val="18"/>
    </w:rPr>
  </w:style>
  <w:style w:type="paragraph" w:styleId="20">
    <w:name w:val="List"/>
    <w:basedOn w:val="2"/>
    <w:qFormat/>
    <w:uiPriority w:val="0"/>
    <w:pPr>
      <w:suppressAutoHyphens/>
      <w:spacing w:after="0" w:afterLines="0" w:line="0" w:lineRule="atLeast"/>
      <w:jc w:val="center"/>
    </w:pPr>
    <w:rPr>
      <w:rFonts w:ascii="方正小标宋简体" w:hAnsi="方正小标宋简体" w:eastAsia="方正小标宋简体"/>
      <w:snapToGrid/>
      <w:kern w:val="1"/>
      <w:sz w:val="44"/>
      <w:szCs w:val="24"/>
    </w:rPr>
  </w:style>
  <w:style w:type="paragraph" w:styleId="21">
    <w:name w:val="Body Text Indent 3"/>
    <w:basedOn w:val="1"/>
    <w:link w:val="136"/>
    <w:qFormat/>
    <w:uiPriority w:val="0"/>
    <w:pPr>
      <w:spacing w:after="120" w:afterLines="0"/>
      <w:ind w:left="420" w:leftChars="200"/>
    </w:pPr>
    <w:rPr>
      <w:sz w:val="16"/>
      <w:szCs w:val="16"/>
    </w:rPr>
  </w:style>
  <w:style w:type="paragraph" w:styleId="22">
    <w:name w:val="Body Text 2"/>
    <w:basedOn w:val="1"/>
    <w:link w:val="123"/>
    <w:qFormat/>
    <w:uiPriority w:val="0"/>
    <w:pPr>
      <w:spacing w:after="120" w:afterLines="0" w:line="480" w:lineRule="auto"/>
    </w:pPr>
    <w:rPr>
      <w:rFonts w:ascii="Times New Roman" w:hAnsi="Times New Roman" w:eastAsia="宋体"/>
      <w:snapToGrid/>
      <w:kern w:val="2"/>
      <w:sz w:val="21"/>
      <w:szCs w:val="24"/>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24">
    <w:name w:val="Normal (Web)"/>
    <w:basedOn w:val="1"/>
    <w:qFormat/>
    <w:uiPriority w:val="0"/>
    <w:pPr>
      <w:widowControl/>
      <w:spacing w:before="100" w:beforeLines="0" w:beforeAutospacing="1"/>
      <w:jc w:val="center"/>
    </w:pPr>
    <w:rPr>
      <w:rFonts w:eastAsia="宋体"/>
      <w:snapToGrid/>
      <w:kern w:val="0"/>
      <w:sz w:val="24"/>
      <w:szCs w:val="24"/>
    </w:rPr>
  </w:style>
  <w:style w:type="paragraph" w:styleId="25">
    <w:name w:val="Title"/>
    <w:basedOn w:val="1"/>
    <w:link w:val="110"/>
    <w:qFormat/>
    <w:uiPriority w:val="0"/>
    <w:pPr>
      <w:spacing w:line="216" w:lineRule="auto"/>
      <w:ind w:firstLine="0" w:firstLineChars="0"/>
      <w:jc w:val="center"/>
      <w:outlineLvl w:val="0"/>
    </w:pPr>
    <w:rPr>
      <w:rFonts w:ascii="方正小标宋简体" w:hAnsi="Arial" w:eastAsia="方正小标宋简体" w:cs="Arial"/>
      <w:bCs/>
      <w:kern w:val="44"/>
      <w:sz w:val="44"/>
      <w:szCs w:val="44"/>
    </w:rPr>
  </w:style>
  <w:style w:type="character" w:styleId="27">
    <w:name w:val="Strong"/>
    <w:qFormat/>
    <w:uiPriority w:val="0"/>
    <w:rPr>
      <w:b/>
      <w:bCs/>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0"/>
    <w:rPr>
      <w:color w:val="0000FF"/>
      <w:u w:val="single"/>
    </w:rPr>
  </w:style>
  <w:style w:type="character" w:styleId="31">
    <w:name w:val="annotation reference"/>
    <w:qFormat/>
    <w:uiPriority w:val="0"/>
    <w:rPr>
      <w:sz w:val="21"/>
      <w:szCs w:val="21"/>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样式1"/>
    <w:basedOn w:val="1"/>
    <w:link w:val="133"/>
    <w:qFormat/>
    <w:uiPriority w:val="0"/>
    <w:pPr>
      <w:jc w:val="center"/>
    </w:pPr>
    <w:rPr>
      <w:rFonts w:ascii="方正小标宋简体" w:hAnsi="Calibri" w:eastAsia="方正小标宋简体"/>
      <w:snapToGrid/>
      <w:kern w:val="2"/>
      <w:sz w:val="44"/>
      <w:szCs w:val="44"/>
    </w:rPr>
  </w:style>
  <w:style w:type="paragraph" w:customStyle="1" w:styleId="35">
    <w:name w:val="列出段落1"/>
    <w:basedOn w:val="1"/>
    <w:qFormat/>
    <w:uiPriority w:val="0"/>
    <w:pPr>
      <w:ind w:firstLine="420" w:firstLineChars="200"/>
    </w:pPr>
    <w:rPr>
      <w:rFonts w:ascii="Times New Roman" w:hAnsi="Times New Roman" w:eastAsia="宋体"/>
      <w:snapToGrid/>
      <w:kern w:val="2"/>
      <w:sz w:val="21"/>
      <w:szCs w:val="20"/>
    </w:rPr>
  </w:style>
  <w:style w:type="paragraph" w:customStyle="1" w:styleId="36">
    <w:name w:val="正文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37">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8">
    <w:name w:val=" Char Char Char Char Char Char Char Char Char Char Char Char Char Char Char Char"/>
    <w:basedOn w:val="1"/>
    <w:qFormat/>
    <w:uiPriority w:val="0"/>
    <w:pPr>
      <w:jc w:val="center"/>
    </w:pPr>
    <w:rPr>
      <w:rFonts w:ascii="Tahoma" w:hAnsi="Tahoma" w:eastAsia="宋体"/>
      <w:snapToGrid/>
      <w:kern w:val="2"/>
      <w:sz w:val="24"/>
      <w:szCs w:val="20"/>
    </w:rPr>
  </w:style>
  <w:style w:type="paragraph" w:customStyle="1" w:styleId="3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snapToGrid/>
      <w:kern w:val="0"/>
      <w:sz w:val="24"/>
      <w:szCs w:val="20"/>
      <w:lang w:eastAsia="en-US"/>
    </w:rPr>
  </w:style>
  <w:style w:type="paragraph" w:customStyle="1" w:styleId="40">
    <w:name w:val="Char1"/>
    <w:basedOn w:val="1"/>
    <w:qFormat/>
    <w:uiPriority w:val="0"/>
    <w:rPr>
      <w:rFonts w:ascii="Tahoma" w:hAnsi="Tahoma" w:eastAsia="宋体"/>
      <w:snapToGrid/>
      <w:kern w:val="2"/>
      <w:sz w:val="24"/>
      <w:szCs w:val="20"/>
    </w:rPr>
  </w:style>
  <w:style w:type="paragraph" w:customStyle="1" w:styleId="41">
    <w:name w:val="Char Char Char Char"/>
    <w:basedOn w:val="1"/>
    <w:qFormat/>
    <w:uiPriority w:val="0"/>
    <w:rPr>
      <w:rFonts w:ascii="Times New Roman" w:hAnsi="Times New Roman" w:eastAsia="宋体"/>
      <w:snapToGrid/>
      <w:kern w:val="2"/>
      <w:sz w:val="21"/>
      <w:szCs w:val="24"/>
    </w:rPr>
  </w:style>
  <w:style w:type="paragraph" w:customStyle="1" w:styleId="42">
    <w:name w:val=" Char1 Char Char Char"/>
    <w:basedOn w:val="1"/>
    <w:qFormat/>
    <w:uiPriority w:val="0"/>
  </w:style>
  <w:style w:type="paragraph" w:customStyle="1" w:styleId="43">
    <w:name w:val=" Char Char Char Char Char Char Char"/>
    <w:basedOn w:val="1"/>
    <w:qFormat/>
    <w:uiPriority w:val="0"/>
    <w:rPr>
      <w:rFonts w:eastAsia="宋体" w:cs="Courier New"/>
      <w:snapToGrid/>
      <w:kern w:val="2"/>
    </w:rPr>
  </w:style>
  <w:style w:type="paragraph" w:customStyle="1" w:styleId="44">
    <w:name w:val="xl70"/>
    <w:basedOn w:val="1"/>
    <w:qFormat/>
    <w:uiPriority w:val="0"/>
    <w:pPr>
      <w:widowControl/>
      <w:pBdr>
        <w:bottom w:val="single" w:color="auto" w:sz="8" w:space="0"/>
        <w:right w:val="single" w:color="auto" w:sz="8" w:space="0"/>
      </w:pBdr>
      <w:spacing w:before="100" w:beforeAutospacing="1" w:after="100" w:afterAutospacing="1"/>
      <w:jc w:val="center"/>
    </w:pPr>
    <w:rPr>
      <w:rFonts w:eastAsia="宋体" w:cs="宋体"/>
      <w:b/>
      <w:bCs/>
      <w:snapToGrid/>
      <w:kern w:val="0"/>
      <w:sz w:val="21"/>
      <w:szCs w:val="21"/>
    </w:rPr>
  </w:style>
  <w:style w:type="paragraph" w:customStyle="1" w:styleId="45">
    <w:name w:val="xl69"/>
    <w:basedOn w:val="1"/>
    <w:qFormat/>
    <w:uiPriority w:val="0"/>
    <w:pPr>
      <w:widowControl/>
      <w:pBdr>
        <w:bottom w:val="single" w:color="auto" w:sz="8" w:space="0"/>
        <w:right w:val="single" w:color="auto" w:sz="12" w:space="0"/>
      </w:pBdr>
      <w:spacing w:before="100" w:beforeAutospacing="1" w:after="100" w:afterAutospacing="1"/>
    </w:pPr>
    <w:rPr>
      <w:rFonts w:eastAsia="宋体" w:cs="宋体"/>
      <w:snapToGrid/>
      <w:kern w:val="0"/>
      <w:sz w:val="21"/>
      <w:szCs w:val="21"/>
    </w:rPr>
  </w:style>
  <w:style w:type="paragraph" w:customStyle="1" w:styleId="46">
    <w:name w:val="Char1 Char Char Char"/>
    <w:basedOn w:val="1"/>
    <w:qFormat/>
    <w:uiPriority w:val="0"/>
    <w:rPr>
      <w:rFonts w:ascii="Tahoma" w:hAnsi="Tahoma" w:eastAsia="宋体"/>
      <w:snapToGrid/>
      <w:kern w:val="2"/>
      <w:sz w:val="24"/>
      <w:szCs w:val="20"/>
    </w:rPr>
  </w:style>
  <w:style w:type="paragraph" w:customStyle="1" w:styleId="47">
    <w:name w:val="heading 1"/>
    <w:basedOn w:val="1"/>
    <w:link w:val="145"/>
    <w:qFormat/>
    <w:uiPriority w:val="0"/>
    <w:pPr>
      <w:spacing w:before="100" w:beforeAutospacing="1" w:after="100" w:afterAutospacing="1" w:line="336" w:lineRule="auto"/>
      <w:outlineLvl w:val="0"/>
    </w:pPr>
    <w:rPr>
      <w:rFonts w:eastAsia="Times New Roman"/>
      <w:b/>
      <w:snapToGrid/>
      <w:kern w:val="36"/>
      <w:sz w:val="48"/>
      <w:szCs w:val="20"/>
    </w:rPr>
  </w:style>
  <w:style w:type="paragraph" w:customStyle="1" w:styleId="48">
    <w:name w:val="Char Char2 Char"/>
    <w:basedOn w:val="1"/>
    <w:qFormat/>
    <w:uiPriority w:val="0"/>
    <w:rPr>
      <w:rFonts w:eastAsia="宋体" w:cs="Courier New"/>
      <w:snapToGrid/>
      <w:kern w:val="2"/>
    </w:rPr>
  </w:style>
  <w:style w:type="paragraph" w:customStyle="1" w:styleId="49">
    <w:name w:val="List Paragraph"/>
    <w:basedOn w:val="1"/>
    <w:link w:val="111"/>
    <w:qFormat/>
    <w:uiPriority w:val="0"/>
    <w:pPr>
      <w:ind w:firstLine="420" w:firstLineChars="200"/>
    </w:pPr>
    <w:rPr>
      <w:rFonts w:ascii="Times New Roman" w:hAnsi="Times New Roman" w:eastAsia="宋体"/>
      <w:snapToGrid/>
      <w:kern w:val="2"/>
      <w:sz w:val="21"/>
      <w:szCs w:val="20"/>
    </w:rPr>
  </w:style>
  <w:style w:type="paragraph" w:customStyle="1" w:styleId="50">
    <w:name w:val="No Spacing"/>
    <w:link w:val="11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正文 New New New"/>
    <w:qFormat/>
    <w:uiPriority w:val="0"/>
    <w:pPr>
      <w:widowControl w:val="0"/>
      <w:jc w:val="both"/>
    </w:pPr>
    <w:rPr>
      <w:rFonts w:ascii="宋体" w:hAnsi="宋体" w:eastAsia="楷体_GB2312" w:cs="Times New Roman"/>
      <w:kern w:val="2"/>
      <w:sz w:val="32"/>
      <w:lang w:val="en-US" w:eastAsia="zh-CN" w:bidi="ar-SA"/>
    </w:rPr>
  </w:style>
  <w:style w:type="paragraph" w:customStyle="1" w:styleId="52">
    <w:name w:val=" Char1"/>
    <w:basedOn w:val="1"/>
    <w:qFormat/>
    <w:uiPriority w:val="0"/>
    <w:rPr>
      <w:rFonts w:ascii="Tahoma" w:hAnsi="Tahoma" w:eastAsia="宋体"/>
      <w:snapToGrid/>
      <w:kern w:val="2"/>
      <w:sz w:val="24"/>
      <w:szCs w:val="20"/>
    </w:rPr>
  </w:style>
  <w:style w:type="paragraph" w:customStyle="1" w:styleId="53">
    <w:name w:val="_Style 52"/>
    <w:basedOn w:val="1"/>
    <w:link w:val="146"/>
    <w:qFormat/>
    <w:uiPriority w:val="0"/>
    <w:pPr>
      <w:ind w:firstLine="420" w:firstLineChars="200"/>
    </w:pPr>
    <w:rPr>
      <w:rFonts w:ascii="Calibri" w:hAnsi="Calibri" w:eastAsia="宋体"/>
      <w:snapToGrid/>
      <w:kern w:val="2"/>
      <w:sz w:val="21"/>
      <w:szCs w:val="22"/>
    </w:rPr>
  </w:style>
  <w:style w:type="paragraph" w:customStyle="1" w:styleId="54">
    <w:name w:val="xl65"/>
    <w:basedOn w:val="1"/>
    <w:qFormat/>
    <w:uiPriority w:val="0"/>
    <w:pPr>
      <w:widowControl/>
      <w:pBdr>
        <w:top w:val="single" w:color="auto" w:sz="12" w:space="0"/>
        <w:bottom w:val="single" w:color="auto" w:sz="8" w:space="0"/>
        <w:right w:val="single" w:color="auto" w:sz="12" w:space="0"/>
      </w:pBdr>
      <w:spacing w:before="100" w:beforeAutospacing="1" w:after="100" w:afterAutospacing="1"/>
      <w:jc w:val="center"/>
    </w:pPr>
    <w:rPr>
      <w:rFonts w:eastAsia="宋体" w:cs="宋体"/>
      <w:b/>
      <w:bCs/>
      <w:snapToGrid/>
      <w:kern w:val="0"/>
      <w:sz w:val="21"/>
      <w:szCs w:val="21"/>
    </w:rPr>
  </w:style>
  <w:style w:type="paragraph" w:customStyle="1" w:styleId="55">
    <w:name w:val="xl73"/>
    <w:basedOn w:val="1"/>
    <w:qFormat/>
    <w:uiPriority w:val="0"/>
    <w:pPr>
      <w:widowControl/>
      <w:pBdr>
        <w:bottom w:val="single" w:color="auto" w:sz="12" w:space="0"/>
        <w:right w:val="single" w:color="auto" w:sz="8" w:space="0"/>
      </w:pBdr>
      <w:spacing w:before="100" w:beforeAutospacing="1" w:after="100" w:afterAutospacing="1"/>
      <w:jc w:val="center"/>
    </w:pPr>
    <w:rPr>
      <w:rFonts w:eastAsia="宋体" w:cs="宋体"/>
      <w:snapToGrid/>
      <w:kern w:val="0"/>
      <w:sz w:val="21"/>
      <w:szCs w:val="21"/>
    </w:rPr>
  </w:style>
  <w:style w:type="paragraph" w:customStyle="1" w:styleId="56">
    <w:name w:val="正文 New"/>
    <w:qFormat/>
    <w:uiPriority w:val="0"/>
    <w:pPr>
      <w:widowControl w:val="0"/>
      <w:jc w:val="both"/>
    </w:pPr>
    <w:rPr>
      <w:rFonts w:ascii="Times New Roman" w:hAnsi="Times New Roman" w:eastAsia="楷体_GB2312" w:cs="Times New Roman"/>
      <w:kern w:val="2"/>
      <w:sz w:val="32"/>
      <w:lang w:val="en-US" w:eastAsia="zh-CN" w:bidi="ar-SA"/>
    </w:rPr>
  </w:style>
  <w:style w:type="paragraph" w:customStyle="1" w:styleId="57">
    <w:name w:val=" Char Char2 Char"/>
    <w:basedOn w:val="1"/>
    <w:qFormat/>
    <w:uiPriority w:val="0"/>
    <w:rPr>
      <w:rFonts w:eastAsia="宋体" w:cs="Courier New"/>
      <w:snapToGrid/>
      <w:kern w:val="2"/>
    </w:rPr>
  </w:style>
  <w:style w:type="paragraph" w:customStyle="1" w:styleId="58">
    <w:name w:val="xl64"/>
    <w:basedOn w:val="1"/>
    <w:qFormat/>
    <w:uiPriority w:val="0"/>
    <w:pPr>
      <w:widowControl/>
      <w:pBdr>
        <w:top w:val="single" w:color="auto" w:sz="12" w:space="0"/>
        <w:bottom w:val="single" w:color="auto" w:sz="8" w:space="0"/>
        <w:right w:val="single" w:color="auto" w:sz="8" w:space="0"/>
      </w:pBdr>
      <w:spacing w:before="100" w:beforeAutospacing="1" w:after="100" w:afterAutospacing="1"/>
      <w:jc w:val="center"/>
    </w:pPr>
    <w:rPr>
      <w:rFonts w:eastAsia="宋体" w:cs="宋体"/>
      <w:b/>
      <w:bCs/>
      <w:snapToGrid/>
      <w:kern w:val="0"/>
      <w:sz w:val="21"/>
      <w:szCs w:val="21"/>
    </w:rPr>
  </w:style>
  <w:style w:type="paragraph" w:customStyle="1" w:styleId="59">
    <w:name w:val="Char Char Char Char Char Char Char Char Char Char Char Char1 Char Char Char Char"/>
    <w:basedOn w:val="1"/>
    <w:qFormat/>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60">
    <w:name w:val="Char Char Char Char Char Char Char Char Char Char"/>
    <w:basedOn w:val="1"/>
    <w:qFormat/>
    <w:uiPriority w:val="0"/>
    <w:rPr>
      <w:rFonts w:ascii="Tahoma" w:hAnsi="Tahoma" w:eastAsia="宋体"/>
      <w:snapToGrid/>
      <w:kern w:val="2"/>
      <w:sz w:val="24"/>
      <w:szCs w:val="20"/>
    </w:rPr>
  </w:style>
  <w:style w:type="paragraph" w:customStyle="1" w:styleId="61">
    <w:name w:val="msolistparagraph"/>
    <w:basedOn w:val="1"/>
    <w:qFormat/>
    <w:uiPriority w:val="0"/>
    <w:pPr>
      <w:widowControl/>
      <w:spacing w:before="100" w:beforeAutospacing="1" w:after="100" w:afterAutospacing="1"/>
      <w:jc w:val="left"/>
    </w:pPr>
    <w:rPr>
      <w:rFonts w:eastAsia="宋体" w:cs="宋体"/>
      <w:snapToGrid/>
      <w:kern w:val="0"/>
      <w:sz w:val="24"/>
      <w:szCs w:val="24"/>
    </w:rPr>
  </w:style>
  <w:style w:type="paragraph" w:customStyle="1" w:styleId="62">
    <w:name w:val="font5"/>
    <w:basedOn w:val="1"/>
    <w:qFormat/>
    <w:uiPriority w:val="0"/>
    <w:pPr>
      <w:widowControl/>
      <w:spacing w:before="100" w:beforeAutospacing="1" w:after="100" w:afterAutospacing="1"/>
      <w:jc w:val="left"/>
    </w:pPr>
    <w:rPr>
      <w:rFonts w:eastAsia="宋体" w:cs="宋体"/>
      <w:snapToGrid/>
      <w:kern w:val="0"/>
      <w:sz w:val="21"/>
      <w:szCs w:val="21"/>
    </w:rPr>
  </w:style>
  <w:style w:type="paragraph" w:customStyle="1" w:styleId="63">
    <w:name w:val="Char Char Char Char Char Char Char Char Char Char Char Char Char"/>
    <w:basedOn w:val="1"/>
    <w:qFormat/>
    <w:uiPriority w:val="0"/>
    <w:rPr>
      <w:rFonts w:ascii="Tahoma" w:hAnsi="Tahoma" w:eastAsia="宋体"/>
      <w:snapToGrid/>
      <w:kern w:val="2"/>
      <w:sz w:val="24"/>
      <w:szCs w:val="20"/>
    </w:rPr>
  </w:style>
  <w:style w:type="paragraph" w:customStyle="1" w:styleId="64">
    <w:name w:val=" Char Char Char Char Char Char Char Char Char Char Char Char Char"/>
    <w:basedOn w:val="1"/>
    <w:qFormat/>
    <w:uiPriority w:val="0"/>
    <w:rPr>
      <w:rFonts w:ascii="Tahoma" w:hAnsi="Tahoma" w:eastAsia="宋体"/>
      <w:snapToGrid/>
      <w:kern w:val="2"/>
      <w:sz w:val="24"/>
      <w:szCs w:val="20"/>
    </w:rPr>
  </w:style>
  <w:style w:type="paragraph" w:customStyle="1" w:styleId="65">
    <w:name w:val=" Char Char1"/>
    <w:basedOn w:val="10"/>
    <w:qFormat/>
    <w:uiPriority w:val="0"/>
    <w:rPr>
      <w:rFonts w:ascii="Tahoma" w:hAnsi="Tahoma" w:eastAsia="宋体"/>
      <w:snapToGrid/>
      <w:kern w:val="2"/>
      <w:sz w:val="24"/>
      <w:szCs w:val="24"/>
    </w:rPr>
  </w:style>
  <w:style w:type="paragraph" w:customStyle="1" w:styleId="66">
    <w:name w:val="xl66"/>
    <w:basedOn w:val="1"/>
    <w:qFormat/>
    <w:uiPriority w:val="0"/>
    <w:pPr>
      <w:widowControl/>
      <w:pBdr>
        <w:left w:val="single" w:color="auto" w:sz="12" w:space="0"/>
        <w:bottom w:val="single" w:color="auto" w:sz="8" w:space="0"/>
        <w:right w:val="single" w:color="auto" w:sz="8" w:space="0"/>
      </w:pBdr>
      <w:spacing w:before="100" w:beforeAutospacing="1" w:after="100" w:afterAutospacing="1"/>
      <w:jc w:val="center"/>
    </w:pPr>
    <w:rPr>
      <w:rFonts w:eastAsia="宋体" w:cs="宋体"/>
      <w:snapToGrid/>
      <w:kern w:val="0"/>
      <w:sz w:val="21"/>
      <w:szCs w:val="21"/>
    </w:rPr>
  </w:style>
  <w:style w:type="paragraph" w:customStyle="1" w:styleId="67">
    <w:name w:val="正文（基准，首行不缩进）"/>
    <w:qFormat/>
    <w:uiPriority w:val="0"/>
    <w:pPr>
      <w:widowControl w:val="0"/>
      <w:autoSpaceDE w:val="0"/>
      <w:autoSpaceDN w:val="0"/>
      <w:adjustRightInd w:val="0"/>
      <w:jc w:val="both"/>
    </w:pPr>
    <w:rPr>
      <w:rFonts w:ascii="Times New Roman" w:hAnsi="Times New Roman" w:eastAsia="宋体" w:cs="Times New Roman"/>
      <w:sz w:val="21"/>
      <w:lang w:eastAsia="zh-CN" w:bidi="ar-SA"/>
    </w:rPr>
  </w:style>
  <w:style w:type="paragraph" w:customStyle="1" w:styleId="68">
    <w:name w:val="WW-日期"/>
    <w:basedOn w:val="1"/>
    <w:next w:val="1"/>
    <w:qFormat/>
    <w:uiPriority w:val="0"/>
    <w:pPr>
      <w:suppressAutoHyphens/>
    </w:pPr>
    <w:rPr>
      <w:rFonts w:ascii="仿宋_GB2312" w:hAnsi="仿宋_GB2312"/>
      <w:snapToGrid/>
      <w:kern w:val="1"/>
      <w:szCs w:val="24"/>
    </w:rPr>
  </w:style>
  <w:style w:type="paragraph" w:customStyle="1" w:styleId="69">
    <w:name w:val="Char Char1"/>
    <w:basedOn w:val="10"/>
    <w:qFormat/>
    <w:uiPriority w:val="0"/>
    <w:rPr>
      <w:rFonts w:ascii="Tahoma" w:hAnsi="Tahoma" w:eastAsia="宋体"/>
      <w:snapToGrid/>
      <w:kern w:val="2"/>
      <w:sz w:val="24"/>
      <w:szCs w:val="24"/>
    </w:rPr>
  </w:style>
  <w:style w:type="paragraph" w:customStyle="1" w:styleId="70">
    <w:name w:val=" 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rPr>
      <w:rFonts w:ascii="Verdana" w:hAnsi="Verdana"/>
      <w:snapToGrid/>
      <w:kern w:val="0"/>
      <w:sz w:val="24"/>
      <w:szCs w:val="20"/>
      <w:lang w:eastAsia="en-US"/>
    </w:rPr>
  </w:style>
  <w:style w:type="paragraph" w:customStyle="1" w:styleId="71">
    <w:name w:val="规划正文"/>
    <w:basedOn w:val="1"/>
    <w:qFormat/>
    <w:uiPriority w:val="0"/>
    <w:pPr>
      <w:spacing w:after="156" w:afterLines="50" w:line="480" w:lineRule="exact"/>
      <w:ind w:firstLine="200" w:firstLineChars="200"/>
    </w:pPr>
    <w:rPr>
      <w:rFonts w:ascii="仿宋_GB2312" w:hAnsi="Times New Roman"/>
      <w:snapToGrid/>
      <w:kern w:val="2"/>
      <w:sz w:val="30"/>
      <w:szCs w:val="30"/>
    </w:rPr>
  </w:style>
  <w:style w:type="paragraph" w:customStyle="1" w:styleId="72">
    <w:name w:val="cjk"/>
    <w:basedOn w:val="1"/>
    <w:qFormat/>
    <w:uiPriority w:val="0"/>
    <w:pPr>
      <w:widowControl/>
      <w:spacing w:before="100" w:beforeLines="0" w:beforeAutospacing="1"/>
      <w:jc w:val="center"/>
    </w:pPr>
    <w:rPr>
      <w:rFonts w:eastAsia="宋体"/>
      <w:b/>
      <w:bCs/>
      <w:snapToGrid/>
      <w:kern w:val="0"/>
    </w:rPr>
  </w:style>
  <w:style w:type="paragraph" w:customStyle="1" w:styleId="73">
    <w:name w:val="!BECC正文"/>
    <w:basedOn w:val="1"/>
    <w:link w:val="130"/>
    <w:qFormat/>
    <w:uiPriority w:val="0"/>
    <w:pPr>
      <w:tabs>
        <w:tab w:val="left" w:pos="0"/>
      </w:tabs>
      <w:spacing w:beforeLines="50" w:afterLines="50" w:line="360" w:lineRule="auto"/>
      <w:ind w:firstLine="480" w:firstLineChars="200"/>
      <w:contextualSpacing/>
    </w:pPr>
    <w:rPr>
      <w:rFonts w:ascii="Times New Roman" w:hAnsi="Times New Roman" w:eastAsia="宋体"/>
      <w:snapToGrid/>
      <w:kern w:val="0"/>
      <w:sz w:val="24"/>
      <w:szCs w:val="24"/>
    </w:rPr>
  </w:style>
  <w:style w:type="paragraph" w:customStyle="1" w:styleId="74">
    <w:name w:val="xl68"/>
    <w:basedOn w:val="1"/>
    <w:qFormat/>
    <w:uiPriority w:val="0"/>
    <w:pPr>
      <w:widowControl/>
      <w:pBdr>
        <w:bottom w:val="single" w:color="auto" w:sz="8" w:space="0"/>
        <w:right w:val="single" w:color="auto" w:sz="12" w:space="0"/>
      </w:pBdr>
      <w:spacing w:before="100" w:beforeAutospacing="1" w:after="100" w:afterAutospacing="1"/>
      <w:jc w:val="center"/>
    </w:pPr>
    <w:rPr>
      <w:rFonts w:eastAsia="宋体" w:cs="宋体"/>
      <w:snapToGrid/>
      <w:kern w:val="0"/>
      <w:sz w:val="21"/>
      <w:szCs w:val="21"/>
    </w:rPr>
  </w:style>
  <w:style w:type="paragraph" w:customStyle="1" w:styleId="75">
    <w:name w:val="正文首行缩进2"/>
    <w:basedOn w:val="1"/>
    <w:qFormat/>
    <w:uiPriority w:val="0"/>
    <w:pPr>
      <w:ind w:firstLine="200" w:firstLineChars="200"/>
    </w:pPr>
    <w:rPr>
      <w:rFonts w:ascii="黑体" w:hAnsi="Times New Roman" w:cs="宋体"/>
      <w:snapToGrid/>
      <w:kern w:val="2"/>
    </w:rPr>
  </w:style>
  <w:style w:type="paragraph" w:customStyle="1" w:styleId="76">
    <w:name w:val="_Style 75"/>
    <w:link w:val="142"/>
    <w:qFormat/>
    <w:uiPriority w:val="0"/>
    <w:rPr>
      <w:rFonts w:ascii="Times New Roman" w:hAnsi="Times New Roman" w:eastAsia="宋体" w:cs="Times New Roman"/>
      <w:sz w:val="22"/>
      <w:szCs w:val="22"/>
      <w:lang w:val="en-US" w:eastAsia="zh-CN" w:bidi="ar-SA"/>
    </w:rPr>
  </w:style>
  <w:style w:type="paragraph" w:customStyle="1" w:styleId="77">
    <w:name w:val="xl71"/>
    <w:basedOn w:val="1"/>
    <w:qFormat/>
    <w:uiPriority w:val="0"/>
    <w:pPr>
      <w:widowControl/>
      <w:pBdr>
        <w:bottom w:val="single" w:color="auto" w:sz="8" w:space="0"/>
        <w:right w:val="single" w:color="auto" w:sz="8" w:space="0"/>
      </w:pBdr>
      <w:spacing w:before="100" w:beforeAutospacing="1" w:after="100" w:afterAutospacing="1"/>
      <w:jc w:val="center"/>
      <w:textAlignment w:val="top"/>
    </w:pPr>
    <w:rPr>
      <w:rFonts w:eastAsia="宋体" w:cs="宋体"/>
      <w:snapToGrid/>
      <w:kern w:val="0"/>
      <w:sz w:val="21"/>
      <w:szCs w:val="21"/>
    </w:rPr>
  </w:style>
  <w:style w:type="paragraph" w:customStyle="1" w:styleId="78">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 Char Char Char Char Char Char Char Char Char Char"/>
    <w:basedOn w:val="1"/>
    <w:qFormat/>
    <w:uiPriority w:val="0"/>
    <w:rPr>
      <w:rFonts w:ascii="Tahoma" w:hAnsi="Tahoma" w:eastAsia="宋体"/>
      <w:snapToGrid/>
      <w:kern w:val="2"/>
      <w:sz w:val="24"/>
      <w:szCs w:val="20"/>
    </w:rPr>
  </w:style>
  <w:style w:type="paragraph" w:customStyle="1" w:styleId="80">
    <w:name w:val="首信标准正文"/>
    <w:basedOn w:val="1"/>
    <w:qFormat/>
    <w:uiPriority w:val="0"/>
    <w:pPr>
      <w:spacing w:line="360" w:lineRule="auto"/>
    </w:pPr>
    <w:rPr>
      <w:rFonts w:ascii="Tahoma" w:hAnsi="Tahoma" w:eastAsia="宋体"/>
      <w:snapToGrid/>
      <w:kern w:val="2"/>
      <w:sz w:val="24"/>
      <w:szCs w:val="20"/>
    </w:rPr>
  </w:style>
  <w:style w:type="paragraph" w:customStyle="1" w:styleId="81">
    <w:name w:val="段"/>
    <w:link w:val="134"/>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paragraph" w:customStyle="1" w:styleId="82">
    <w:name w:val="xl74"/>
    <w:basedOn w:val="1"/>
    <w:qFormat/>
    <w:uiPriority w:val="0"/>
    <w:pPr>
      <w:widowControl/>
      <w:pBdr>
        <w:bottom w:val="single" w:color="auto" w:sz="12" w:space="0"/>
        <w:right w:val="single" w:color="auto" w:sz="12" w:space="0"/>
      </w:pBdr>
      <w:spacing w:before="100" w:beforeAutospacing="1" w:after="100" w:afterAutospacing="1"/>
      <w:jc w:val="center"/>
    </w:pPr>
    <w:rPr>
      <w:rFonts w:eastAsia="宋体" w:cs="宋体"/>
      <w:snapToGrid/>
      <w:kern w:val="0"/>
      <w:sz w:val="21"/>
      <w:szCs w:val="21"/>
    </w:rPr>
  </w:style>
  <w:style w:type="paragraph" w:customStyle="1" w:styleId="83">
    <w:name w:val=" Char Char Char Char Char Char Char Char Char Char Char Char1 Char Char Char Char"/>
    <w:basedOn w:val="1"/>
    <w:qFormat/>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84">
    <w:name w:val="样式 三号 首行缩进:  1.13 厘米 行距: 多倍行距 1.25 字行"/>
    <w:basedOn w:val="1"/>
    <w:qFormat/>
    <w:uiPriority w:val="0"/>
    <w:pPr>
      <w:adjustRightInd w:val="0"/>
      <w:snapToGrid w:val="0"/>
      <w:spacing w:line="360" w:lineRule="auto"/>
      <w:ind w:firstLine="200" w:firstLineChars="200"/>
    </w:pPr>
    <w:rPr>
      <w:rFonts w:ascii="Times New Roman" w:hAnsi="Times New Roman"/>
      <w:snapToGrid/>
      <w:kern w:val="2"/>
    </w:rPr>
  </w:style>
  <w:style w:type="paragraph" w:customStyle="1" w:styleId="85">
    <w:name w:val="Char Char Char Char Char Char Char"/>
    <w:basedOn w:val="1"/>
    <w:qFormat/>
    <w:uiPriority w:val="0"/>
    <w:rPr>
      <w:rFonts w:eastAsia="宋体" w:cs="Courier New"/>
      <w:snapToGrid/>
      <w:kern w:val="2"/>
    </w:rPr>
  </w:style>
  <w:style w:type="paragraph" w:customStyle="1" w:styleId="86">
    <w:name w:val="WW-正文文字缩进 2"/>
    <w:basedOn w:val="1"/>
    <w:qFormat/>
    <w:uiPriority w:val="0"/>
    <w:pPr>
      <w:suppressAutoHyphens/>
      <w:spacing w:line="276" w:lineRule="auto"/>
      <w:ind w:firstLine="630"/>
    </w:pPr>
    <w:rPr>
      <w:rFonts w:ascii="楷体_GB2312" w:hAnsi="楷体_GB2312" w:eastAsia="宋体"/>
      <w:snapToGrid/>
      <w:kern w:val="1"/>
      <w:szCs w:val="20"/>
    </w:rPr>
  </w:style>
  <w:style w:type="paragraph" w:customStyle="1" w:styleId="87">
    <w:name w:val="xl63"/>
    <w:basedOn w:val="1"/>
    <w:qFormat/>
    <w:uiPriority w:val="0"/>
    <w:pPr>
      <w:widowControl/>
      <w:pBdr>
        <w:top w:val="single" w:color="auto" w:sz="12" w:space="0"/>
        <w:left w:val="single" w:color="auto" w:sz="12" w:space="0"/>
        <w:bottom w:val="single" w:color="auto" w:sz="8" w:space="0"/>
        <w:right w:val="single" w:color="auto" w:sz="8" w:space="0"/>
      </w:pBdr>
      <w:spacing w:before="100" w:beforeAutospacing="1" w:after="100" w:afterAutospacing="1"/>
      <w:jc w:val="center"/>
    </w:pPr>
    <w:rPr>
      <w:rFonts w:eastAsia="宋体" w:cs="宋体"/>
      <w:b/>
      <w:bCs/>
      <w:snapToGrid/>
      <w:kern w:val="0"/>
      <w:sz w:val="21"/>
      <w:szCs w:val="21"/>
    </w:rPr>
  </w:style>
  <w:style w:type="paragraph" w:customStyle="1" w:styleId="88">
    <w:name w:val="Char Char Char Char Char Char"/>
    <w:basedOn w:val="1"/>
    <w:qFormat/>
    <w:uiPriority w:val="0"/>
    <w:pPr>
      <w:widowControl/>
      <w:spacing w:after="160" w:afterLines="0" w:line="240" w:lineRule="exact"/>
      <w:jc w:val="left"/>
    </w:pPr>
    <w:rPr>
      <w:rFonts w:ascii="Arial" w:hAnsi="Arial" w:eastAsia="Times New Roman" w:cs="Verdana"/>
      <w:b/>
      <w:snapToGrid/>
      <w:kern w:val="0"/>
      <w:sz w:val="24"/>
      <w:szCs w:val="20"/>
      <w:lang w:eastAsia="en-US"/>
    </w:rPr>
  </w:style>
  <w:style w:type="paragraph" w:customStyle="1" w:styleId="89">
    <w:name w:val="封面副标题"/>
    <w:qFormat/>
    <w:uiPriority w:val="0"/>
    <w:pPr>
      <w:adjustRightInd w:val="0"/>
      <w:snapToGrid w:val="0"/>
      <w:spacing w:before="156" w:beforeLines="50" w:line="360" w:lineRule="auto"/>
      <w:jc w:val="center"/>
    </w:pPr>
    <w:rPr>
      <w:rFonts w:ascii="Times New Roman" w:hAnsi="Times New Roman" w:eastAsia="黑体" w:cs="Times New Roman"/>
      <w:b/>
      <w:snapToGrid w:val="0"/>
      <w:spacing w:val="20"/>
      <w:sz w:val="52"/>
      <w:lang w:val="en-US" w:eastAsia="zh-CN" w:bidi="ar-SA"/>
    </w:rPr>
  </w:style>
  <w:style w:type="paragraph" w:customStyle="1" w:styleId="90">
    <w:name w:val="msonormalcxspmiddle"/>
    <w:basedOn w:val="1"/>
    <w:qFormat/>
    <w:uiPriority w:val="0"/>
    <w:pPr>
      <w:widowControl/>
      <w:spacing w:before="100" w:beforeAutospacing="1" w:after="100" w:afterAutospacing="1"/>
      <w:jc w:val="left"/>
    </w:pPr>
    <w:rPr>
      <w:rFonts w:eastAsia="宋体" w:cs="宋体"/>
      <w:snapToGrid/>
      <w:kern w:val="0"/>
      <w:sz w:val="24"/>
      <w:szCs w:val="24"/>
    </w:rPr>
  </w:style>
  <w:style w:type="paragraph" w:customStyle="1" w:styleId="91">
    <w:name w:val="Char"/>
    <w:basedOn w:val="1"/>
    <w:qFormat/>
    <w:uiPriority w:val="0"/>
    <w:rPr>
      <w:rFonts w:eastAsia="宋体" w:cs="Courier New"/>
      <w:snapToGrid/>
      <w:kern w:val="2"/>
    </w:rPr>
  </w:style>
  <w:style w:type="paragraph" w:customStyle="1" w:styleId="92">
    <w:name w:val="默认段落字体 Para Char Char Char Char"/>
    <w:basedOn w:val="1"/>
    <w:qFormat/>
    <w:uiPriority w:val="0"/>
    <w:rPr>
      <w:rFonts w:ascii="Times New Roman" w:hAnsi="Times New Roman" w:eastAsia="宋体"/>
      <w:snapToGrid/>
      <w:kern w:val="2"/>
      <w:sz w:val="21"/>
      <w:szCs w:val="24"/>
    </w:rPr>
  </w:style>
  <w:style w:type="paragraph" w:customStyle="1" w:styleId="93">
    <w:name w:val="我的正文"/>
    <w:basedOn w:val="1"/>
    <w:qFormat/>
    <w:uiPriority w:val="0"/>
    <w:pPr>
      <w:ind w:firstLine="200" w:firstLineChars="200"/>
    </w:pPr>
    <w:rPr>
      <w:rFonts w:ascii="Calibri" w:hAnsi="Calibri" w:eastAsia="宋体"/>
      <w:snapToGrid/>
      <w:kern w:val="2"/>
      <w:sz w:val="24"/>
      <w:szCs w:val="22"/>
    </w:rPr>
  </w:style>
  <w:style w:type="paragraph" w:customStyle="1" w:styleId="9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5">
    <w:name w:val=" Char2 Char Char Char Char Char Char"/>
    <w:basedOn w:val="1"/>
    <w:qFormat/>
    <w:uiPriority w:val="0"/>
    <w:pPr>
      <w:snapToGrid w:val="0"/>
      <w:spacing w:line="360" w:lineRule="auto"/>
      <w:ind w:firstLine="200" w:firstLineChars="200"/>
    </w:pPr>
    <w:rPr>
      <w:rFonts w:ascii="Times New Roman" w:hAnsi="Times New Roman"/>
      <w:snapToGrid/>
      <w:kern w:val="2"/>
      <w:sz w:val="24"/>
      <w:szCs w:val="24"/>
    </w:rPr>
  </w:style>
  <w:style w:type="paragraph" w:customStyle="1" w:styleId="96">
    <w:name w:val="ddddd"/>
    <w:basedOn w:val="1"/>
    <w:qFormat/>
    <w:uiPriority w:val="0"/>
    <w:pPr>
      <w:pageBreakBefore/>
    </w:pPr>
    <w:rPr>
      <w:rFonts w:ascii="Times New Roman" w:hAnsi="Times New Roman" w:eastAsia="宋体"/>
      <w:snapToGrid/>
      <w:kern w:val="2"/>
      <w:sz w:val="21"/>
      <w:szCs w:val="20"/>
    </w:rPr>
  </w:style>
  <w:style w:type="paragraph" w:customStyle="1" w:styleId="97">
    <w:name w:val="主题词"/>
    <w:basedOn w:val="1"/>
    <w:qFormat/>
    <w:uiPriority w:val="0"/>
    <w:pPr>
      <w:jc w:val="left"/>
    </w:pPr>
    <w:rPr>
      <w:rFonts w:ascii="Times New Roman" w:hAnsi="Times New Roman" w:eastAsia="宋体"/>
      <w:snapToGrid/>
      <w:kern w:val="2"/>
      <w:szCs w:val="20"/>
    </w:rPr>
  </w:style>
  <w:style w:type="paragraph" w:customStyle="1" w:styleId="98">
    <w:name w:val="正文 New New New New New New New New New New New New New New New New New New New New New New New New New New"/>
    <w:qFormat/>
    <w:uiPriority w:val="0"/>
    <w:pPr>
      <w:widowControl w:val="0"/>
      <w:snapToGrid w:val="0"/>
      <w:jc w:val="both"/>
    </w:pPr>
    <w:rPr>
      <w:rFonts w:ascii="宋体" w:hAnsi="宋体" w:eastAsia="仿宋_GB2312" w:cs="Times New Roman"/>
      <w:kern w:val="32"/>
      <w:sz w:val="32"/>
      <w:szCs w:val="32"/>
      <w:lang w:val="en-US" w:eastAsia="zh-CN" w:bidi="ar-SA"/>
    </w:rPr>
  </w:style>
  <w:style w:type="paragraph" w:customStyle="1" w:styleId="99">
    <w:name w:val="样式 正文缩进正文（首行缩进两字）正文（首行缩进两字） Char Char Char Char Char Char Char..."/>
    <w:basedOn w:val="9"/>
    <w:qFormat/>
    <w:uiPriority w:val="0"/>
    <w:pPr>
      <w:spacing w:line="312" w:lineRule="auto"/>
      <w:ind w:firstLine="539" w:firstLineChars="0"/>
    </w:pPr>
    <w:rPr>
      <w:rFonts w:ascii="Times New Roman" w:hAnsi="Times New Roman" w:eastAsia="宋体" w:cs="宋体"/>
      <w:snapToGrid/>
      <w:kern w:val="2"/>
      <w:sz w:val="28"/>
      <w:szCs w:val="20"/>
    </w:rPr>
  </w:style>
  <w:style w:type="paragraph" w:customStyle="1" w:styleId="100">
    <w:name w:val="默认段落字体 Para Char Char Char2 Char Char Char Char Char Char Char Char Char Char"/>
    <w:basedOn w:val="1"/>
    <w:qFormat/>
    <w:uiPriority w:val="0"/>
    <w:rPr>
      <w:rFonts w:eastAsia="宋体" w:cs="Courier New"/>
      <w:snapToGrid/>
      <w:kern w:val="2"/>
    </w:rPr>
  </w:style>
  <w:style w:type="paragraph" w:customStyle="1" w:styleId="101">
    <w:name w:val="默认段落字体 Para Char Char Char Char Char Char Char"/>
    <w:basedOn w:val="10"/>
    <w:qFormat/>
    <w:uiPriority w:val="0"/>
    <w:pPr>
      <w:adjustRightInd w:val="0"/>
      <w:spacing w:line="436" w:lineRule="exact"/>
      <w:ind w:left="357"/>
      <w:jc w:val="left"/>
      <w:outlineLvl w:val="3"/>
    </w:pPr>
    <w:rPr>
      <w:rFonts w:ascii="Tahoma" w:hAnsi="Tahoma" w:eastAsia="宋体"/>
      <w:b/>
      <w:snapToGrid/>
      <w:kern w:val="2"/>
      <w:sz w:val="24"/>
      <w:szCs w:val="24"/>
    </w:rPr>
  </w:style>
  <w:style w:type="paragraph" w:customStyle="1" w:styleId="102">
    <w:name w:val="Char2 Char Char Char Char Char Char"/>
    <w:basedOn w:val="1"/>
    <w:qFormat/>
    <w:uiPriority w:val="0"/>
    <w:pPr>
      <w:snapToGrid w:val="0"/>
      <w:spacing w:line="360" w:lineRule="auto"/>
      <w:ind w:firstLine="200" w:firstLineChars="200"/>
    </w:pPr>
    <w:rPr>
      <w:rFonts w:ascii="Times New Roman" w:hAnsi="Times New Roman"/>
      <w:snapToGrid/>
      <w:kern w:val="2"/>
      <w:sz w:val="24"/>
      <w:szCs w:val="24"/>
    </w:rPr>
  </w:style>
  <w:style w:type="paragraph" w:customStyle="1" w:styleId="103">
    <w:name w:val="xl72"/>
    <w:basedOn w:val="1"/>
    <w:qFormat/>
    <w:uiPriority w:val="0"/>
    <w:pPr>
      <w:widowControl/>
      <w:pBdr>
        <w:bottom w:val="single" w:color="auto" w:sz="12" w:space="0"/>
        <w:right w:val="single" w:color="auto" w:sz="8" w:space="0"/>
      </w:pBdr>
      <w:spacing w:before="100" w:beforeAutospacing="1" w:after="100" w:afterAutospacing="1"/>
      <w:jc w:val="center"/>
      <w:textAlignment w:val="top"/>
    </w:pPr>
    <w:rPr>
      <w:rFonts w:eastAsia="宋体" w:cs="宋体"/>
      <w:snapToGrid/>
      <w:kern w:val="0"/>
      <w:sz w:val="21"/>
      <w:szCs w:val="21"/>
    </w:rPr>
  </w:style>
  <w:style w:type="paragraph" w:customStyle="1" w:styleId="104">
    <w:name w:val="List Paragraph1"/>
    <w:basedOn w:val="1"/>
    <w:qFormat/>
    <w:uiPriority w:val="0"/>
    <w:pPr>
      <w:ind w:firstLine="420" w:firstLineChars="200"/>
    </w:pPr>
    <w:rPr>
      <w:rFonts w:ascii="Calibri" w:hAnsi="Calibri" w:eastAsia="宋体" w:cs="Calibri"/>
      <w:snapToGrid/>
      <w:kern w:val="2"/>
      <w:sz w:val="21"/>
      <w:szCs w:val="21"/>
    </w:rPr>
  </w:style>
  <w:style w:type="paragraph" w:customStyle="1" w:styleId="105">
    <w:name w:val="Char Char Char Char Char Char Char Char Char Char Char Char Char Char Char Char"/>
    <w:basedOn w:val="1"/>
    <w:qFormat/>
    <w:uiPriority w:val="0"/>
    <w:pPr>
      <w:jc w:val="center"/>
    </w:pPr>
    <w:rPr>
      <w:rFonts w:ascii="Tahoma" w:hAnsi="Tahoma" w:eastAsia="宋体"/>
      <w:snapToGrid/>
      <w:kern w:val="2"/>
      <w:sz w:val="24"/>
      <w:szCs w:val="20"/>
    </w:rPr>
  </w:style>
  <w:style w:type="paragraph" w:customStyle="1" w:styleId="106">
    <w:name w:val="xl67"/>
    <w:basedOn w:val="1"/>
    <w:qFormat/>
    <w:uiPriority w:val="0"/>
    <w:pPr>
      <w:widowControl/>
      <w:pBdr>
        <w:bottom w:val="single" w:color="auto" w:sz="8" w:space="0"/>
        <w:right w:val="single" w:color="auto" w:sz="8" w:space="0"/>
      </w:pBdr>
      <w:spacing w:before="100" w:beforeAutospacing="1" w:after="100" w:afterAutospacing="1"/>
      <w:jc w:val="center"/>
    </w:pPr>
    <w:rPr>
      <w:rFonts w:eastAsia="宋体" w:cs="宋体"/>
      <w:snapToGrid/>
      <w:kern w:val="0"/>
      <w:sz w:val="21"/>
      <w:szCs w:val="21"/>
    </w:rPr>
  </w:style>
  <w:style w:type="paragraph" w:customStyle="1" w:styleId="107">
    <w:name w:val=" Char Char Char Char"/>
    <w:basedOn w:val="1"/>
    <w:qFormat/>
    <w:uiPriority w:val="0"/>
    <w:pPr>
      <w:adjustRightInd w:val="0"/>
      <w:spacing w:line="360" w:lineRule="auto"/>
    </w:pPr>
    <w:rPr>
      <w:rFonts w:ascii="Times New Roman" w:hAnsi="Times New Roman" w:eastAsia="宋体"/>
      <w:snapToGrid/>
      <w:kern w:val="0"/>
      <w:sz w:val="24"/>
      <w:szCs w:val="20"/>
    </w:rPr>
  </w:style>
  <w:style w:type="paragraph" w:customStyle="1" w:styleId="108">
    <w:name w:val=" Char"/>
    <w:basedOn w:val="1"/>
    <w:qFormat/>
    <w:uiPriority w:val="0"/>
    <w:pPr>
      <w:widowControl/>
      <w:spacing w:after="160" w:afterLines="0" w:line="240" w:lineRule="exact"/>
      <w:jc w:val="left"/>
    </w:pPr>
    <w:rPr>
      <w:rFonts w:ascii="Verdana" w:hAnsi="Verdana"/>
      <w:snapToGrid/>
      <w:kern w:val="0"/>
      <w:sz w:val="24"/>
      <w:szCs w:val="20"/>
      <w:lang w:eastAsia="en-US"/>
    </w:rPr>
  </w:style>
  <w:style w:type="paragraph" w:customStyle="1" w:styleId="10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10">
    <w:name w:val="标题 Char"/>
    <w:link w:val="25"/>
    <w:qFormat/>
    <w:locked/>
    <w:uiPriority w:val="0"/>
    <w:rPr>
      <w:rFonts w:ascii="方正小标宋简体" w:hAnsi="Arial" w:eastAsia="方正小标宋简体" w:cs="Arial"/>
      <w:bCs/>
      <w:snapToGrid w:val="0"/>
      <w:kern w:val="44"/>
      <w:sz w:val="44"/>
      <w:szCs w:val="44"/>
      <w:lang w:val="en-US" w:eastAsia="zh-CN" w:bidi="ar-SA"/>
    </w:rPr>
  </w:style>
  <w:style w:type="character" w:customStyle="1" w:styleId="111">
    <w:name w:val="List Paragraph Char"/>
    <w:link w:val="49"/>
    <w:qFormat/>
    <w:locked/>
    <w:uiPriority w:val="0"/>
    <w:rPr>
      <w:rFonts w:eastAsia="宋体"/>
      <w:kern w:val="2"/>
      <w:sz w:val="21"/>
      <w:lang w:val="en-US" w:eastAsia="zh-CN" w:bidi="ar-SA"/>
    </w:rPr>
  </w:style>
  <w:style w:type="character" w:customStyle="1" w:styleId="112">
    <w:name w:val="样式1 Char"/>
    <w:qFormat/>
    <w:uiPriority w:val="0"/>
    <w:rPr>
      <w:rFonts w:ascii="Arial" w:hAnsi="Arial" w:eastAsia="仿宋_GB2312" w:cs="Arial"/>
      <w:b/>
      <w:color w:val="7030A0"/>
      <w:kern w:val="2"/>
      <w:sz w:val="24"/>
      <w:szCs w:val="24"/>
      <w:lang w:val="en-US" w:eastAsia="zh-CN" w:bidi="ar-SA"/>
    </w:rPr>
  </w:style>
  <w:style w:type="character" w:customStyle="1" w:styleId="113">
    <w:name w:val=" Char Char20"/>
    <w:qFormat/>
    <w:uiPriority w:val="0"/>
    <w:rPr>
      <w:rFonts w:ascii="黑体" w:hAnsi="宋体" w:eastAsia="黑体"/>
      <w:bCs/>
      <w:snapToGrid w:val="0"/>
      <w:kern w:val="32"/>
      <w:sz w:val="32"/>
      <w:szCs w:val="32"/>
      <w:lang w:val="en-US" w:eastAsia="zh-CN" w:bidi="ar-SA"/>
    </w:rPr>
  </w:style>
  <w:style w:type="character" w:customStyle="1" w:styleId="114">
    <w:name w:val="纯文本 Char1"/>
    <w:qFormat/>
    <w:uiPriority w:val="0"/>
    <w:rPr>
      <w:rFonts w:ascii="宋体" w:hAnsi="Courier New" w:cs="Courier New"/>
      <w:kern w:val="2"/>
      <w:sz w:val="21"/>
      <w:szCs w:val="21"/>
    </w:rPr>
  </w:style>
  <w:style w:type="character" w:customStyle="1" w:styleId="115">
    <w:name w:val="纯文本 Char"/>
    <w:link w:val="13"/>
    <w:qFormat/>
    <w:uiPriority w:val="0"/>
    <w:rPr>
      <w:rFonts w:ascii="宋体" w:hAnsi="Courier New" w:eastAsia="宋体" w:cs="Courier New"/>
      <w:kern w:val="2"/>
      <w:sz w:val="21"/>
      <w:szCs w:val="21"/>
      <w:lang w:val="en-US" w:eastAsia="zh-CN" w:bidi="ar-SA"/>
    </w:rPr>
  </w:style>
  <w:style w:type="character" w:customStyle="1" w:styleId="116">
    <w:name w:val="bz_12"/>
    <w:basedOn w:val="26"/>
    <w:qFormat/>
    <w:uiPriority w:val="0"/>
  </w:style>
  <w:style w:type="character" w:customStyle="1" w:styleId="117">
    <w:name w:val="font1"/>
    <w:qFormat/>
    <w:uiPriority w:val="0"/>
    <w:rPr>
      <w:sz w:val="18"/>
      <w:szCs w:val="18"/>
    </w:rPr>
  </w:style>
  <w:style w:type="character" w:customStyle="1" w:styleId="118">
    <w:name w:val="标题 2 Char"/>
    <w:link w:val="4"/>
    <w:qFormat/>
    <w:uiPriority w:val="0"/>
    <w:rPr>
      <w:rFonts w:ascii="宋体" w:hAnsi="宋体" w:eastAsia="仿宋_GB2312"/>
      <w:b/>
      <w:bCs/>
      <w:snapToGrid w:val="0"/>
      <w:kern w:val="32"/>
      <w:sz w:val="32"/>
      <w:szCs w:val="32"/>
      <w:lang w:val="en-US" w:eastAsia="zh-CN" w:bidi="ar-SA"/>
    </w:rPr>
  </w:style>
  <w:style w:type="character" w:customStyle="1" w:styleId="119">
    <w:name w:val="No Spacing Char"/>
    <w:link w:val="50"/>
    <w:qFormat/>
    <w:locked/>
    <w:uiPriority w:val="0"/>
    <w:rPr>
      <w:rFonts w:ascii="Calibri" w:hAnsi="Calibri"/>
      <w:kern w:val="2"/>
      <w:sz w:val="21"/>
      <w:szCs w:val="22"/>
      <w:lang w:val="en-US" w:eastAsia="zh-CN" w:bidi="ar-SA"/>
    </w:rPr>
  </w:style>
  <w:style w:type="character" w:customStyle="1" w:styleId="120">
    <w:name w:val="页脚 Char"/>
    <w:link w:val="17"/>
    <w:qFormat/>
    <w:uiPriority w:val="0"/>
    <w:rPr>
      <w:rFonts w:ascii="宋体" w:hAnsi="宋体" w:eastAsia="仿宋_GB2312"/>
      <w:snapToGrid w:val="0"/>
      <w:kern w:val="32"/>
      <w:sz w:val="18"/>
      <w:szCs w:val="18"/>
      <w:lang w:val="en-US" w:eastAsia="zh-CN" w:bidi="ar-SA"/>
    </w:rPr>
  </w:style>
  <w:style w:type="character" w:customStyle="1" w:styleId="121">
    <w:name w:val="content"/>
    <w:basedOn w:val="26"/>
    <w:qFormat/>
    <w:uiPriority w:val="0"/>
  </w:style>
  <w:style w:type="character" w:customStyle="1" w:styleId="122">
    <w:name w:val=" Char Char9"/>
    <w:qFormat/>
    <w:uiPriority w:val="0"/>
    <w:rPr>
      <w:kern w:val="2"/>
      <w:sz w:val="21"/>
      <w:szCs w:val="24"/>
    </w:rPr>
  </w:style>
  <w:style w:type="character" w:customStyle="1" w:styleId="123">
    <w:name w:val="正文文本 2 Char"/>
    <w:link w:val="22"/>
    <w:qFormat/>
    <w:locked/>
    <w:uiPriority w:val="0"/>
    <w:rPr>
      <w:rFonts w:eastAsia="宋体"/>
      <w:kern w:val="2"/>
      <w:sz w:val="21"/>
      <w:szCs w:val="24"/>
      <w:lang w:val="en-US" w:eastAsia="zh-CN" w:bidi="ar-SA"/>
    </w:rPr>
  </w:style>
  <w:style w:type="character" w:customStyle="1" w:styleId="124">
    <w:name w:val="批注主题 Char"/>
    <w:link w:val="7"/>
    <w:qFormat/>
    <w:uiPriority w:val="0"/>
    <w:rPr>
      <w:rFonts w:ascii="宋体" w:hAnsi="宋体" w:eastAsia="仿宋_GB2312"/>
      <w:b/>
      <w:bCs/>
      <w:snapToGrid w:val="0"/>
      <w:kern w:val="32"/>
      <w:sz w:val="32"/>
      <w:szCs w:val="32"/>
      <w:lang w:val="en-US" w:eastAsia="zh-CN" w:bidi="ar-SA"/>
    </w:rPr>
  </w:style>
  <w:style w:type="character" w:customStyle="1" w:styleId="125">
    <w:name w:val="heise_12c"/>
    <w:basedOn w:val="26"/>
    <w:qFormat/>
    <w:uiPriority w:val="0"/>
  </w:style>
  <w:style w:type="character" w:customStyle="1" w:styleId="126">
    <w:name w:val="正文文本缩进 2 Char"/>
    <w:link w:val="15"/>
    <w:qFormat/>
    <w:locked/>
    <w:uiPriority w:val="0"/>
    <w:rPr>
      <w:rFonts w:eastAsia="仿宋_GB2312"/>
      <w:kern w:val="2"/>
      <w:sz w:val="32"/>
      <w:szCs w:val="24"/>
      <w:lang w:val="en-US" w:eastAsia="zh-CN" w:bidi="ar-SA"/>
    </w:rPr>
  </w:style>
  <w:style w:type="character" w:customStyle="1" w:styleId="127">
    <w:name w:val="页眉 Char"/>
    <w:link w:val="19"/>
    <w:qFormat/>
    <w:locked/>
    <w:uiPriority w:val="0"/>
    <w:rPr>
      <w:rFonts w:ascii="宋体" w:hAnsi="宋体" w:eastAsia="仿宋_GB2312"/>
      <w:snapToGrid w:val="0"/>
      <w:kern w:val="32"/>
      <w:sz w:val="18"/>
      <w:szCs w:val="18"/>
      <w:lang w:val="en-US" w:eastAsia="zh-CN" w:bidi="ar-SA"/>
    </w:rPr>
  </w:style>
  <w:style w:type="character" w:customStyle="1" w:styleId="128">
    <w:name w:val=" Char Char10"/>
    <w:qFormat/>
    <w:uiPriority w:val="0"/>
    <w:rPr>
      <w:kern w:val="2"/>
      <w:sz w:val="18"/>
      <w:szCs w:val="18"/>
    </w:rPr>
  </w:style>
  <w:style w:type="character" w:customStyle="1" w:styleId="129">
    <w:name w:val="标题 Char1"/>
    <w:qFormat/>
    <w:uiPriority w:val="0"/>
    <w:rPr>
      <w:rFonts w:ascii="Cambria" w:hAnsi="Cambria" w:cs="Times New Roman"/>
      <w:b/>
      <w:bCs/>
      <w:kern w:val="2"/>
      <w:sz w:val="32"/>
      <w:szCs w:val="32"/>
    </w:rPr>
  </w:style>
  <w:style w:type="character" w:customStyle="1" w:styleId="130">
    <w:name w:val="!BECC正文 Char"/>
    <w:link w:val="73"/>
    <w:qFormat/>
    <w:uiPriority w:val="0"/>
    <w:rPr>
      <w:rFonts w:eastAsia="宋体"/>
      <w:sz w:val="24"/>
      <w:szCs w:val="24"/>
      <w:lang w:bidi="ar-SA"/>
    </w:rPr>
  </w:style>
  <w:style w:type="character" w:customStyle="1" w:styleId="131">
    <w:name w:val="标题 1 Char"/>
    <w:link w:val="3"/>
    <w:qFormat/>
    <w:uiPriority w:val="0"/>
    <w:rPr>
      <w:rFonts w:ascii="黑体" w:hAnsi="宋体" w:eastAsia="黑体"/>
      <w:bCs/>
      <w:snapToGrid w:val="0"/>
      <w:kern w:val="32"/>
      <w:sz w:val="32"/>
      <w:szCs w:val="32"/>
      <w:lang w:val="en-US" w:eastAsia="zh-CN" w:bidi="ar-SA"/>
    </w:rPr>
  </w:style>
  <w:style w:type="character" w:customStyle="1" w:styleId="132">
    <w:name w:val="content1"/>
    <w:qFormat/>
    <w:uiPriority w:val="0"/>
    <w:rPr>
      <w:sz w:val="21"/>
      <w:szCs w:val="21"/>
    </w:rPr>
  </w:style>
  <w:style w:type="character" w:customStyle="1" w:styleId="133">
    <w:name w:val="样式1 Char Char"/>
    <w:link w:val="34"/>
    <w:uiPriority w:val="0"/>
    <w:rPr>
      <w:rFonts w:ascii="方正小标宋简体" w:hAnsi="Calibri" w:eastAsia="方正小标宋简体"/>
      <w:kern w:val="2"/>
      <w:sz w:val="44"/>
      <w:szCs w:val="44"/>
      <w:lang w:val="en-US" w:eastAsia="zh-CN" w:bidi="ar-SA"/>
    </w:rPr>
  </w:style>
  <w:style w:type="character" w:customStyle="1" w:styleId="134">
    <w:name w:val="段 Char"/>
    <w:link w:val="81"/>
    <w:qFormat/>
    <w:uiPriority w:val="0"/>
    <w:rPr>
      <w:rFonts w:ascii="宋体" w:eastAsia="Times New Roman"/>
      <w:sz w:val="21"/>
      <w:lang w:val="en-US" w:eastAsia="zh-CN" w:bidi="ar-SA"/>
    </w:rPr>
  </w:style>
  <w:style w:type="character" w:customStyle="1" w:styleId="135">
    <w:name w:val="批注文字 Char"/>
    <w:link w:val="8"/>
    <w:qFormat/>
    <w:locked/>
    <w:uiPriority w:val="0"/>
    <w:rPr>
      <w:rFonts w:eastAsia="宋体"/>
      <w:kern w:val="2"/>
      <w:sz w:val="21"/>
      <w:lang w:val="en-US" w:eastAsia="zh-CN" w:bidi="ar-SA"/>
    </w:rPr>
  </w:style>
  <w:style w:type="character" w:customStyle="1" w:styleId="136">
    <w:name w:val="正文文本缩进 3 Char"/>
    <w:link w:val="21"/>
    <w:qFormat/>
    <w:uiPriority w:val="0"/>
    <w:rPr>
      <w:rFonts w:ascii="宋体" w:hAnsi="宋体" w:eastAsia="仿宋_GB2312"/>
      <w:snapToGrid w:val="0"/>
      <w:kern w:val="32"/>
      <w:sz w:val="16"/>
      <w:szCs w:val="16"/>
      <w:lang w:val="en-US" w:eastAsia="zh-CN" w:bidi="ar-SA"/>
    </w:rPr>
  </w:style>
  <w:style w:type="character" w:customStyle="1" w:styleId="137">
    <w:name w:val="正文文本 Char"/>
    <w:link w:val="2"/>
    <w:qFormat/>
    <w:locked/>
    <w:uiPriority w:val="0"/>
    <w:rPr>
      <w:rFonts w:ascii="宋体" w:hAnsi="宋体" w:eastAsia="仿宋_GB2312"/>
      <w:snapToGrid w:val="0"/>
      <w:kern w:val="32"/>
      <w:sz w:val="32"/>
      <w:szCs w:val="32"/>
      <w:lang w:val="en-US" w:eastAsia="zh-CN" w:bidi="ar-SA"/>
    </w:rPr>
  </w:style>
  <w:style w:type="character" w:customStyle="1" w:styleId="138">
    <w:name w:val="标题 3 Char"/>
    <w:link w:val="5"/>
    <w:qFormat/>
    <w:uiPriority w:val="0"/>
    <w:rPr>
      <w:rFonts w:ascii="宋体" w:hAnsi="宋体" w:eastAsia="楷体_GB2312"/>
      <w:bCs/>
      <w:snapToGrid w:val="0"/>
      <w:kern w:val="32"/>
      <w:sz w:val="32"/>
      <w:szCs w:val="32"/>
      <w:lang w:val="en-US" w:eastAsia="zh-CN" w:bidi="ar-SA"/>
    </w:rPr>
  </w:style>
  <w:style w:type="character" w:customStyle="1" w:styleId="139">
    <w:name w:val=" Char Char8"/>
    <w:qFormat/>
    <w:uiPriority w:val="0"/>
    <w:rPr>
      <w:kern w:val="2"/>
      <w:sz w:val="18"/>
      <w:szCs w:val="18"/>
    </w:rPr>
  </w:style>
  <w:style w:type="character" w:customStyle="1" w:styleId="140">
    <w:name w:val="正文文本缩进 Char"/>
    <w:link w:val="11"/>
    <w:qFormat/>
    <w:uiPriority w:val="0"/>
    <w:rPr>
      <w:rFonts w:eastAsia="宋体"/>
      <w:kern w:val="2"/>
      <w:sz w:val="28"/>
      <w:lang w:val="en-US" w:eastAsia="zh-CN" w:bidi="ar-SA"/>
    </w:rPr>
  </w:style>
  <w:style w:type="character" w:customStyle="1" w:styleId="141">
    <w:name w:val=" Char Char6"/>
    <w:qFormat/>
    <w:uiPriority w:val="0"/>
    <w:rPr>
      <w:kern w:val="2"/>
      <w:sz w:val="28"/>
    </w:rPr>
  </w:style>
  <w:style w:type="character" w:customStyle="1" w:styleId="142">
    <w:name w:val="无间隔 Char"/>
    <w:link w:val="76"/>
    <w:qFormat/>
    <w:uiPriority w:val="0"/>
    <w:rPr>
      <w:rFonts w:ascii="Calibri" w:hAnsi="Calibri"/>
      <w:sz w:val="22"/>
      <w:szCs w:val="22"/>
      <w:lang w:val="en-US" w:eastAsia="zh-CN" w:bidi="ar-SA"/>
    </w:rPr>
  </w:style>
  <w:style w:type="character" w:customStyle="1" w:styleId="143">
    <w:name w:val="apple-style-span"/>
    <w:basedOn w:val="26"/>
    <w:qFormat/>
    <w:uiPriority w:val="0"/>
  </w:style>
  <w:style w:type="character" w:customStyle="1" w:styleId="144">
    <w:name w:val="批注框文本 Char"/>
    <w:link w:val="16"/>
    <w:qFormat/>
    <w:locked/>
    <w:uiPriority w:val="0"/>
    <w:rPr>
      <w:rFonts w:ascii="宋体" w:hAnsi="宋体" w:eastAsia="仿宋_GB2312"/>
      <w:snapToGrid w:val="0"/>
      <w:kern w:val="32"/>
      <w:sz w:val="18"/>
      <w:szCs w:val="18"/>
      <w:lang w:val="en-US" w:eastAsia="zh-CN" w:bidi="ar-SA"/>
    </w:rPr>
  </w:style>
  <w:style w:type="character" w:customStyle="1" w:styleId="145">
    <w:name w:val="标题 1 Char New"/>
    <w:link w:val="47"/>
    <w:qFormat/>
    <w:locked/>
    <w:uiPriority w:val="0"/>
    <w:rPr>
      <w:rFonts w:ascii="宋体" w:hAnsi="宋体"/>
      <w:b/>
      <w:kern w:val="36"/>
      <w:sz w:val="48"/>
      <w:lang w:bidi="ar-SA"/>
    </w:rPr>
  </w:style>
  <w:style w:type="character" w:customStyle="1" w:styleId="146">
    <w:name w:val="列出段落 Char"/>
    <w:link w:val="53"/>
    <w:qFormat/>
    <w:uiPriority w:val="0"/>
    <w:rPr>
      <w:rFonts w:ascii="Calibri" w:hAnsi="Calibri" w:eastAsia="宋体"/>
      <w:kern w:val="2"/>
      <w:sz w:val="21"/>
      <w:szCs w:val="22"/>
      <w:lang w:val="en-US" w:eastAsia="zh-CN" w:bidi="ar-SA"/>
    </w:rPr>
  </w:style>
  <w:style w:type="character" w:customStyle="1" w:styleId="147">
    <w:name w:val="Plain Text Char"/>
    <w:qFormat/>
    <w:uiPriority w:val="0"/>
    <w:rPr>
      <w:rFonts w:ascii="宋体" w:hAnsi="Courier New" w:eastAsia="宋体" w:cs="Courier New"/>
      <w:sz w:val="21"/>
      <w:szCs w:val="21"/>
    </w:rPr>
  </w:style>
  <w:style w:type="character" w:customStyle="1" w:styleId="148">
    <w:name w:val="普通文字1 Char"/>
    <w:qFormat/>
    <w:uiPriority w:val="0"/>
    <w:rPr>
      <w:rFonts w:ascii="宋体" w:hAnsi="Courier New" w:eastAsia="宋体" w:cs="Courier New"/>
      <w:kern w:val="2"/>
      <w:sz w:val="21"/>
      <w:szCs w:val="21"/>
      <w:lang w:val="en-US" w:eastAsia="zh-CN" w:bidi="ar-SA"/>
    </w:rPr>
  </w:style>
  <w:style w:type="character" w:customStyle="1" w:styleId="149">
    <w:name w:val="文档结构图 Char"/>
    <w:link w:val="10"/>
    <w:qFormat/>
    <w:uiPriority w:val="0"/>
    <w:rPr>
      <w:rFonts w:ascii="宋体" w:hAnsi="宋体" w:eastAsia="仿宋_GB2312"/>
      <w:snapToGrid w:val="0"/>
      <w:kern w:val="32"/>
      <w:sz w:val="32"/>
      <w:szCs w:val="32"/>
      <w:lang w:val="en-US" w:eastAsia="zh-CN" w:bidi="ar-SA"/>
    </w:rPr>
  </w:style>
  <w:style w:type="character" w:customStyle="1" w:styleId="150">
    <w:name w:val="oalinshistyle21"/>
    <w:qFormat/>
    <w:uiPriority w:val="0"/>
    <w:rPr>
      <w:rFonts w:hint="default" w:ascii="Arial" w:hAnsi="Arial" w:cs="Arial"/>
      <w:sz w:val="27"/>
      <w:szCs w:val="27"/>
    </w:rPr>
  </w:style>
  <w:style w:type="character" w:customStyle="1" w:styleId="151">
    <w:name w:val="日期 Char"/>
    <w:link w:val="14"/>
    <w:qFormat/>
    <w:locked/>
    <w:uiPriority w:val="0"/>
    <w:rPr>
      <w:rFonts w:ascii="宋体" w:hAnsi="宋体" w:eastAsia="仿宋_GB2312"/>
      <w:snapToGrid w:val="0"/>
      <w:kern w:val="3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bgs</Company>
  <Pages>28</Pages>
  <Words>1918</Words>
  <Characters>10934</Characters>
  <Lines>91</Lines>
  <Paragraphs>25</Paragraphs>
  <ScaleCrop>false</ScaleCrop>
  <LinksUpToDate>false</LinksUpToDate>
  <CharactersWithSpaces>12827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2017-08-16T01:57:00Z</dcterms:created>
  <dc:creator>zy</dc:creator>
  <cp:lastModifiedBy>pc</cp:lastModifiedBy>
  <cp:lastPrinted>2017-08-16T02:06:00Z</cp:lastPrinted>
  <dcterms:modified xsi:type="dcterms:W3CDTF">2020-04-30T10:36:35Z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